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pPr>
    </w:p>
    <w:p>
      <w:pPr>
        <w:rPr>
          <w:rFonts w:ascii="黑体" w:hAnsi="黑体" w:eastAsia="黑体"/>
          <w:sz w:val="72"/>
          <w:szCs w:val="72"/>
        </w:rPr>
      </w:pPr>
    </w:p>
    <w:p>
      <w:pPr>
        <w:jc w:val="center"/>
        <w:rPr>
          <w:rFonts w:ascii="黑体" w:hAnsi="黑体" w:eastAsia="黑体"/>
          <w:sz w:val="72"/>
          <w:szCs w:val="72"/>
        </w:rPr>
      </w:pPr>
    </w:p>
    <w:p>
      <w:pPr>
        <w:spacing w:afterLines="100"/>
        <w:jc w:val="center"/>
        <w:rPr>
          <w:rFonts w:ascii="黑体" w:hAnsi="黑体" w:eastAsia="黑体"/>
          <w:sz w:val="72"/>
          <w:szCs w:val="72"/>
        </w:rPr>
      </w:pPr>
      <w:r>
        <w:rPr>
          <w:rFonts w:hint="eastAsia" w:ascii="黑体" w:hAnsi="黑体" w:eastAsia="黑体"/>
          <w:sz w:val="72"/>
          <w:szCs w:val="72"/>
          <w:lang w:eastAsia="zh-CN"/>
        </w:rPr>
        <w:t>巴中市巴州区</w:t>
      </w:r>
      <w:r>
        <w:rPr>
          <w:rFonts w:hint="eastAsia" w:ascii="黑体" w:hAnsi="黑体" w:eastAsia="黑体"/>
          <w:sz w:val="72"/>
          <w:szCs w:val="72"/>
        </w:rPr>
        <w:t>畜禽养殖污染防治规划</w:t>
      </w:r>
    </w:p>
    <w:p>
      <w:pPr>
        <w:jc w:val="center"/>
        <w:rPr>
          <w:rFonts w:hint="eastAsia" w:ascii="黑体" w:hAnsi="黑体" w:eastAsia="黑体"/>
          <w:sz w:val="72"/>
          <w:szCs w:val="72"/>
          <w:lang w:val="en-US" w:eastAsia="zh-CN"/>
        </w:rPr>
      </w:pPr>
      <w:r>
        <w:rPr>
          <w:rFonts w:hint="eastAsia" w:ascii="黑体" w:hAnsi="黑体" w:eastAsia="黑体"/>
          <w:sz w:val="72"/>
          <w:szCs w:val="72"/>
          <w:lang w:val="en-US" w:eastAsia="zh-CN"/>
        </w:rPr>
        <w:t xml:space="preserve"> </w:t>
      </w:r>
    </w:p>
    <w:p>
      <w:pPr>
        <w:pStyle w:val="2"/>
        <w:rPr>
          <w:rFonts w:hint="eastAsia" w:ascii="黑体" w:hAnsi="黑体" w:eastAsia="黑体"/>
          <w:sz w:val="72"/>
          <w:szCs w:val="72"/>
          <w:lang w:val="en-US" w:eastAsia="zh-CN"/>
        </w:rPr>
      </w:pPr>
    </w:p>
    <w:p>
      <w:pPr>
        <w:rPr>
          <w:rFonts w:hint="eastAsia" w:ascii="黑体" w:hAnsi="黑体" w:eastAsia="黑体"/>
          <w:sz w:val="72"/>
          <w:szCs w:val="72"/>
          <w:lang w:val="en-US" w:eastAsia="zh-CN"/>
        </w:rPr>
      </w:pPr>
    </w:p>
    <w:p>
      <w:pPr>
        <w:rPr>
          <w:rFonts w:hint="eastAsia"/>
          <w:lang w:eastAsia="zh-CN"/>
        </w:rPr>
      </w:pPr>
    </w:p>
    <w:p>
      <w:pPr>
        <w:rPr>
          <w:rFonts w:ascii="黑体" w:hAnsi="黑体" w:eastAsia="黑体"/>
          <w:sz w:val="72"/>
          <w:szCs w:val="72"/>
        </w:rPr>
      </w:pPr>
    </w:p>
    <w:p>
      <w:pPr>
        <w:pStyle w:val="36"/>
        <w:tabs>
          <w:tab w:val="left" w:pos="2784"/>
        </w:tabs>
        <w:spacing w:beforeLines="100" w:line="360" w:lineRule="auto"/>
        <w:jc w:val="center"/>
        <w:rPr>
          <w:rFonts w:ascii="黑体" w:hAnsi="黑体" w:eastAsia="黑体"/>
          <w:color w:val="auto"/>
          <w:sz w:val="48"/>
          <w:szCs w:val="48"/>
        </w:rPr>
        <w:sectPr>
          <w:headerReference r:id="rId5" w:type="first"/>
          <w:footerReference r:id="rId6" w:type="first"/>
          <w:pgSz w:w="11906" w:h="16838"/>
          <w:pgMar w:top="1440" w:right="1797" w:bottom="1440" w:left="1797" w:header="851" w:footer="992" w:gutter="0"/>
          <w:pgNumType w:fmt="upperRoman" w:start="1"/>
          <w:cols w:space="425" w:num="1"/>
          <w:docGrid w:type="lines" w:linePitch="381" w:charSpace="0"/>
        </w:sectPr>
      </w:pPr>
      <w:r>
        <w:rPr>
          <w:rFonts w:hint="eastAsia" w:ascii="黑体" w:hAnsi="黑体" w:eastAsia="黑体"/>
          <w:color w:val="auto"/>
          <w:sz w:val="48"/>
          <w:szCs w:val="48"/>
        </w:rPr>
        <w:t>二〇二</w:t>
      </w:r>
      <w:r>
        <w:rPr>
          <w:rFonts w:hint="eastAsia" w:ascii="黑体" w:hAnsi="黑体" w:eastAsia="黑体"/>
          <w:color w:val="auto"/>
          <w:sz w:val="48"/>
          <w:szCs w:val="48"/>
          <w:lang w:eastAsia="zh-CN"/>
        </w:rPr>
        <w:t>二</w:t>
      </w:r>
      <w:r>
        <w:rPr>
          <w:rFonts w:hint="eastAsia" w:ascii="黑体" w:hAnsi="黑体" w:eastAsia="黑体"/>
          <w:color w:val="auto"/>
          <w:sz w:val="48"/>
          <w:szCs w:val="48"/>
        </w:rPr>
        <w:t>年</w:t>
      </w:r>
      <w:r>
        <w:rPr>
          <w:rFonts w:hint="eastAsia" w:ascii="黑体" w:hAnsi="黑体" w:eastAsia="黑体"/>
          <w:color w:val="auto"/>
          <w:sz w:val="48"/>
          <w:szCs w:val="48"/>
          <w:lang w:eastAsia="zh-CN"/>
        </w:rPr>
        <w:t>十</w:t>
      </w:r>
      <w:r>
        <w:rPr>
          <w:rFonts w:hint="eastAsia" w:ascii="黑体" w:hAnsi="黑体" w:eastAsia="黑体"/>
          <w:color w:val="auto"/>
          <w:sz w:val="48"/>
          <w:szCs w:val="48"/>
          <w:lang w:val="en-US" w:eastAsia="zh-CN"/>
        </w:rPr>
        <w:t>二</w:t>
      </w:r>
      <w:r>
        <w:rPr>
          <w:rFonts w:hint="eastAsia" w:ascii="黑体" w:hAnsi="黑体" w:eastAsia="黑体"/>
          <w:color w:val="auto"/>
          <w:sz w:val="48"/>
          <w:szCs w:val="48"/>
        </w:rPr>
        <w:t>月</w:t>
      </w:r>
    </w:p>
    <w:sdt>
      <w:sdtPr>
        <w:rPr>
          <w:b/>
          <w:lang w:val="zh-CN"/>
        </w:rPr>
        <w:id w:val="410135926"/>
        <w:docPartObj>
          <w:docPartGallery w:val="Table of Contents"/>
          <w:docPartUnique/>
        </w:docPartObj>
      </w:sdtPr>
      <w:sdtEndPr>
        <w:rPr>
          <w:b/>
          <w:bCs/>
          <w:lang w:val="zh-CN"/>
        </w:rPr>
      </w:sdtEndPr>
      <w:sdtContent>
        <w:p>
          <w:pPr>
            <w:jc w:val="center"/>
            <w:rPr>
              <w:lang w:val="zh-CN"/>
            </w:rPr>
            <w:sectPr>
              <w:footerReference r:id="rId8" w:type="first"/>
              <w:footerReference r:id="rId7" w:type="default"/>
              <w:pgSz w:w="11906" w:h="16838"/>
              <w:pgMar w:top="1440" w:right="1797" w:bottom="1440" w:left="1797" w:header="851" w:footer="992" w:gutter="0"/>
              <w:pgNumType w:fmt="upperRoman" w:start="1"/>
              <w:cols w:space="425" w:num="1"/>
              <w:titlePg/>
              <w:docGrid w:type="lines" w:linePitch="381" w:charSpace="0"/>
            </w:sectPr>
          </w:pPr>
          <w:r>
            <w:rPr>
              <w:b/>
              <w:lang w:val="zh-CN"/>
            </w:rPr>
            <w:tab/>
          </w:r>
        </w:p>
        <w:p>
          <w:pPr>
            <w:pStyle w:val="36"/>
            <w:jc w:val="center"/>
            <w:rPr>
              <w:rFonts w:ascii="仿宋" w:hAnsi="仿宋" w:eastAsia="仿宋"/>
              <w:b/>
              <w:color w:val="auto"/>
              <w:sz w:val="44"/>
              <w:szCs w:val="44"/>
            </w:rPr>
          </w:pPr>
          <w:r>
            <w:rPr>
              <w:rFonts w:ascii="仿宋" w:hAnsi="仿宋" w:eastAsia="仿宋"/>
              <w:b/>
              <w:color w:val="auto"/>
              <w:sz w:val="44"/>
              <w:szCs w:val="44"/>
              <w:lang w:val="zh-CN"/>
            </w:rPr>
            <w:t>目录</w:t>
          </w:r>
        </w:p>
        <w:p>
          <w:pPr>
            <w:pStyle w:val="16"/>
            <w:tabs>
              <w:tab w:val="right" w:leader="dot" w:pos="10244"/>
            </w:tabs>
            <w:sectPr>
              <w:footerReference r:id="rId9" w:type="default"/>
              <w:type w:val="continuous"/>
              <w:pgSz w:w="11906" w:h="16838"/>
              <w:pgMar w:top="1440" w:right="1797" w:bottom="1440" w:left="1797" w:header="851" w:footer="992" w:gutter="0"/>
              <w:pgNumType w:fmt="upperRoman"/>
              <w:cols w:space="425" w:num="1"/>
              <w:docGrid w:type="lines" w:linePitch="381" w:charSpace="0"/>
            </w:sectPr>
          </w:pPr>
        </w:p>
        <w:p>
          <w:pPr>
            <w:pStyle w:val="16"/>
            <w:tabs>
              <w:tab w:val="right" w:leader="dot" w:pos="8312"/>
            </w:tabs>
          </w:pPr>
          <w:r>
            <w:fldChar w:fldCharType="begin"/>
          </w:r>
          <w:r>
            <w:instrText xml:space="preserve"> TOC \o "1-3" \h \z \u </w:instrText>
          </w:r>
          <w:r>
            <w:fldChar w:fldCharType="separate"/>
          </w:r>
          <w:r>
            <w:fldChar w:fldCharType="begin"/>
          </w:r>
          <w:r>
            <w:instrText xml:space="preserve"> HYPERLINK \l _Toc19802 </w:instrText>
          </w:r>
          <w:r>
            <w:fldChar w:fldCharType="separate"/>
          </w:r>
          <w:r>
            <w:rPr>
              <w:rFonts w:hint="eastAsia"/>
            </w:rPr>
            <w:t>第一章 规划总则</w:t>
          </w:r>
          <w:r>
            <w:tab/>
          </w:r>
          <w:r>
            <w:fldChar w:fldCharType="begin"/>
          </w:r>
          <w:r>
            <w:instrText xml:space="preserve"> PAGEREF _Toc19802 \h </w:instrText>
          </w:r>
          <w:r>
            <w:fldChar w:fldCharType="separate"/>
          </w:r>
          <w:r>
            <w:t>1</w:t>
          </w:r>
          <w:r>
            <w:fldChar w:fldCharType="end"/>
          </w:r>
          <w:r>
            <w:fldChar w:fldCharType="end"/>
          </w:r>
        </w:p>
        <w:p>
          <w:pPr>
            <w:pStyle w:val="19"/>
            <w:tabs>
              <w:tab w:val="right" w:leader="dot" w:pos="8312"/>
            </w:tabs>
          </w:pPr>
          <w:r>
            <w:fldChar w:fldCharType="begin"/>
          </w:r>
          <w:r>
            <w:instrText xml:space="preserve"> HYPERLINK \l _Toc11903 </w:instrText>
          </w:r>
          <w:r>
            <w:fldChar w:fldCharType="separate"/>
          </w:r>
          <w:r>
            <w:rPr>
              <w:rFonts w:hint="eastAsia"/>
            </w:rPr>
            <w:t>1</w:t>
          </w:r>
          <w:r>
            <w:t>.1</w:t>
          </w:r>
          <w:r>
            <w:rPr>
              <w:rFonts w:hint="eastAsia"/>
            </w:rPr>
            <w:t xml:space="preserve"> 指导思想</w:t>
          </w:r>
          <w:r>
            <w:tab/>
          </w:r>
          <w:r>
            <w:fldChar w:fldCharType="begin"/>
          </w:r>
          <w:r>
            <w:instrText xml:space="preserve"> PAGEREF _Toc11903 \h </w:instrText>
          </w:r>
          <w:r>
            <w:fldChar w:fldCharType="separate"/>
          </w:r>
          <w:r>
            <w:t>1</w:t>
          </w:r>
          <w:r>
            <w:fldChar w:fldCharType="end"/>
          </w:r>
          <w:r>
            <w:fldChar w:fldCharType="end"/>
          </w:r>
        </w:p>
        <w:p>
          <w:pPr>
            <w:pStyle w:val="19"/>
            <w:tabs>
              <w:tab w:val="right" w:leader="dot" w:pos="8312"/>
            </w:tabs>
          </w:pPr>
          <w:r>
            <w:fldChar w:fldCharType="begin"/>
          </w:r>
          <w:r>
            <w:instrText xml:space="preserve"> HYPERLINK \l _Toc21971 </w:instrText>
          </w:r>
          <w:r>
            <w:fldChar w:fldCharType="separate"/>
          </w:r>
          <w:r>
            <w:rPr>
              <w:rFonts w:hint="eastAsia"/>
            </w:rPr>
            <w:t>1</w:t>
          </w:r>
          <w:r>
            <w:t xml:space="preserve">.2 </w:t>
          </w:r>
          <w:r>
            <w:rPr>
              <w:rFonts w:hint="eastAsia"/>
            </w:rPr>
            <w:t>规划背景</w:t>
          </w:r>
          <w:r>
            <w:tab/>
          </w:r>
          <w:r>
            <w:fldChar w:fldCharType="begin"/>
          </w:r>
          <w:r>
            <w:instrText xml:space="preserve"> PAGEREF _Toc21971 \h </w:instrText>
          </w:r>
          <w:r>
            <w:fldChar w:fldCharType="separate"/>
          </w:r>
          <w:r>
            <w:t>1</w:t>
          </w:r>
          <w:r>
            <w:fldChar w:fldCharType="end"/>
          </w:r>
          <w:r>
            <w:fldChar w:fldCharType="end"/>
          </w:r>
        </w:p>
        <w:p>
          <w:pPr>
            <w:pStyle w:val="10"/>
            <w:tabs>
              <w:tab w:val="right" w:leader="dot" w:pos="8312"/>
            </w:tabs>
          </w:pPr>
          <w:r>
            <w:fldChar w:fldCharType="begin"/>
          </w:r>
          <w:r>
            <w:instrText xml:space="preserve"> HYPERLINK \l _Toc4610 </w:instrText>
          </w:r>
          <w:r>
            <w:fldChar w:fldCharType="separate"/>
          </w:r>
          <w:r>
            <w:rPr>
              <w:rFonts w:hint="eastAsia"/>
            </w:rPr>
            <w:t>1</w:t>
          </w:r>
          <w:r>
            <w:t xml:space="preserve">.2.1 </w:t>
          </w:r>
          <w:r>
            <w:rPr>
              <w:rFonts w:hint="eastAsia"/>
            </w:rPr>
            <w:t>任务由来</w:t>
          </w:r>
          <w:r>
            <w:tab/>
          </w:r>
          <w:r>
            <w:fldChar w:fldCharType="begin"/>
          </w:r>
          <w:r>
            <w:instrText xml:space="preserve"> PAGEREF _Toc4610 \h </w:instrText>
          </w:r>
          <w:r>
            <w:fldChar w:fldCharType="separate"/>
          </w:r>
          <w:r>
            <w:t>1</w:t>
          </w:r>
          <w:r>
            <w:fldChar w:fldCharType="end"/>
          </w:r>
          <w:r>
            <w:fldChar w:fldCharType="end"/>
          </w:r>
        </w:p>
        <w:p>
          <w:pPr>
            <w:pStyle w:val="10"/>
            <w:tabs>
              <w:tab w:val="right" w:leader="dot" w:pos="8312"/>
            </w:tabs>
          </w:pPr>
          <w:r>
            <w:fldChar w:fldCharType="begin"/>
          </w:r>
          <w:r>
            <w:instrText xml:space="preserve"> HYPERLINK \l _Toc20389 </w:instrText>
          </w:r>
          <w:r>
            <w:fldChar w:fldCharType="separate"/>
          </w:r>
          <w:r>
            <w:rPr>
              <w:highlight w:val="none"/>
            </w:rPr>
            <w:t xml:space="preserve">1.2.2 </w:t>
          </w:r>
          <w:r>
            <w:rPr>
              <w:rFonts w:hint="eastAsia"/>
              <w:highlight w:val="none"/>
            </w:rPr>
            <w:t>编制背景</w:t>
          </w:r>
          <w:r>
            <w:tab/>
          </w:r>
          <w:r>
            <w:fldChar w:fldCharType="begin"/>
          </w:r>
          <w:r>
            <w:instrText xml:space="preserve"> PAGEREF _Toc20389 \h </w:instrText>
          </w:r>
          <w:r>
            <w:fldChar w:fldCharType="separate"/>
          </w:r>
          <w:r>
            <w:t>2</w:t>
          </w:r>
          <w:r>
            <w:fldChar w:fldCharType="end"/>
          </w:r>
          <w:r>
            <w:fldChar w:fldCharType="end"/>
          </w:r>
        </w:p>
        <w:p>
          <w:pPr>
            <w:pStyle w:val="19"/>
            <w:tabs>
              <w:tab w:val="right" w:leader="dot" w:pos="8312"/>
            </w:tabs>
          </w:pPr>
          <w:r>
            <w:fldChar w:fldCharType="begin"/>
          </w:r>
          <w:r>
            <w:instrText xml:space="preserve"> HYPERLINK \l _Toc26136 </w:instrText>
          </w:r>
          <w:r>
            <w:fldChar w:fldCharType="separate"/>
          </w:r>
          <w:r>
            <w:rPr>
              <w:rFonts w:hint="eastAsia"/>
            </w:rPr>
            <w:t>1</w:t>
          </w:r>
          <w:r>
            <w:t xml:space="preserve">.3 </w:t>
          </w:r>
          <w:r>
            <w:rPr>
              <w:rFonts w:hint="eastAsia"/>
              <w:lang w:val="en-US" w:eastAsia="zh-CN"/>
            </w:rPr>
            <w:t>规划</w:t>
          </w:r>
          <w:r>
            <w:rPr>
              <w:rFonts w:hint="eastAsia"/>
            </w:rPr>
            <w:t>编制依据</w:t>
          </w:r>
          <w:r>
            <w:tab/>
          </w:r>
          <w:r>
            <w:fldChar w:fldCharType="begin"/>
          </w:r>
          <w:r>
            <w:instrText xml:space="preserve"> PAGEREF _Toc26136 \h </w:instrText>
          </w:r>
          <w:r>
            <w:fldChar w:fldCharType="separate"/>
          </w:r>
          <w:r>
            <w:t>3</w:t>
          </w:r>
          <w:r>
            <w:fldChar w:fldCharType="end"/>
          </w:r>
          <w:r>
            <w:fldChar w:fldCharType="end"/>
          </w:r>
        </w:p>
        <w:p>
          <w:pPr>
            <w:pStyle w:val="10"/>
            <w:tabs>
              <w:tab w:val="right" w:leader="dot" w:pos="8312"/>
            </w:tabs>
          </w:pPr>
          <w:r>
            <w:fldChar w:fldCharType="begin"/>
          </w:r>
          <w:r>
            <w:instrText xml:space="preserve"> HYPERLINK \l _Toc727 </w:instrText>
          </w:r>
          <w:r>
            <w:fldChar w:fldCharType="separate"/>
          </w:r>
          <w:r>
            <w:rPr>
              <w:rFonts w:hint="eastAsia"/>
              <w:highlight w:val="none"/>
            </w:rPr>
            <w:t>1.3.1 法律法规</w:t>
          </w:r>
          <w:r>
            <w:rPr>
              <w:rFonts w:hint="eastAsia"/>
              <w:highlight w:val="none"/>
              <w:lang w:eastAsia="zh-CN"/>
            </w:rPr>
            <w:t>（</w:t>
          </w:r>
          <w:r>
            <w:rPr>
              <w:rFonts w:hint="eastAsia"/>
              <w:highlight w:val="none"/>
              <w:lang w:val="en-US" w:eastAsia="zh-CN"/>
            </w:rPr>
            <w:t>结合指南、省上文件</w:t>
          </w:r>
          <w:r>
            <w:rPr>
              <w:rFonts w:hint="eastAsia"/>
              <w:highlight w:val="none"/>
              <w:lang w:eastAsia="zh-CN"/>
            </w:rPr>
            <w:t>）</w:t>
          </w:r>
          <w:r>
            <w:tab/>
          </w:r>
          <w:r>
            <w:fldChar w:fldCharType="begin"/>
          </w:r>
          <w:r>
            <w:instrText xml:space="preserve"> PAGEREF _Toc727 \h </w:instrText>
          </w:r>
          <w:r>
            <w:fldChar w:fldCharType="separate"/>
          </w:r>
          <w:r>
            <w:t>3</w:t>
          </w:r>
          <w:r>
            <w:fldChar w:fldCharType="end"/>
          </w:r>
          <w:r>
            <w:fldChar w:fldCharType="end"/>
          </w:r>
        </w:p>
        <w:p>
          <w:pPr>
            <w:pStyle w:val="10"/>
            <w:tabs>
              <w:tab w:val="right" w:leader="dot" w:pos="8312"/>
            </w:tabs>
          </w:pPr>
          <w:r>
            <w:fldChar w:fldCharType="begin"/>
          </w:r>
          <w:r>
            <w:instrText xml:space="preserve"> HYPERLINK \l _Toc25030 </w:instrText>
          </w:r>
          <w:r>
            <w:fldChar w:fldCharType="separate"/>
          </w:r>
          <w:r>
            <w:rPr>
              <w:rFonts w:hint="eastAsia"/>
            </w:rPr>
            <w:t>1.3.2 规范和标准</w:t>
          </w:r>
          <w:r>
            <w:tab/>
          </w:r>
          <w:r>
            <w:fldChar w:fldCharType="begin"/>
          </w:r>
          <w:r>
            <w:instrText xml:space="preserve"> PAGEREF _Toc25030 \h </w:instrText>
          </w:r>
          <w:r>
            <w:fldChar w:fldCharType="separate"/>
          </w:r>
          <w:r>
            <w:t>3</w:t>
          </w:r>
          <w:r>
            <w:fldChar w:fldCharType="end"/>
          </w:r>
          <w:r>
            <w:fldChar w:fldCharType="end"/>
          </w:r>
        </w:p>
        <w:p>
          <w:pPr>
            <w:pStyle w:val="10"/>
            <w:tabs>
              <w:tab w:val="right" w:leader="dot" w:pos="8312"/>
            </w:tabs>
          </w:pPr>
          <w:r>
            <w:fldChar w:fldCharType="begin"/>
          </w:r>
          <w:r>
            <w:instrText xml:space="preserve"> HYPERLINK \l _Toc25893 </w:instrText>
          </w:r>
          <w:r>
            <w:fldChar w:fldCharType="separate"/>
          </w:r>
          <w:r>
            <w:rPr>
              <w:rFonts w:hint="eastAsia"/>
            </w:rPr>
            <w:t>1.3.3 政策、规划及相关文件</w:t>
          </w:r>
          <w:r>
            <w:tab/>
          </w:r>
          <w:r>
            <w:fldChar w:fldCharType="begin"/>
          </w:r>
          <w:r>
            <w:instrText xml:space="preserve"> PAGEREF _Toc25893 \h </w:instrText>
          </w:r>
          <w:r>
            <w:fldChar w:fldCharType="separate"/>
          </w:r>
          <w:r>
            <w:t>4</w:t>
          </w:r>
          <w:r>
            <w:fldChar w:fldCharType="end"/>
          </w:r>
          <w:r>
            <w:fldChar w:fldCharType="end"/>
          </w:r>
        </w:p>
        <w:p>
          <w:pPr>
            <w:pStyle w:val="19"/>
            <w:tabs>
              <w:tab w:val="right" w:leader="dot" w:pos="8312"/>
            </w:tabs>
          </w:pPr>
          <w:r>
            <w:fldChar w:fldCharType="begin"/>
          </w:r>
          <w:r>
            <w:instrText xml:space="preserve"> HYPERLINK \l _Toc31605 </w:instrText>
          </w:r>
          <w:r>
            <w:fldChar w:fldCharType="separate"/>
          </w:r>
          <w:r>
            <w:rPr>
              <w:rFonts w:hint="eastAsia"/>
              <w:highlight w:val="none"/>
            </w:rPr>
            <w:t xml:space="preserve">1.4 </w:t>
          </w:r>
          <w:r>
            <w:rPr>
              <w:rFonts w:hint="eastAsia" w:cs="Times New Roman"/>
              <w:highlight w:val="none"/>
              <w:lang w:val="en-US" w:eastAsia="zh-CN"/>
            </w:rPr>
            <w:t>规划</w:t>
          </w:r>
          <w:r>
            <w:rPr>
              <w:rFonts w:cs="Times New Roman"/>
              <w:highlight w:val="none"/>
            </w:rPr>
            <w:t>原则</w:t>
          </w:r>
          <w:r>
            <w:tab/>
          </w:r>
          <w:r>
            <w:fldChar w:fldCharType="begin"/>
          </w:r>
          <w:r>
            <w:instrText xml:space="preserve"> PAGEREF _Toc31605 \h </w:instrText>
          </w:r>
          <w:r>
            <w:fldChar w:fldCharType="separate"/>
          </w:r>
          <w:r>
            <w:t>6</w:t>
          </w:r>
          <w:r>
            <w:fldChar w:fldCharType="end"/>
          </w:r>
          <w:r>
            <w:fldChar w:fldCharType="end"/>
          </w:r>
        </w:p>
        <w:p>
          <w:pPr>
            <w:pStyle w:val="19"/>
            <w:tabs>
              <w:tab w:val="right" w:leader="dot" w:pos="8312"/>
            </w:tabs>
          </w:pPr>
          <w:r>
            <w:fldChar w:fldCharType="begin"/>
          </w:r>
          <w:r>
            <w:instrText xml:space="preserve"> HYPERLINK \l _Toc5229 </w:instrText>
          </w:r>
          <w:r>
            <w:fldChar w:fldCharType="separate"/>
          </w:r>
          <w:r>
            <w:rPr>
              <w:rFonts w:hint="eastAsia"/>
            </w:rPr>
            <w:t>1.5 规划期限</w:t>
          </w:r>
          <w:r>
            <w:tab/>
          </w:r>
          <w:r>
            <w:fldChar w:fldCharType="begin"/>
          </w:r>
          <w:r>
            <w:instrText xml:space="preserve"> PAGEREF _Toc5229 \h </w:instrText>
          </w:r>
          <w:r>
            <w:fldChar w:fldCharType="separate"/>
          </w:r>
          <w:r>
            <w:t>7</w:t>
          </w:r>
          <w:r>
            <w:fldChar w:fldCharType="end"/>
          </w:r>
          <w:r>
            <w:fldChar w:fldCharType="end"/>
          </w:r>
        </w:p>
        <w:p>
          <w:pPr>
            <w:pStyle w:val="19"/>
            <w:tabs>
              <w:tab w:val="right" w:leader="dot" w:pos="8312"/>
            </w:tabs>
          </w:pPr>
          <w:r>
            <w:fldChar w:fldCharType="begin"/>
          </w:r>
          <w:r>
            <w:instrText xml:space="preserve"> HYPERLINK \l _Toc15934 </w:instrText>
          </w:r>
          <w:r>
            <w:fldChar w:fldCharType="separate"/>
          </w:r>
          <w:r>
            <w:rPr>
              <w:rFonts w:hint="eastAsia"/>
            </w:rPr>
            <w:t>1</w:t>
          </w:r>
          <w:r>
            <w:t xml:space="preserve">.6 </w:t>
          </w:r>
          <w:r>
            <w:rPr>
              <w:rFonts w:hint="eastAsia"/>
            </w:rPr>
            <w:t>规划范围</w:t>
          </w:r>
          <w:r>
            <w:tab/>
          </w:r>
          <w:r>
            <w:fldChar w:fldCharType="begin"/>
          </w:r>
          <w:r>
            <w:instrText xml:space="preserve"> PAGEREF _Toc15934 \h </w:instrText>
          </w:r>
          <w:r>
            <w:fldChar w:fldCharType="separate"/>
          </w:r>
          <w:r>
            <w:t>7</w:t>
          </w:r>
          <w:r>
            <w:fldChar w:fldCharType="end"/>
          </w:r>
          <w:r>
            <w:fldChar w:fldCharType="end"/>
          </w:r>
        </w:p>
        <w:p>
          <w:pPr>
            <w:pStyle w:val="19"/>
            <w:tabs>
              <w:tab w:val="right" w:leader="dot" w:pos="8312"/>
            </w:tabs>
          </w:pPr>
          <w:r>
            <w:fldChar w:fldCharType="begin"/>
          </w:r>
          <w:r>
            <w:instrText xml:space="preserve"> HYPERLINK \l _Toc2380 </w:instrText>
          </w:r>
          <w:r>
            <w:fldChar w:fldCharType="separate"/>
          </w:r>
          <w:r>
            <w:rPr>
              <w:rFonts w:hint="eastAsia"/>
            </w:rPr>
            <w:t>1.7 畜禽</w:t>
          </w:r>
          <w:r>
            <w:t>养殖</w:t>
          </w:r>
          <w:r>
            <w:rPr>
              <w:rFonts w:hint="eastAsia"/>
            </w:rPr>
            <w:t>规模</w:t>
          </w:r>
          <w:r>
            <w:tab/>
          </w:r>
          <w:r>
            <w:fldChar w:fldCharType="begin"/>
          </w:r>
          <w:r>
            <w:instrText xml:space="preserve"> PAGEREF _Toc2380 \h </w:instrText>
          </w:r>
          <w:r>
            <w:fldChar w:fldCharType="separate"/>
          </w:r>
          <w:r>
            <w:t>7</w:t>
          </w:r>
          <w:r>
            <w:fldChar w:fldCharType="end"/>
          </w:r>
          <w:r>
            <w:fldChar w:fldCharType="end"/>
          </w:r>
        </w:p>
        <w:p>
          <w:pPr>
            <w:pStyle w:val="10"/>
            <w:tabs>
              <w:tab w:val="right" w:leader="dot" w:pos="8312"/>
            </w:tabs>
          </w:pPr>
          <w:r>
            <w:fldChar w:fldCharType="begin"/>
          </w:r>
          <w:r>
            <w:instrText xml:space="preserve"> HYPERLINK \l _Toc6796 </w:instrText>
          </w:r>
          <w:r>
            <w:fldChar w:fldCharType="separate"/>
          </w:r>
          <w:r>
            <w:rPr>
              <w:rFonts w:hint="eastAsia"/>
            </w:rPr>
            <w:t>1.7.1 畜禽规模养殖场</w:t>
          </w:r>
          <w:r>
            <w:tab/>
          </w:r>
          <w:r>
            <w:fldChar w:fldCharType="begin"/>
          </w:r>
          <w:r>
            <w:instrText xml:space="preserve"> PAGEREF _Toc6796 \h </w:instrText>
          </w:r>
          <w:r>
            <w:fldChar w:fldCharType="separate"/>
          </w:r>
          <w:r>
            <w:t>7</w:t>
          </w:r>
          <w:r>
            <w:fldChar w:fldCharType="end"/>
          </w:r>
          <w:r>
            <w:fldChar w:fldCharType="end"/>
          </w:r>
        </w:p>
        <w:p>
          <w:pPr>
            <w:pStyle w:val="10"/>
            <w:tabs>
              <w:tab w:val="right" w:leader="dot" w:pos="8312"/>
            </w:tabs>
          </w:pPr>
          <w:r>
            <w:fldChar w:fldCharType="begin"/>
          </w:r>
          <w:r>
            <w:instrText xml:space="preserve"> HYPERLINK \l _Toc27586 </w:instrText>
          </w:r>
          <w:r>
            <w:fldChar w:fldCharType="separate"/>
          </w:r>
          <w:r>
            <w:rPr>
              <w:rFonts w:hint="eastAsia"/>
            </w:rPr>
            <w:t>1</w:t>
          </w:r>
          <w:r>
            <w:t xml:space="preserve">.7.2 </w:t>
          </w:r>
          <w:r>
            <w:rPr>
              <w:rFonts w:hint="eastAsia"/>
            </w:rPr>
            <w:t>畜禽规模以下养殖户</w:t>
          </w:r>
          <w:r>
            <w:tab/>
          </w:r>
          <w:r>
            <w:fldChar w:fldCharType="begin"/>
          </w:r>
          <w:r>
            <w:instrText xml:space="preserve"> PAGEREF _Toc27586 \h </w:instrText>
          </w:r>
          <w:r>
            <w:fldChar w:fldCharType="separate"/>
          </w:r>
          <w:r>
            <w:t>8</w:t>
          </w:r>
          <w:r>
            <w:fldChar w:fldCharType="end"/>
          </w:r>
          <w:r>
            <w:fldChar w:fldCharType="end"/>
          </w:r>
        </w:p>
        <w:p>
          <w:pPr>
            <w:pStyle w:val="16"/>
            <w:tabs>
              <w:tab w:val="right" w:leader="dot" w:pos="8312"/>
            </w:tabs>
          </w:pPr>
          <w:r>
            <w:fldChar w:fldCharType="begin"/>
          </w:r>
          <w:r>
            <w:instrText xml:space="preserve"> HYPERLINK \l _Toc5297 </w:instrText>
          </w:r>
          <w:r>
            <w:fldChar w:fldCharType="separate"/>
          </w:r>
          <w:r>
            <w:rPr>
              <w:rFonts w:hint="eastAsia"/>
            </w:rPr>
            <w:t>第二章 区域概况</w:t>
          </w:r>
          <w:r>
            <w:tab/>
          </w:r>
          <w:r>
            <w:fldChar w:fldCharType="begin"/>
          </w:r>
          <w:r>
            <w:instrText xml:space="preserve"> PAGEREF _Toc5297 \h </w:instrText>
          </w:r>
          <w:r>
            <w:fldChar w:fldCharType="separate"/>
          </w:r>
          <w:r>
            <w:t>9</w:t>
          </w:r>
          <w:r>
            <w:fldChar w:fldCharType="end"/>
          </w:r>
          <w:r>
            <w:fldChar w:fldCharType="end"/>
          </w:r>
        </w:p>
        <w:p>
          <w:pPr>
            <w:pStyle w:val="19"/>
            <w:tabs>
              <w:tab w:val="right" w:leader="dot" w:pos="8312"/>
            </w:tabs>
          </w:pPr>
          <w:r>
            <w:fldChar w:fldCharType="begin"/>
          </w:r>
          <w:r>
            <w:instrText xml:space="preserve"> HYPERLINK \l _Toc473 </w:instrText>
          </w:r>
          <w:r>
            <w:fldChar w:fldCharType="separate"/>
          </w:r>
          <w:r>
            <w:rPr>
              <w:rFonts w:hint="eastAsia"/>
            </w:rPr>
            <w:t>2.1 自然气候条件</w:t>
          </w:r>
          <w:r>
            <w:tab/>
          </w:r>
          <w:r>
            <w:fldChar w:fldCharType="begin"/>
          </w:r>
          <w:r>
            <w:instrText xml:space="preserve"> PAGEREF _Toc473 \h </w:instrText>
          </w:r>
          <w:r>
            <w:fldChar w:fldCharType="separate"/>
          </w:r>
          <w:r>
            <w:t>9</w:t>
          </w:r>
          <w:r>
            <w:fldChar w:fldCharType="end"/>
          </w:r>
          <w:r>
            <w:fldChar w:fldCharType="end"/>
          </w:r>
        </w:p>
        <w:p>
          <w:pPr>
            <w:pStyle w:val="10"/>
            <w:tabs>
              <w:tab w:val="right" w:leader="dot" w:pos="8312"/>
            </w:tabs>
          </w:pPr>
          <w:r>
            <w:fldChar w:fldCharType="begin"/>
          </w:r>
          <w:r>
            <w:instrText xml:space="preserve"> HYPERLINK \l _Toc2419 </w:instrText>
          </w:r>
          <w:r>
            <w:fldChar w:fldCharType="separate"/>
          </w:r>
          <w:r>
            <w:rPr>
              <w:rFonts w:hint="eastAsia"/>
            </w:rPr>
            <w:t>2.1.1 地形地貌及地质特征</w:t>
          </w:r>
          <w:r>
            <w:tab/>
          </w:r>
          <w:r>
            <w:fldChar w:fldCharType="begin"/>
          </w:r>
          <w:r>
            <w:instrText xml:space="preserve"> PAGEREF _Toc2419 \h </w:instrText>
          </w:r>
          <w:r>
            <w:fldChar w:fldCharType="separate"/>
          </w:r>
          <w:r>
            <w:t>9</w:t>
          </w:r>
          <w:r>
            <w:fldChar w:fldCharType="end"/>
          </w:r>
          <w:r>
            <w:fldChar w:fldCharType="end"/>
          </w:r>
        </w:p>
        <w:p>
          <w:pPr>
            <w:pStyle w:val="10"/>
            <w:tabs>
              <w:tab w:val="right" w:leader="dot" w:pos="8312"/>
            </w:tabs>
          </w:pPr>
          <w:r>
            <w:fldChar w:fldCharType="begin"/>
          </w:r>
          <w:r>
            <w:instrText xml:space="preserve"> HYPERLINK \l _Toc12449 </w:instrText>
          </w:r>
          <w:r>
            <w:fldChar w:fldCharType="separate"/>
          </w:r>
          <w:r>
            <w:rPr>
              <w:rFonts w:hint="eastAsia"/>
            </w:rPr>
            <w:t>2.1.</w:t>
          </w:r>
          <w:r>
            <w:t>2</w:t>
          </w:r>
          <w:r>
            <w:rPr>
              <w:rFonts w:hint="eastAsia"/>
            </w:rPr>
            <w:t xml:space="preserve"> 气候特征</w:t>
          </w:r>
          <w:r>
            <w:tab/>
          </w:r>
          <w:r>
            <w:fldChar w:fldCharType="begin"/>
          </w:r>
          <w:r>
            <w:instrText xml:space="preserve"> PAGEREF _Toc12449 \h </w:instrText>
          </w:r>
          <w:r>
            <w:fldChar w:fldCharType="separate"/>
          </w:r>
          <w:r>
            <w:t>10</w:t>
          </w:r>
          <w:r>
            <w:fldChar w:fldCharType="end"/>
          </w:r>
          <w:r>
            <w:fldChar w:fldCharType="end"/>
          </w:r>
        </w:p>
        <w:p>
          <w:pPr>
            <w:pStyle w:val="10"/>
            <w:tabs>
              <w:tab w:val="right" w:leader="dot" w:pos="8312"/>
            </w:tabs>
          </w:pPr>
          <w:r>
            <w:fldChar w:fldCharType="begin"/>
          </w:r>
          <w:r>
            <w:instrText xml:space="preserve"> HYPERLINK \l _Toc16273 </w:instrText>
          </w:r>
          <w:r>
            <w:fldChar w:fldCharType="separate"/>
          </w:r>
          <w:r>
            <w:rPr>
              <w:rFonts w:hint="eastAsia"/>
            </w:rPr>
            <w:t>2.1.3 水系分布</w:t>
          </w:r>
          <w:r>
            <w:tab/>
          </w:r>
          <w:r>
            <w:fldChar w:fldCharType="begin"/>
          </w:r>
          <w:r>
            <w:instrText xml:space="preserve"> PAGEREF _Toc16273 \h </w:instrText>
          </w:r>
          <w:r>
            <w:fldChar w:fldCharType="separate"/>
          </w:r>
          <w:r>
            <w:t>10</w:t>
          </w:r>
          <w:r>
            <w:fldChar w:fldCharType="end"/>
          </w:r>
          <w:r>
            <w:fldChar w:fldCharType="end"/>
          </w:r>
        </w:p>
        <w:p>
          <w:pPr>
            <w:pStyle w:val="10"/>
            <w:tabs>
              <w:tab w:val="right" w:leader="dot" w:pos="8312"/>
            </w:tabs>
          </w:pPr>
          <w:r>
            <w:fldChar w:fldCharType="begin"/>
          </w:r>
          <w:r>
            <w:instrText xml:space="preserve"> HYPERLINK \l _Toc2567 </w:instrText>
          </w:r>
          <w:r>
            <w:fldChar w:fldCharType="separate"/>
          </w:r>
          <w:r>
            <w:rPr>
              <w:rFonts w:hint="eastAsia"/>
            </w:rPr>
            <w:t>2.1.4 自然资源</w:t>
          </w:r>
          <w:r>
            <w:tab/>
          </w:r>
          <w:r>
            <w:fldChar w:fldCharType="begin"/>
          </w:r>
          <w:r>
            <w:instrText xml:space="preserve"> PAGEREF _Toc2567 \h </w:instrText>
          </w:r>
          <w:r>
            <w:fldChar w:fldCharType="separate"/>
          </w:r>
          <w:r>
            <w:t>11</w:t>
          </w:r>
          <w:r>
            <w:fldChar w:fldCharType="end"/>
          </w:r>
          <w:r>
            <w:fldChar w:fldCharType="end"/>
          </w:r>
        </w:p>
        <w:p>
          <w:pPr>
            <w:pStyle w:val="10"/>
            <w:tabs>
              <w:tab w:val="right" w:leader="dot" w:pos="8312"/>
            </w:tabs>
          </w:pPr>
          <w:r>
            <w:fldChar w:fldCharType="begin"/>
          </w:r>
          <w:r>
            <w:instrText xml:space="preserve"> HYPERLINK \l _Toc30409 </w:instrText>
          </w:r>
          <w:r>
            <w:fldChar w:fldCharType="separate"/>
          </w:r>
          <w:r>
            <w:rPr>
              <w:rFonts w:hint="eastAsia"/>
            </w:rPr>
            <w:t>2.1.</w:t>
          </w:r>
          <w:r>
            <w:t>5</w:t>
          </w:r>
          <w:r>
            <w:rPr>
              <w:rFonts w:hint="eastAsia"/>
            </w:rPr>
            <w:t xml:space="preserve"> 土壤特征</w:t>
          </w:r>
          <w:r>
            <w:tab/>
          </w:r>
          <w:r>
            <w:fldChar w:fldCharType="begin"/>
          </w:r>
          <w:r>
            <w:instrText xml:space="preserve"> PAGEREF _Toc30409 \h </w:instrText>
          </w:r>
          <w:r>
            <w:fldChar w:fldCharType="separate"/>
          </w:r>
          <w:r>
            <w:t>12</w:t>
          </w:r>
          <w:r>
            <w:fldChar w:fldCharType="end"/>
          </w:r>
          <w:r>
            <w:fldChar w:fldCharType="end"/>
          </w:r>
        </w:p>
        <w:p>
          <w:pPr>
            <w:pStyle w:val="10"/>
            <w:tabs>
              <w:tab w:val="right" w:leader="dot" w:pos="8312"/>
            </w:tabs>
          </w:pPr>
          <w:r>
            <w:fldChar w:fldCharType="begin"/>
          </w:r>
          <w:r>
            <w:instrText xml:space="preserve"> HYPERLINK \l _Toc30277 </w:instrText>
          </w:r>
          <w:r>
            <w:fldChar w:fldCharType="separate"/>
          </w:r>
          <w:r>
            <w:rPr>
              <w:rFonts w:hint="eastAsia"/>
            </w:rPr>
            <w:t>2.1.</w:t>
          </w:r>
          <w:r>
            <w:t>6</w:t>
          </w:r>
          <w:r>
            <w:rPr>
              <w:rFonts w:hint="eastAsia"/>
            </w:rPr>
            <w:t xml:space="preserve"> 耕地质量</w:t>
          </w:r>
          <w:r>
            <w:tab/>
          </w:r>
          <w:r>
            <w:fldChar w:fldCharType="begin"/>
          </w:r>
          <w:r>
            <w:instrText xml:space="preserve"> PAGEREF _Toc30277 \h </w:instrText>
          </w:r>
          <w:r>
            <w:fldChar w:fldCharType="separate"/>
          </w:r>
          <w:r>
            <w:t>13</w:t>
          </w:r>
          <w:r>
            <w:fldChar w:fldCharType="end"/>
          </w:r>
          <w:r>
            <w:fldChar w:fldCharType="end"/>
          </w:r>
        </w:p>
        <w:p>
          <w:pPr>
            <w:pStyle w:val="19"/>
            <w:tabs>
              <w:tab w:val="right" w:leader="dot" w:pos="8312"/>
            </w:tabs>
          </w:pPr>
          <w:r>
            <w:fldChar w:fldCharType="begin"/>
          </w:r>
          <w:r>
            <w:instrText xml:space="preserve"> HYPERLINK \l _Toc26620 </w:instrText>
          </w:r>
          <w:r>
            <w:fldChar w:fldCharType="separate"/>
          </w:r>
          <w:r>
            <w:rPr>
              <w:rFonts w:hint="eastAsia"/>
            </w:rPr>
            <w:t>2.2 社会经济状况</w:t>
          </w:r>
          <w:r>
            <w:tab/>
          </w:r>
          <w:r>
            <w:fldChar w:fldCharType="begin"/>
          </w:r>
          <w:r>
            <w:instrText xml:space="preserve"> PAGEREF _Toc26620 \h </w:instrText>
          </w:r>
          <w:r>
            <w:fldChar w:fldCharType="separate"/>
          </w:r>
          <w:r>
            <w:t>14</w:t>
          </w:r>
          <w:r>
            <w:fldChar w:fldCharType="end"/>
          </w:r>
          <w:r>
            <w:fldChar w:fldCharType="end"/>
          </w:r>
        </w:p>
        <w:p>
          <w:pPr>
            <w:pStyle w:val="10"/>
            <w:tabs>
              <w:tab w:val="right" w:leader="dot" w:pos="8312"/>
            </w:tabs>
          </w:pPr>
          <w:r>
            <w:fldChar w:fldCharType="begin"/>
          </w:r>
          <w:r>
            <w:instrText xml:space="preserve"> HYPERLINK \l _Toc15876 </w:instrText>
          </w:r>
          <w:r>
            <w:fldChar w:fldCharType="separate"/>
          </w:r>
          <w:r>
            <w:rPr>
              <w:rFonts w:hint="eastAsia"/>
            </w:rPr>
            <w:t>2.2.1 行政区和人口分布</w:t>
          </w:r>
          <w:r>
            <w:tab/>
          </w:r>
          <w:r>
            <w:fldChar w:fldCharType="begin"/>
          </w:r>
          <w:r>
            <w:instrText xml:space="preserve"> PAGEREF _Toc15876 \h </w:instrText>
          </w:r>
          <w:r>
            <w:fldChar w:fldCharType="separate"/>
          </w:r>
          <w:r>
            <w:t>14</w:t>
          </w:r>
          <w:r>
            <w:fldChar w:fldCharType="end"/>
          </w:r>
          <w:r>
            <w:fldChar w:fldCharType="end"/>
          </w:r>
        </w:p>
        <w:p>
          <w:pPr>
            <w:pStyle w:val="10"/>
            <w:tabs>
              <w:tab w:val="right" w:leader="dot" w:pos="8312"/>
            </w:tabs>
          </w:pPr>
          <w:r>
            <w:fldChar w:fldCharType="begin"/>
          </w:r>
          <w:r>
            <w:instrText xml:space="preserve"> HYPERLINK \l _Toc1874 </w:instrText>
          </w:r>
          <w:r>
            <w:fldChar w:fldCharType="separate"/>
          </w:r>
          <w:r>
            <w:rPr>
              <w:rFonts w:hint="eastAsia"/>
            </w:rPr>
            <w:t>2.2.2 国民经济</w:t>
          </w:r>
          <w:r>
            <w:t>和社会发展</w:t>
          </w:r>
          <w:r>
            <w:tab/>
          </w:r>
          <w:r>
            <w:fldChar w:fldCharType="begin"/>
          </w:r>
          <w:r>
            <w:instrText xml:space="preserve"> PAGEREF _Toc1874 \h </w:instrText>
          </w:r>
          <w:r>
            <w:fldChar w:fldCharType="separate"/>
          </w:r>
          <w:r>
            <w:t>14</w:t>
          </w:r>
          <w:r>
            <w:fldChar w:fldCharType="end"/>
          </w:r>
          <w:r>
            <w:fldChar w:fldCharType="end"/>
          </w:r>
        </w:p>
        <w:p>
          <w:pPr>
            <w:pStyle w:val="19"/>
            <w:tabs>
              <w:tab w:val="right" w:leader="dot" w:pos="8312"/>
            </w:tabs>
          </w:pPr>
          <w:r>
            <w:fldChar w:fldCharType="begin"/>
          </w:r>
          <w:r>
            <w:instrText xml:space="preserve"> HYPERLINK \l _Toc8811 </w:instrText>
          </w:r>
          <w:r>
            <w:fldChar w:fldCharType="separate"/>
          </w:r>
          <w:r>
            <w:rPr>
              <w:rFonts w:hint="eastAsia"/>
            </w:rPr>
            <w:t>2.3 生态环境概况</w:t>
          </w:r>
          <w:r>
            <w:tab/>
          </w:r>
          <w:r>
            <w:fldChar w:fldCharType="begin"/>
          </w:r>
          <w:r>
            <w:instrText xml:space="preserve"> PAGEREF _Toc8811 \h </w:instrText>
          </w:r>
          <w:r>
            <w:fldChar w:fldCharType="separate"/>
          </w:r>
          <w:r>
            <w:t>14</w:t>
          </w:r>
          <w:r>
            <w:fldChar w:fldCharType="end"/>
          </w:r>
          <w:r>
            <w:fldChar w:fldCharType="end"/>
          </w:r>
        </w:p>
        <w:p>
          <w:pPr>
            <w:pStyle w:val="10"/>
            <w:tabs>
              <w:tab w:val="right" w:leader="dot" w:pos="8312"/>
            </w:tabs>
          </w:pPr>
          <w:r>
            <w:fldChar w:fldCharType="begin"/>
          </w:r>
          <w:r>
            <w:instrText xml:space="preserve"> HYPERLINK \l _Toc8328 </w:instrText>
          </w:r>
          <w:r>
            <w:fldChar w:fldCharType="separate"/>
          </w:r>
          <w:r>
            <w:rPr>
              <w:rFonts w:hint="eastAsia"/>
            </w:rPr>
            <w:t>2.3.1 空气环境质量</w:t>
          </w:r>
          <w:r>
            <w:tab/>
          </w:r>
          <w:r>
            <w:fldChar w:fldCharType="begin"/>
          </w:r>
          <w:r>
            <w:instrText xml:space="preserve"> PAGEREF _Toc8328 \h </w:instrText>
          </w:r>
          <w:r>
            <w:fldChar w:fldCharType="separate"/>
          </w:r>
          <w:r>
            <w:t>14</w:t>
          </w:r>
          <w:r>
            <w:fldChar w:fldCharType="end"/>
          </w:r>
          <w:r>
            <w:fldChar w:fldCharType="end"/>
          </w:r>
        </w:p>
        <w:p>
          <w:pPr>
            <w:pStyle w:val="10"/>
            <w:tabs>
              <w:tab w:val="right" w:leader="dot" w:pos="8312"/>
            </w:tabs>
          </w:pPr>
          <w:r>
            <w:fldChar w:fldCharType="begin"/>
          </w:r>
          <w:r>
            <w:instrText xml:space="preserve"> HYPERLINK \l _Toc23204 </w:instrText>
          </w:r>
          <w:r>
            <w:fldChar w:fldCharType="separate"/>
          </w:r>
          <w:r>
            <w:rPr>
              <w:rFonts w:hint="eastAsia"/>
            </w:rPr>
            <w:t>2.3.</w:t>
          </w:r>
          <w:r>
            <w:t>2</w:t>
          </w:r>
          <w:r>
            <w:rPr>
              <w:rFonts w:hint="eastAsia"/>
            </w:rPr>
            <w:t xml:space="preserve"> 水环境</w:t>
          </w:r>
          <w:r>
            <w:t>质量</w:t>
          </w:r>
          <w:r>
            <w:tab/>
          </w:r>
          <w:r>
            <w:fldChar w:fldCharType="begin"/>
          </w:r>
          <w:r>
            <w:instrText xml:space="preserve"> PAGEREF _Toc23204 \h </w:instrText>
          </w:r>
          <w:r>
            <w:fldChar w:fldCharType="separate"/>
          </w:r>
          <w:r>
            <w:t>15</w:t>
          </w:r>
          <w:r>
            <w:fldChar w:fldCharType="end"/>
          </w:r>
          <w:r>
            <w:fldChar w:fldCharType="end"/>
          </w:r>
        </w:p>
        <w:p>
          <w:pPr>
            <w:pStyle w:val="10"/>
            <w:tabs>
              <w:tab w:val="right" w:leader="dot" w:pos="8312"/>
            </w:tabs>
          </w:pPr>
          <w:r>
            <w:fldChar w:fldCharType="begin"/>
          </w:r>
          <w:r>
            <w:instrText xml:space="preserve"> HYPERLINK \l _Toc26337 </w:instrText>
          </w:r>
          <w:r>
            <w:fldChar w:fldCharType="separate"/>
          </w:r>
          <w:r>
            <w:rPr>
              <w:rFonts w:hint="eastAsia"/>
            </w:rPr>
            <w:t>2.3.3 土壤环境</w:t>
          </w:r>
          <w:r>
            <w:t>质量</w:t>
          </w:r>
          <w:r>
            <w:tab/>
          </w:r>
          <w:r>
            <w:fldChar w:fldCharType="begin"/>
          </w:r>
          <w:r>
            <w:instrText xml:space="preserve"> PAGEREF _Toc26337 \h </w:instrText>
          </w:r>
          <w:r>
            <w:fldChar w:fldCharType="separate"/>
          </w:r>
          <w:r>
            <w:t>15</w:t>
          </w:r>
          <w:r>
            <w:fldChar w:fldCharType="end"/>
          </w:r>
          <w:r>
            <w:fldChar w:fldCharType="end"/>
          </w:r>
        </w:p>
        <w:p>
          <w:pPr>
            <w:pStyle w:val="10"/>
            <w:tabs>
              <w:tab w:val="right" w:leader="dot" w:pos="8312"/>
            </w:tabs>
          </w:pPr>
          <w:r>
            <w:fldChar w:fldCharType="begin"/>
          </w:r>
          <w:r>
            <w:instrText xml:space="preserve"> HYPERLINK \l _Toc19115 </w:instrText>
          </w:r>
          <w:r>
            <w:fldChar w:fldCharType="separate"/>
          </w:r>
          <w:r>
            <w:rPr>
              <w:rFonts w:hint="eastAsia"/>
            </w:rPr>
            <w:t>2.3.4 现存环境问题分析</w:t>
          </w:r>
          <w:r>
            <w:tab/>
          </w:r>
          <w:r>
            <w:fldChar w:fldCharType="begin"/>
          </w:r>
          <w:r>
            <w:instrText xml:space="preserve"> PAGEREF _Toc19115 \h </w:instrText>
          </w:r>
          <w:r>
            <w:fldChar w:fldCharType="separate"/>
          </w:r>
          <w:r>
            <w:t>15</w:t>
          </w:r>
          <w:r>
            <w:fldChar w:fldCharType="end"/>
          </w:r>
          <w:r>
            <w:fldChar w:fldCharType="end"/>
          </w:r>
        </w:p>
        <w:p>
          <w:pPr>
            <w:pStyle w:val="19"/>
            <w:tabs>
              <w:tab w:val="right" w:leader="dot" w:pos="8312"/>
            </w:tabs>
          </w:pPr>
          <w:r>
            <w:fldChar w:fldCharType="begin"/>
          </w:r>
          <w:r>
            <w:instrText xml:space="preserve"> HYPERLINK \l _Toc7488 </w:instrText>
          </w:r>
          <w:r>
            <w:fldChar w:fldCharType="separate"/>
          </w:r>
          <w:r>
            <w:rPr>
              <w:rFonts w:hint="eastAsia"/>
            </w:rPr>
            <w:t>2.4 养殖污染防治现状</w:t>
          </w:r>
          <w:r>
            <w:tab/>
          </w:r>
          <w:r>
            <w:fldChar w:fldCharType="begin"/>
          </w:r>
          <w:r>
            <w:instrText xml:space="preserve"> PAGEREF _Toc7488 \h </w:instrText>
          </w:r>
          <w:r>
            <w:fldChar w:fldCharType="separate"/>
          </w:r>
          <w:r>
            <w:t>16</w:t>
          </w:r>
          <w:r>
            <w:fldChar w:fldCharType="end"/>
          </w:r>
          <w:r>
            <w:fldChar w:fldCharType="end"/>
          </w:r>
        </w:p>
        <w:p>
          <w:pPr>
            <w:pStyle w:val="10"/>
            <w:tabs>
              <w:tab w:val="right" w:leader="dot" w:pos="8312"/>
            </w:tabs>
          </w:pPr>
          <w:r>
            <w:fldChar w:fldCharType="begin"/>
          </w:r>
          <w:r>
            <w:instrText xml:space="preserve"> HYPERLINK \l _Toc9559 </w:instrText>
          </w:r>
          <w:r>
            <w:fldChar w:fldCharType="separate"/>
          </w:r>
          <w:r>
            <w:rPr>
              <w:rFonts w:hint="eastAsia"/>
            </w:rPr>
            <w:t>2.4.1 养殖业现状</w:t>
          </w:r>
          <w:r>
            <w:tab/>
          </w:r>
          <w:r>
            <w:fldChar w:fldCharType="begin"/>
          </w:r>
          <w:r>
            <w:instrText xml:space="preserve"> PAGEREF _Toc9559 \h </w:instrText>
          </w:r>
          <w:r>
            <w:fldChar w:fldCharType="separate"/>
          </w:r>
          <w:r>
            <w:t>16</w:t>
          </w:r>
          <w:r>
            <w:fldChar w:fldCharType="end"/>
          </w:r>
          <w:r>
            <w:fldChar w:fldCharType="end"/>
          </w:r>
        </w:p>
        <w:p>
          <w:pPr>
            <w:pStyle w:val="10"/>
            <w:tabs>
              <w:tab w:val="right" w:leader="dot" w:pos="8312"/>
            </w:tabs>
          </w:pPr>
          <w:r>
            <w:fldChar w:fldCharType="begin"/>
          </w:r>
          <w:r>
            <w:instrText xml:space="preserve"> HYPERLINK \l _Toc24699 </w:instrText>
          </w:r>
          <w:r>
            <w:fldChar w:fldCharType="separate"/>
          </w:r>
          <w:r>
            <w:rPr>
              <w:rFonts w:hint="eastAsia"/>
            </w:rPr>
            <w:t>2.4.</w:t>
          </w:r>
          <w:r>
            <w:t>2</w:t>
          </w:r>
          <w:r>
            <w:rPr>
              <w:rFonts w:hint="eastAsia"/>
            </w:rPr>
            <w:t xml:space="preserve"> 污染防治现状</w:t>
          </w:r>
          <w:r>
            <w:tab/>
          </w:r>
          <w:r>
            <w:fldChar w:fldCharType="begin"/>
          </w:r>
          <w:r>
            <w:instrText xml:space="preserve"> PAGEREF _Toc24699 \h </w:instrText>
          </w:r>
          <w:r>
            <w:fldChar w:fldCharType="separate"/>
          </w:r>
          <w:r>
            <w:t>25</w:t>
          </w:r>
          <w:r>
            <w:fldChar w:fldCharType="end"/>
          </w:r>
          <w:r>
            <w:fldChar w:fldCharType="end"/>
          </w:r>
        </w:p>
        <w:p>
          <w:pPr>
            <w:pStyle w:val="10"/>
            <w:tabs>
              <w:tab w:val="right" w:leader="dot" w:pos="8312"/>
            </w:tabs>
          </w:pPr>
          <w:r>
            <w:fldChar w:fldCharType="begin"/>
          </w:r>
          <w:r>
            <w:instrText xml:space="preserve"> HYPERLINK \l _Toc31751 </w:instrText>
          </w:r>
          <w:r>
            <w:fldChar w:fldCharType="separate"/>
          </w:r>
          <w:r>
            <w:rPr>
              <w:rFonts w:hint="eastAsia"/>
            </w:rPr>
            <w:t>2.4.</w:t>
          </w:r>
          <w:r>
            <w:rPr>
              <w:rFonts w:hint="eastAsia"/>
              <w:lang w:val="en-US" w:eastAsia="zh-CN"/>
            </w:rPr>
            <w:t>3</w:t>
          </w:r>
          <w:r>
            <w:rPr>
              <w:rFonts w:hint="eastAsia"/>
            </w:rPr>
            <w:t xml:space="preserve"> 存在的问题</w:t>
          </w:r>
          <w:r>
            <w:tab/>
          </w:r>
          <w:r>
            <w:fldChar w:fldCharType="begin"/>
          </w:r>
          <w:r>
            <w:instrText xml:space="preserve"> PAGEREF _Toc31751 \h </w:instrText>
          </w:r>
          <w:r>
            <w:fldChar w:fldCharType="separate"/>
          </w:r>
          <w:r>
            <w:t>31</w:t>
          </w:r>
          <w:r>
            <w:fldChar w:fldCharType="end"/>
          </w:r>
          <w:r>
            <w:fldChar w:fldCharType="end"/>
          </w:r>
        </w:p>
        <w:p>
          <w:pPr>
            <w:pStyle w:val="16"/>
            <w:tabs>
              <w:tab w:val="right" w:leader="dot" w:pos="8312"/>
            </w:tabs>
          </w:pPr>
          <w:r>
            <w:fldChar w:fldCharType="begin"/>
          </w:r>
          <w:r>
            <w:instrText xml:space="preserve"> HYPERLINK \l _Toc11498 </w:instrText>
          </w:r>
          <w:r>
            <w:fldChar w:fldCharType="separate"/>
          </w:r>
          <w:r>
            <w:rPr>
              <w:rFonts w:hint="eastAsia"/>
              <w:highlight w:val="none"/>
            </w:rPr>
            <w:t>第三章 规划目标</w:t>
          </w:r>
          <w:r>
            <w:tab/>
          </w:r>
          <w:r>
            <w:fldChar w:fldCharType="begin"/>
          </w:r>
          <w:r>
            <w:instrText xml:space="preserve"> PAGEREF _Toc11498 \h </w:instrText>
          </w:r>
          <w:r>
            <w:fldChar w:fldCharType="separate"/>
          </w:r>
          <w:r>
            <w:t>33</w:t>
          </w:r>
          <w:r>
            <w:fldChar w:fldCharType="end"/>
          </w:r>
          <w:r>
            <w:fldChar w:fldCharType="end"/>
          </w:r>
        </w:p>
        <w:p>
          <w:pPr>
            <w:pStyle w:val="19"/>
            <w:tabs>
              <w:tab w:val="right" w:leader="dot" w:pos="8312"/>
            </w:tabs>
          </w:pPr>
          <w:r>
            <w:fldChar w:fldCharType="begin"/>
          </w:r>
          <w:r>
            <w:instrText xml:space="preserve"> HYPERLINK \l _Toc4185 </w:instrText>
          </w:r>
          <w:r>
            <w:fldChar w:fldCharType="separate"/>
          </w:r>
          <w:r>
            <w:rPr>
              <w:rFonts w:hint="eastAsia"/>
            </w:rPr>
            <w:t>3.1规划</w:t>
          </w:r>
          <w:r>
            <w:t>目标</w:t>
          </w:r>
          <w:r>
            <w:tab/>
          </w:r>
          <w:r>
            <w:fldChar w:fldCharType="begin"/>
          </w:r>
          <w:r>
            <w:instrText xml:space="preserve"> PAGEREF _Toc4185 \h </w:instrText>
          </w:r>
          <w:r>
            <w:fldChar w:fldCharType="separate"/>
          </w:r>
          <w:r>
            <w:t>33</w:t>
          </w:r>
          <w:r>
            <w:fldChar w:fldCharType="end"/>
          </w:r>
          <w:r>
            <w:fldChar w:fldCharType="end"/>
          </w:r>
        </w:p>
        <w:p>
          <w:pPr>
            <w:pStyle w:val="10"/>
            <w:tabs>
              <w:tab w:val="right" w:leader="dot" w:pos="8312"/>
            </w:tabs>
          </w:pPr>
          <w:r>
            <w:fldChar w:fldCharType="begin"/>
          </w:r>
          <w:r>
            <w:instrText xml:space="preserve"> HYPERLINK \l _Toc16825 </w:instrText>
          </w:r>
          <w:r>
            <w:fldChar w:fldCharType="separate"/>
          </w:r>
          <w:r>
            <w:rPr>
              <w:rFonts w:hint="eastAsia"/>
            </w:rPr>
            <w:t>3.1.</w:t>
          </w:r>
          <w:r>
            <w:rPr>
              <w:rFonts w:hint="eastAsia"/>
              <w:lang w:val="en-US" w:eastAsia="zh-CN"/>
            </w:rPr>
            <w:t>1</w:t>
          </w:r>
          <w:r>
            <w:rPr>
              <w:rFonts w:hint="eastAsia"/>
            </w:rPr>
            <w:t>规划目标</w:t>
          </w:r>
          <w:r>
            <w:tab/>
          </w:r>
          <w:r>
            <w:fldChar w:fldCharType="begin"/>
          </w:r>
          <w:r>
            <w:instrText xml:space="preserve"> PAGEREF _Toc16825 \h </w:instrText>
          </w:r>
          <w:r>
            <w:fldChar w:fldCharType="separate"/>
          </w:r>
          <w:r>
            <w:t>33</w:t>
          </w:r>
          <w:r>
            <w:fldChar w:fldCharType="end"/>
          </w:r>
          <w:r>
            <w:fldChar w:fldCharType="end"/>
          </w:r>
        </w:p>
        <w:p>
          <w:pPr>
            <w:pStyle w:val="10"/>
            <w:tabs>
              <w:tab w:val="right" w:leader="dot" w:pos="8312"/>
            </w:tabs>
          </w:pPr>
          <w:r>
            <w:fldChar w:fldCharType="begin"/>
          </w:r>
          <w:r>
            <w:instrText xml:space="preserve"> HYPERLINK \l _Toc8389 </w:instrText>
          </w:r>
          <w:r>
            <w:fldChar w:fldCharType="separate"/>
          </w:r>
          <w:r>
            <w:t>3</w:t>
          </w:r>
          <w:r>
            <w:rPr>
              <w:rFonts w:hint="eastAsia"/>
            </w:rPr>
            <w:t>.1.</w:t>
          </w:r>
          <w:r>
            <w:rPr>
              <w:rFonts w:hint="eastAsia"/>
              <w:lang w:val="en-US" w:eastAsia="zh-CN"/>
            </w:rPr>
            <w:t>2</w:t>
          </w:r>
          <w:r>
            <w:rPr>
              <w:rFonts w:hint="eastAsia"/>
            </w:rPr>
            <w:t>规划指标</w:t>
          </w:r>
          <w:r>
            <w:tab/>
          </w:r>
          <w:r>
            <w:fldChar w:fldCharType="begin"/>
          </w:r>
          <w:r>
            <w:instrText xml:space="preserve"> PAGEREF _Toc8389 \h </w:instrText>
          </w:r>
          <w:r>
            <w:fldChar w:fldCharType="separate"/>
          </w:r>
          <w:r>
            <w:t>33</w:t>
          </w:r>
          <w:r>
            <w:fldChar w:fldCharType="end"/>
          </w:r>
          <w:r>
            <w:fldChar w:fldCharType="end"/>
          </w:r>
        </w:p>
        <w:p>
          <w:pPr>
            <w:pStyle w:val="19"/>
            <w:tabs>
              <w:tab w:val="right" w:leader="dot" w:pos="8312"/>
            </w:tabs>
          </w:pPr>
          <w:r>
            <w:fldChar w:fldCharType="begin"/>
          </w:r>
          <w:r>
            <w:instrText xml:space="preserve"> HYPERLINK \l _Toc22412 </w:instrText>
          </w:r>
          <w:r>
            <w:fldChar w:fldCharType="separate"/>
          </w:r>
          <w:r>
            <w:rPr>
              <w:rFonts w:hint="eastAsia"/>
            </w:rPr>
            <w:t>3.2畜禽养殖环境承载力分析</w:t>
          </w:r>
          <w:r>
            <w:tab/>
          </w:r>
          <w:r>
            <w:fldChar w:fldCharType="begin"/>
          </w:r>
          <w:r>
            <w:instrText xml:space="preserve"> PAGEREF _Toc22412 \h </w:instrText>
          </w:r>
          <w:r>
            <w:fldChar w:fldCharType="separate"/>
          </w:r>
          <w:r>
            <w:t>35</w:t>
          </w:r>
          <w:r>
            <w:fldChar w:fldCharType="end"/>
          </w:r>
          <w:r>
            <w:fldChar w:fldCharType="end"/>
          </w:r>
        </w:p>
        <w:p>
          <w:pPr>
            <w:pStyle w:val="10"/>
            <w:tabs>
              <w:tab w:val="right" w:leader="dot" w:pos="8312"/>
            </w:tabs>
          </w:pPr>
          <w:r>
            <w:fldChar w:fldCharType="begin"/>
          </w:r>
          <w:r>
            <w:instrText xml:space="preserve"> HYPERLINK \l _Toc28456 </w:instrText>
          </w:r>
          <w:r>
            <w:fldChar w:fldCharType="separate"/>
          </w:r>
          <w:r>
            <w:rPr>
              <w:rFonts w:hint="eastAsia"/>
            </w:rPr>
            <w:t xml:space="preserve">3.2.1 </w:t>
          </w:r>
          <w:r>
            <w:t>畜禽粪</w:t>
          </w:r>
          <w:r>
            <w:rPr>
              <w:rFonts w:hint="eastAsia"/>
            </w:rPr>
            <w:t>污土地承载力分析</w:t>
          </w:r>
          <w:r>
            <w:tab/>
          </w:r>
          <w:r>
            <w:fldChar w:fldCharType="begin"/>
          </w:r>
          <w:r>
            <w:instrText xml:space="preserve"> PAGEREF _Toc28456 \h </w:instrText>
          </w:r>
          <w:r>
            <w:fldChar w:fldCharType="separate"/>
          </w:r>
          <w:r>
            <w:t>37</w:t>
          </w:r>
          <w:r>
            <w:fldChar w:fldCharType="end"/>
          </w:r>
          <w:r>
            <w:fldChar w:fldCharType="end"/>
          </w:r>
        </w:p>
        <w:p>
          <w:pPr>
            <w:pStyle w:val="10"/>
            <w:tabs>
              <w:tab w:val="right" w:leader="dot" w:pos="8312"/>
            </w:tabs>
          </w:pPr>
          <w:r>
            <w:fldChar w:fldCharType="begin"/>
          </w:r>
          <w:r>
            <w:instrText xml:space="preserve"> HYPERLINK \l _Toc30842 </w:instrText>
          </w:r>
          <w:r>
            <w:fldChar w:fldCharType="separate"/>
          </w:r>
          <w:r>
            <w:rPr>
              <w:rFonts w:hint="eastAsia"/>
            </w:rPr>
            <w:t xml:space="preserve">3.2.2 </w:t>
          </w:r>
          <w:r>
            <w:t>畜禽</w:t>
          </w:r>
          <w:r>
            <w:rPr>
              <w:rFonts w:hint="eastAsia"/>
            </w:rPr>
            <w:t>养殖水环境和水资源承载力分析</w:t>
          </w:r>
          <w:r>
            <w:tab/>
          </w:r>
          <w:r>
            <w:fldChar w:fldCharType="begin"/>
          </w:r>
          <w:r>
            <w:instrText xml:space="preserve"> PAGEREF _Toc30842 \h </w:instrText>
          </w:r>
          <w:r>
            <w:fldChar w:fldCharType="separate"/>
          </w:r>
          <w:r>
            <w:t>42</w:t>
          </w:r>
          <w:r>
            <w:fldChar w:fldCharType="end"/>
          </w:r>
          <w:r>
            <w:fldChar w:fldCharType="end"/>
          </w:r>
        </w:p>
        <w:p>
          <w:pPr>
            <w:pStyle w:val="10"/>
            <w:tabs>
              <w:tab w:val="right" w:leader="dot" w:pos="8312"/>
            </w:tabs>
          </w:pPr>
          <w:r>
            <w:fldChar w:fldCharType="begin"/>
          </w:r>
          <w:r>
            <w:instrText xml:space="preserve"> HYPERLINK \l _Toc17966 </w:instrText>
          </w:r>
          <w:r>
            <w:fldChar w:fldCharType="separate"/>
          </w:r>
          <w:r>
            <w:t>3.2.</w:t>
          </w:r>
          <w:r>
            <w:rPr>
              <w:rFonts w:hint="eastAsia"/>
            </w:rPr>
            <w:t>3畜禽粪污环境承载力分析</w:t>
          </w:r>
          <w:r>
            <w:tab/>
          </w:r>
          <w:r>
            <w:fldChar w:fldCharType="begin"/>
          </w:r>
          <w:r>
            <w:instrText xml:space="preserve"> PAGEREF _Toc17966 \h </w:instrText>
          </w:r>
          <w:r>
            <w:fldChar w:fldCharType="separate"/>
          </w:r>
          <w:r>
            <w:t>43</w:t>
          </w:r>
          <w:r>
            <w:fldChar w:fldCharType="end"/>
          </w:r>
          <w:r>
            <w:fldChar w:fldCharType="end"/>
          </w:r>
        </w:p>
        <w:p>
          <w:pPr>
            <w:pStyle w:val="10"/>
            <w:tabs>
              <w:tab w:val="right" w:leader="dot" w:pos="8312"/>
            </w:tabs>
          </w:pPr>
          <w:r>
            <w:fldChar w:fldCharType="begin"/>
          </w:r>
          <w:r>
            <w:instrText xml:space="preserve"> HYPERLINK \l _Toc20283 </w:instrText>
          </w:r>
          <w:r>
            <w:fldChar w:fldCharType="separate"/>
          </w:r>
          <w:r>
            <w:rPr>
              <w:rFonts w:hint="eastAsia"/>
            </w:rPr>
            <w:t>3.2.4 畜禽</w:t>
          </w:r>
          <w:r>
            <w:t>养殖量控制</w:t>
          </w:r>
          <w:r>
            <w:tab/>
          </w:r>
          <w:r>
            <w:fldChar w:fldCharType="begin"/>
          </w:r>
          <w:r>
            <w:instrText xml:space="preserve"> PAGEREF _Toc20283 \h </w:instrText>
          </w:r>
          <w:r>
            <w:fldChar w:fldCharType="separate"/>
          </w:r>
          <w:r>
            <w:t>43</w:t>
          </w:r>
          <w:r>
            <w:fldChar w:fldCharType="end"/>
          </w:r>
          <w:r>
            <w:fldChar w:fldCharType="end"/>
          </w:r>
        </w:p>
        <w:p>
          <w:pPr>
            <w:pStyle w:val="19"/>
            <w:tabs>
              <w:tab w:val="right" w:leader="dot" w:pos="8312"/>
            </w:tabs>
          </w:pPr>
          <w:r>
            <w:fldChar w:fldCharType="begin"/>
          </w:r>
          <w:r>
            <w:instrText xml:space="preserve"> HYPERLINK \l _Toc16778 </w:instrText>
          </w:r>
          <w:r>
            <w:fldChar w:fldCharType="separate"/>
          </w:r>
          <w:r>
            <w:rPr>
              <w:rFonts w:hint="eastAsia"/>
            </w:rPr>
            <w:t>3.3目标</w:t>
          </w:r>
          <w:r>
            <w:t>可实现性分析</w:t>
          </w:r>
          <w:r>
            <w:tab/>
          </w:r>
          <w:r>
            <w:fldChar w:fldCharType="begin"/>
          </w:r>
          <w:r>
            <w:instrText xml:space="preserve"> PAGEREF _Toc16778 \h </w:instrText>
          </w:r>
          <w:r>
            <w:fldChar w:fldCharType="separate"/>
          </w:r>
          <w:r>
            <w:t>43</w:t>
          </w:r>
          <w:r>
            <w:fldChar w:fldCharType="end"/>
          </w:r>
          <w:r>
            <w:fldChar w:fldCharType="end"/>
          </w:r>
        </w:p>
        <w:p>
          <w:pPr>
            <w:pStyle w:val="16"/>
            <w:tabs>
              <w:tab w:val="right" w:leader="dot" w:pos="8312"/>
            </w:tabs>
          </w:pPr>
          <w:r>
            <w:fldChar w:fldCharType="begin"/>
          </w:r>
          <w:r>
            <w:instrText xml:space="preserve"> HYPERLINK \l _Toc22120 </w:instrText>
          </w:r>
          <w:r>
            <w:fldChar w:fldCharType="separate"/>
          </w:r>
          <w:r>
            <w:rPr>
              <w:rFonts w:hint="eastAsia"/>
            </w:rPr>
            <w:t>第四章 主要任务</w:t>
          </w:r>
          <w:r>
            <w:tab/>
          </w:r>
          <w:r>
            <w:fldChar w:fldCharType="begin"/>
          </w:r>
          <w:r>
            <w:instrText xml:space="preserve"> PAGEREF _Toc22120 \h </w:instrText>
          </w:r>
          <w:r>
            <w:fldChar w:fldCharType="separate"/>
          </w:r>
          <w:r>
            <w:t>46</w:t>
          </w:r>
          <w:r>
            <w:fldChar w:fldCharType="end"/>
          </w:r>
          <w:r>
            <w:fldChar w:fldCharType="end"/>
          </w:r>
        </w:p>
        <w:p>
          <w:pPr>
            <w:pStyle w:val="19"/>
            <w:tabs>
              <w:tab w:val="right" w:leader="dot" w:pos="8312"/>
            </w:tabs>
          </w:pPr>
          <w:r>
            <w:fldChar w:fldCharType="begin"/>
          </w:r>
          <w:r>
            <w:instrText xml:space="preserve"> HYPERLINK \l _Toc22496 </w:instrText>
          </w:r>
          <w:r>
            <w:fldChar w:fldCharType="separate"/>
          </w:r>
          <w:r>
            <w:t>4</w:t>
          </w:r>
          <w:r>
            <w:rPr>
              <w:rFonts w:hint="eastAsia"/>
            </w:rPr>
            <w:t>.</w:t>
          </w:r>
          <w:r>
            <w:t>1</w:t>
          </w:r>
          <w:r>
            <w:rPr>
              <w:rFonts w:hint="eastAsia"/>
            </w:rPr>
            <w:t xml:space="preserve"> 明确畜禽养殖污染治理总体要求</w:t>
          </w:r>
          <w:r>
            <w:tab/>
          </w:r>
          <w:r>
            <w:fldChar w:fldCharType="begin"/>
          </w:r>
          <w:r>
            <w:instrText xml:space="preserve"> PAGEREF _Toc22496 \h </w:instrText>
          </w:r>
          <w:r>
            <w:fldChar w:fldCharType="separate"/>
          </w:r>
          <w:r>
            <w:t>46</w:t>
          </w:r>
          <w:r>
            <w:fldChar w:fldCharType="end"/>
          </w:r>
          <w:r>
            <w:fldChar w:fldCharType="end"/>
          </w:r>
        </w:p>
        <w:p>
          <w:pPr>
            <w:pStyle w:val="10"/>
            <w:tabs>
              <w:tab w:val="right" w:leader="dot" w:pos="8312"/>
            </w:tabs>
          </w:pPr>
          <w:r>
            <w:fldChar w:fldCharType="begin"/>
          </w:r>
          <w:r>
            <w:instrText xml:space="preserve"> HYPERLINK \l _Toc18673 </w:instrText>
          </w:r>
          <w:r>
            <w:fldChar w:fldCharType="separate"/>
          </w:r>
          <w:r>
            <w:rPr>
              <w:rFonts w:hint="eastAsia"/>
            </w:rPr>
            <w:t>4</w:t>
          </w:r>
          <w:r>
            <w:t>.</w:t>
          </w:r>
          <w:r>
            <w:rPr>
              <w:rFonts w:hint="eastAsia"/>
            </w:rPr>
            <w:t>1</w:t>
          </w:r>
          <w:r>
            <w:t>.</w:t>
          </w:r>
          <w:r>
            <w:rPr>
              <w:rFonts w:hint="eastAsia"/>
              <w:lang w:val="en-US" w:eastAsia="zh-CN"/>
            </w:rPr>
            <w:t>1</w:t>
          </w:r>
          <w:r>
            <w:rPr>
              <w:rFonts w:hint="eastAsia"/>
            </w:rPr>
            <w:t xml:space="preserve"> </w:t>
          </w:r>
          <w:r>
            <w:t>引导畜禽养殖业合理布局</w:t>
          </w:r>
          <w:r>
            <w:tab/>
          </w:r>
          <w:r>
            <w:fldChar w:fldCharType="begin"/>
          </w:r>
          <w:r>
            <w:instrText xml:space="preserve"> PAGEREF _Toc18673 \h </w:instrText>
          </w:r>
          <w:r>
            <w:fldChar w:fldCharType="separate"/>
          </w:r>
          <w:r>
            <w:t>46</w:t>
          </w:r>
          <w:r>
            <w:fldChar w:fldCharType="end"/>
          </w:r>
          <w:r>
            <w:fldChar w:fldCharType="end"/>
          </w:r>
        </w:p>
        <w:p>
          <w:pPr>
            <w:pStyle w:val="10"/>
            <w:tabs>
              <w:tab w:val="right" w:leader="dot" w:pos="8312"/>
            </w:tabs>
          </w:pPr>
          <w:r>
            <w:fldChar w:fldCharType="begin"/>
          </w:r>
          <w:r>
            <w:instrText xml:space="preserve"> HYPERLINK \l _Toc13374 </w:instrText>
          </w:r>
          <w:r>
            <w:fldChar w:fldCharType="separate"/>
          </w:r>
          <w:r>
            <w:rPr>
              <w:rFonts w:hint="eastAsia"/>
            </w:rPr>
            <w:t>4</w:t>
          </w:r>
          <w:r>
            <w:t>.</w:t>
          </w:r>
          <w:r>
            <w:rPr>
              <w:rFonts w:hint="eastAsia"/>
            </w:rPr>
            <w:t>1</w:t>
          </w:r>
          <w:r>
            <w:t>.</w:t>
          </w:r>
          <w:r>
            <w:rPr>
              <w:rFonts w:hint="eastAsia"/>
              <w:lang w:val="en-US" w:eastAsia="zh-CN"/>
            </w:rPr>
            <w:t>2</w:t>
          </w:r>
          <w:r>
            <w:rPr>
              <w:rFonts w:hint="eastAsia"/>
            </w:rPr>
            <w:t xml:space="preserve"> </w:t>
          </w:r>
          <w:r>
            <w:t>畜禽养殖空间布局优化建议</w:t>
          </w:r>
          <w:r>
            <w:tab/>
          </w:r>
          <w:r>
            <w:fldChar w:fldCharType="begin"/>
          </w:r>
          <w:r>
            <w:instrText xml:space="preserve"> PAGEREF _Toc13374 \h </w:instrText>
          </w:r>
          <w:r>
            <w:fldChar w:fldCharType="separate"/>
          </w:r>
          <w:r>
            <w:t>47</w:t>
          </w:r>
          <w:r>
            <w:fldChar w:fldCharType="end"/>
          </w:r>
          <w:r>
            <w:fldChar w:fldCharType="end"/>
          </w:r>
        </w:p>
        <w:p>
          <w:pPr>
            <w:pStyle w:val="10"/>
            <w:tabs>
              <w:tab w:val="right" w:leader="dot" w:pos="8312"/>
            </w:tabs>
          </w:pPr>
          <w:r>
            <w:fldChar w:fldCharType="begin"/>
          </w:r>
          <w:r>
            <w:instrText xml:space="preserve"> HYPERLINK \l _Toc6665 </w:instrText>
          </w:r>
          <w:r>
            <w:fldChar w:fldCharType="separate"/>
          </w:r>
          <w:r>
            <w:rPr>
              <w:highlight w:val="none"/>
            </w:rPr>
            <w:t>4</w:t>
          </w:r>
          <w:r>
            <w:rPr>
              <w:rFonts w:hint="eastAsia"/>
              <w:highlight w:val="none"/>
            </w:rPr>
            <w:t>.</w:t>
          </w:r>
          <w:r>
            <w:rPr>
              <w:rFonts w:hint="eastAsia"/>
              <w:highlight w:val="none"/>
              <w:lang w:val="en-US" w:eastAsia="zh-CN"/>
            </w:rPr>
            <w:t>2</w:t>
          </w:r>
          <w:r>
            <w:rPr>
              <w:rFonts w:hint="eastAsia"/>
              <w:highlight w:val="none"/>
            </w:rPr>
            <w:t xml:space="preserve"> </w:t>
          </w:r>
          <w:r>
            <w:rPr>
              <w:rFonts w:hint="eastAsia"/>
              <w:highlight w:val="none"/>
              <w:lang w:eastAsia="zh-CN"/>
            </w:rPr>
            <w:t>贯彻落实畜禽养殖污染防治政策和标准</w:t>
          </w:r>
          <w:r>
            <w:tab/>
          </w:r>
          <w:r>
            <w:fldChar w:fldCharType="begin"/>
          </w:r>
          <w:r>
            <w:instrText xml:space="preserve"> PAGEREF _Toc6665 \h </w:instrText>
          </w:r>
          <w:r>
            <w:fldChar w:fldCharType="separate"/>
          </w:r>
          <w:r>
            <w:t>48</w:t>
          </w:r>
          <w:r>
            <w:fldChar w:fldCharType="end"/>
          </w:r>
          <w:r>
            <w:fldChar w:fldCharType="end"/>
          </w:r>
        </w:p>
        <w:p>
          <w:pPr>
            <w:pStyle w:val="10"/>
            <w:tabs>
              <w:tab w:val="right" w:leader="dot" w:pos="8312"/>
            </w:tabs>
          </w:pPr>
          <w:r>
            <w:fldChar w:fldCharType="begin"/>
          </w:r>
          <w:r>
            <w:instrText xml:space="preserve"> HYPERLINK \l _Toc2047 </w:instrText>
          </w:r>
          <w:r>
            <w:fldChar w:fldCharType="separate"/>
          </w:r>
          <w:r>
            <w:rPr>
              <w:rFonts w:hint="eastAsia"/>
              <w:highlight w:val="none"/>
            </w:rPr>
            <w:t>4.</w:t>
          </w:r>
          <w:r>
            <w:rPr>
              <w:rFonts w:hint="eastAsia"/>
              <w:highlight w:val="none"/>
              <w:lang w:val="en-US" w:eastAsia="zh-CN"/>
            </w:rPr>
            <w:t>2</w:t>
          </w:r>
          <w:r>
            <w:rPr>
              <w:rFonts w:hint="eastAsia"/>
              <w:highlight w:val="none"/>
            </w:rPr>
            <w:t xml:space="preserve">.1 </w:t>
          </w:r>
          <w:r>
            <w:rPr>
              <w:rFonts w:hint="eastAsia"/>
              <w:highlight w:val="none"/>
              <w:lang w:eastAsia="zh-CN"/>
            </w:rPr>
            <w:t>完善污染防治法规配套政策措施</w:t>
          </w:r>
          <w:r>
            <w:tab/>
          </w:r>
          <w:r>
            <w:fldChar w:fldCharType="begin"/>
          </w:r>
          <w:r>
            <w:instrText xml:space="preserve"> PAGEREF _Toc2047 \h </w:instrText>
          </w:r>
          <w:r>
            <w:fldChar w:fldCharType="separate"/>
          </w:r>
          <w:r>
            <w:t>48</w:t>
          </w:r>
          <w:r>
            <w:fldChar w:fldCharType="end"/>
          </w:r>
          <w:r>
            <w:fldChar w:fldCharType="end"/>
          </w:r>
        </w:p>
        <w:p>
          <w:pPr>
            <w:pStyle w:val="10"/>
            <w:tabs>
              <w:tab w:val="right" w:leader="dot" w:pos="8312"/>
            </w:tabs>
          </w:pPr>
          <w:r>
            <w:fldChar w:fldCharType="begin"/>
          </w:r>
          <w:r>
            <w:instrText xml:space="preserve"> HYPERLINK \l _Toc19553 </w:instrText>
          </w:r>
          <w:r>
            <w:fldChar w:fldCharType="separate"/>
          </w:r>
          <w:r>
            <w:rPr>
              <w:rFonts w:hint="eastAsia"/>
              <w:highlight w:val="none"/>
            </w:rPr>
            <w:t>4.</w:t>
          </w: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 xml:space="preserve"> </w:t>
          </w:r>
          <w:r>
            <w:rPr>
              <w:rFonts w:hint="eastAsia"/>
              <w:highlight w:val="none"/>
              <w:lang w:eastAsia="zh-CN"/>
            </w:rPr>
            <w:t>完善畜禽养殖污染防治标准体系</w:t>
          </w:r>
          <w:r>
            <w:tab/>
          </w:r>
          <w:r>
            <w:fldChar w:fldCharType="begin"/>
          </w:r>
          <w:r>
            <w:instrText xml:space="preserve"> PAGEREF _Toc19553 \h </w:instrText>
          </w:r>
          <w:r>
            <w:fldChar w:fldCharType="separate"/>
          </w:r>
          <w:r>
            <w:t>48</w:t>
          </w:r>
          <w:r>
            <w:fldChar w:fldCharType="end"/>
          </w:r>
          <w:r>
            <w:fldChar w:fldCharType="end"/>
          </w:r>
        </w:p>
        <w:p>
          <w:pPr>
            <w:pStyle w:val="19"/>
            <w:tabs>
              <w:tab w:val="right" w:leader="dot" w:pos="8312"/>
            </w:tabs>
          </w:pPr>
          <w:r>
            <w:fldChar w:fldCharType="begin"/>
          </w:r>
          <w:r>
            <w:instrText xml:space="preserve"> HYPERLINK \l _Toc5612 </w:instrText>
          </w:r>
          <w:r>
            <w:fldChar w:fldCharType="separate"/>
          </w:r>
          <w:r>
            <w:rPr>
              <w:highlight w:val="none"/>
            </w:rPr>
            <w:t>4</w:t>
          </w:r>
          <w:r>
            <w:rPr>
              <w:rFonts w:hint="eastAsia"/>
              <w:highlight w:val="none"/>
            </w:rPr>
            <w:t>.</w:t>
          </w:r>
          <w:r>
            <w:rPr>
              <w:rFonts w:hint="eastAsia"/>
              <w:highlight w:val="none"/>
              <w:lang w:val="en-US" w:eastAsia="zh-CN"/>
            </w:rPr>
            <w:t>3</w:t>
          </w:r>
          <w:r>
            <w:rPr>
              <w:rFonts w:hint="eastAsia"/>
              <w:highlight w:val="none"/>
            </w:rPr>
            <w:t xml:space="preserve"> 提升畜禽粪污资源化利用水平</w:t>
          </w:r>
          <w:r>
            <w:tab/>
          </w:r>
          <w:r>
            <w:fldChar w:fldCharType="begin"/>
          </w:r>
          <w:r>
            <w:instrText xml:space="preserve"> PAGEREF _Toc5612 \h </w:instrText>
          </w:r>
          <w:r>
            <w:fldChar w:fldCharType="separate"/>
          </w:r>
          <w:r>
            <w:t>49</w:t>
          </w:r>
          <w:r>
            <w:fldChar w:fldCharType="end"/>
          </w:r>
          <w:r>
            <w:fldChar w:fldCharType="end"/>
          </w:r>
        </w:p>
        <w:p>
          <w:pPr>
            <w:pStyle w:val="10"/>
            <w:tabs>
              <w:tab w:val="right" w:leader="dot" w:pos="8312"/>
            </w:tabs>
          </w:pPr>
          <w:r>
            <w:fldChar w:fldCharType="begin"/>
          </w:r>
          <w:r>
            <w:instrText xml:space="preserve"> HYPERLINK \l _Toc2485 </w:instrText>
          </w:r>
          <w:r>
            <w:fldChar w:fldCharType="separate"/>
          </w:r>
          <w:r>
            <w:rPr>
              <w:rFonts w:hint="eastAsia"/>
              <w:highlight w:val="none"/>
            </w:rPr>
            <w:t>4.</w:t>
          </w:r>
          <w:r>
            <w:rPr>
              <w:rFonts w:hint="eastAsia"/>
              <w:highlight w:val="none"/>
              <w:lang w:val="en-US" w:eastAsia="zh-CN"/>
            </w:rPr>
            <w:t>3</w:t>
          </w:r>
          <w:r>
            <w:rPr>
              <w:rFonts w:hint="eastAsia"/>
              <w:highlight w:val="none"/>
            </w:rPr>
            <w:t>.1 消纳土地充足区域粪肥处理利用模式</w:t>
          </w:r>
          <w:r>
            <w:tab/>
          </w:r>
          <w:r>
            <w:fldChar w:fldCharType="begin"/>
          </w:r>
          <w:r>
            <w:instrText xml:space="preserve"> PAGEREF _Toc2485 \h </w:instrText>
          </w:r>
          <w:r>
            <w:fldChar w:fldCharType="separate"/>
          </w:r>
          <w:r>
            <w:t>49</w:t>
          </w:r>
          <w:r>
            <w:fldChar w:fldCharType="end"/>
          </w:r>
          <w:r>
            <w:fldChar w:fldCharType="end"/>
          </w:r>
        </w:p>
        <w:p>
          <w:pPr>
            <w:pStyle w:val="10"/>
            <w:tabs>
              <w:tab w:val="right" w:leader="dot" w:pos="8312"/>
            </w:tabs>
          </w:pPr>
          <w:r>
            <w:fldChar w:fldCharType="begin"/>
          </w:r>
          <w:r>
            <w:instrText xml:space="preserve"> HYPERLINK \l _Toc12495 </w:instrText>
          </w:r>
          <w:r>
            <w:fldChar w:fldCharType="separate"/>
          </w:r>
          <w:r>
            <w:rPr>
              <w:rFonts w:hint="eastAsia"/>
            </w:rPr>
            <w:t>4.</w:t>
          </w:r>
          <w:r>
            <w:rPr>
              <w:rFonts w:hint="eastAsia"/>
              <w:lang w:val="en-US" w:eastAsia="zh-CN"/>
            </w:rPr>
            <w:t>3</w:t>
          </w:r>
          <w:r>
            <w:rPr>
              <w:rFonts w:hint="eastAsia"/>
            </w:rPr>
            <w:t>.2 消纳土地不足区域粪肥处理利用模式</w:t>
          </w:r>
          <w:r>
            <w:tab/>
          </w:r>
          <w:r>
            <w:fldChar w:fldCharType="begin"/>
          </w:r>
          <w:r>
            <w:instrText xml:space="preserve"> PAGEREF _Toc12495 \h </w:instrText>
          </w:r>
          <w:r>
            <w:fldChar w:fldCharType="separate"/>
          </w:r>
          <w:r>
            <w:t>49</w:t>
          </w:r>
          <w:r>
            <w:fldChar w:fldCharType="end"/>
          </w:r>
          <w:r>
            <w:fldChar w:fldCharType="end"/>
          </w:r>
        </w:p>
        <w:p>
          <w:pPr>
            <w:pStyle w:val="10"/>
            <w:tabs>
              <w:tab w:val="right" w:leader="dot" w:pos="8312"/>
            </w:tabs>
          </w:pPr>
          <w:r>
            <w:fldChar w:fldCharType="begin"/>
          </w:r>
          <w:r>
            <w:instrText xml:space="preserve"> HYPERLINK \l _Toc6419 </w:instrText>
          </w:r>
          <w:r>
            <w:fldChar w:fldCharType="separate"/>
          </w:r>
          <w:r>
            <w:rPr>
              <w:rFonts w:hint="eastAsia"/>
            </w:rPr>
            <w:t>4.</w:t>
          </w:r>
          <w:r>
            <w:rPr>
              <w:rFonts w:hint="eastAsia"/>
              <w:lang w:val="en-US" w:eastAsia="zh-CN"/>
            </w:rPr>
            <w:t>3</w:t>
          </w:r>
          <w:r>
            <w:rPr>
              <w:rFonts w:hint="eastAsia"/>
            </w:rPr>
            <w:t>.3 畜禽粪污无害化处理总流程</w:t>
          </w:r>
          <w:r>
            <w:tab/>
          </w:r>
          <w:r>
            <w:fldChar w:fldCharType="begin"/>
          </w:r>
          <w:r>
            <w:instrText xml:space="preserve"> PAGEREF _Toc6419 \h </w:instrText>
          </w:r>
          <w:r>
            <w:fldChar w:fldCharType="separate"/>
          </w:r>
          <w:r>
            <w:t>50</w:t>
          </w:r>
          <w:r>
            <w:fldChar w:fldCharType="end"/>
          </w:r>
          <w:r>
            <w:fldChar w:fldCharType="end"/>
          </w:r>
        </w:p>
        <w:p>
          <w:pPr>
            <w:pStyle w:val="19"/>
            <w:tabs>
              <w:tab w:val="right" w:leader="dot" w:pos="8312"/>
            </w:tabs>
          </w:pPr>
          <w:r>
            <w:fldChar w:fldCharType="begin"/>
          </w:r>
          <w:r>
            <w:instrText xml:space="preserve"> HYPERLINK \l _Toc22720 </w:instrText>
          </w:r>
          <w:r>
            <w:fldChar w:fldCharType="separate"/>
          </w:r>
          <w:r>
            <w:t>4</w:t>
          </w:r>
          <w:r>
            <w:rPr>
              <w:rFonts w:hint="eastAsia"/>
            </w:rPr>
            <w:t>.</w:t>
          </w:r>
          <w:r>
            <w:rPr>
              <w:rFonts w:hint="eastAsia"/>
              <w:lang w:val="en-US" w:eastAsia="zh-CN"/>
            </w:rPr>
            <w:t>4</w:t>
          </w:r>
          <w:r>
            <w:rPr>
              <w:rFonts w:hint="eastAsia"/>
            </w:rPr>
            <w:t xml:space="preserve"> 完善粪污处理和利用设施</w:t>
          </w:r>
          <w:r>
            <w:tab/>
          </w:r>
          <w:r>
            <w:fldChar w:fldCharType="begin"/>
          </w:r>
          <w:r>
            <w:instrText xml:space="preserve"> PAGEREF _Toc22720 \h </w:instrText>
          </w:r>
          <w:r>
            <w:fldChar w:fldCharType="separate"/>
          </w:r>
          <w:r>
            <w:t>51</w:t>
          </w:r>
          <w:r>
            <w:fldChar w:fldCharType="end"/>
          </w:r>
          <w:r>
            <w:fldChar w:fldCharType="end"/>
          </w:r>
        </w:p>
        <w:p>
          <w:pPr>
            <w:pStyle w:val="10"/>
            <w:tabs>
              <w:tab w:val="right" w:leader="dot" w:pos="8312"/>
            </w:tabs>
          </w:pPr>
          <w:r>
            <w:fldChar w:fldCharType="begin"/>
          </w:r>
          <w:r>
            <w:instrText xml:space="preserve"> HYPERLINK \l _Toc15551 </w:instrText>
          </w:r>
          <w:r>
            <w:fldChar w:fldCharType="separate"/>
          </w:r>
          <w:r>
            <w:rPr>
              <w:rFonts w:hint="eastAsia"/>
            </w:rPr>
            <w:t>4</w:t>
          </w:r>
          <w:r>
            <w:t>.</w:t>
          </w:r>
          <w:r>
            <w:rPr>
              <w:rFonts w:hint="eastAsia"/>
              <w:lang w:val="en-US" w:eastAsia="zh-CN"/>
            </w:rPr>
            <w:t>4</w:t>
          </w:r>
          <w:r>
            <w:t xml:space="preserve">.1 </w:t>
          </w:r>
          <w:r>
            <w:rPr>
              <w:rFonts w:hint="eastAsia"/>
            </w:rPr>
            <w:t>养殖场（户）设施建设</w:t>
          </w:r>
          <w:r>
            <w:tab/>
          </w:r>
          <w:r>
            <w:fldChar w:fldCharType="begin"/>
          </w:r>
          <w:r>
            <w:instrText xml:space="preserve"> PAGEREF _Toc15551 \h </w:instrText>
          </w:r>
          <w:r>
            <w:fldChar w:fldCharType="separate"/>
          </w:r>
          <w:r>
            <w:t>51</w:t>
          </w:r>
          <w:r>
            <w:fldChar w:fldCharType="end"/>
          </w:r>
          <w:r>
            <w:fldChar w:fldCharType="end"/>
          </w:r>
        </w:p>
        <w:p>
          <w:pPr>
            <w:pStyle w:val="10"/>
            <w:tabs>
              <w:tab w:val="right" w:leader="dot" w:pos="8312"/>
            </w:tabs>
          </w:pPr>
          <w:r>
            <w:fldChar w:fldCharType="begin"/>
          </w:r>
          <w:r>
            <w:instrText xml:space="preserve"> HYPERLINK \l _Toc16990 </w:instrText>
          </w:r>
          <w:r>
            <w:fldChar w:fldCharType="separate"/>
          </w:r>
          <w:r>
            <w:rPr>
              <w:rFonts w:hint="eastAsia"/>
            </w:rPr>
            <w:t>4</w:t>
          </w:r>
          <w:r>
            <w:t>.</w:t>
          </w:r>
          <w:r>
            <w:rPr>
              <w:rFonts w:hint="eastAsia"/>
              <w:lang w:val="en-US" w:eastAsia="zh-CN"/>
            </w:rPr>
            <w:t>4</w:t>
          </w:r>
          <w:r>
            <w:t xml:space="preserve">.2 </w:t>
          </w:r>
          <w:r>
            <w:rPr>
              <w:rFonts w:hint="eastAsia"/>
            </w:rPr>
            <w:t>田间配套设施建设</w:t>
          </w:r>
          <w:r>
            <w:tab/>
          </w:r>
          <w:r>
            <w:fldChar w:fldCharType="begin"/>
          </w:r>
          <w:r>
            <w:instrText xml:space="preserve"> PAGEREF _Toc16990 \h </w:instrText>
          </w:r>
          <w:r>
            <w:fldChar w:fldCharType="separate"/>
          </w:r>
          <w:r>
            <w:t>52</w:t>
          </w:r>
          <w:r>
            <w:fldChar w:fldCharType="end"/>
          </w:r>
          <w:r>
            <w:fldChar w:fldCharType="end"/>
          </w:r>
        </w:p>
        <w:p>
          <w:pPr>
            <w:pStyle w:val="10"/>
            <w:tabs>
              <w:tab w:val="right" w:leader="dot" w:pos="8312"/>
            </w:tabs>
          </w:pPr>
          <w:r>
            <w:fldChar w:fldCharType="begin"/>
          </w:r>
          <w:r>
            <w:instrText xml:space="preserve"> HYPERLINK \l _Toc3232 </w:instrText>
          </w:r>
          <w:r>
            <w:fldChar w:fldCharType="separate"/>
          </w:r>
          <w:r>
            <w:t>4</w:t>
          </w:r>
          <w:r>
            <w:rPr>
              <w:rFonts w:hint="eastAsia"/>
            </w:rPr>
            <w:t>.</w:t>
          </w:r>
          <w:r>
            <w:rPr>
              <w:rFonts w:hint="eastAsia"/>
              <w:lang w:val="en-US" w:eastAsia="zh-CN"/>
            </w:rPr>
            <w:t>4</w:t>
          </w:r>
          <w:r>
            <w:rPr>
              <w:rFonts w:hint="eastAsia"/>
            </w:rPr>
            <w:t>.3粪污转运及集中处理中心</w:t>
          </w:r>
          <w:r>
            <w:tab/>
          </w:r>
          <w:r>
            <w:fldChar w:fldCharType="begin"/>
          </w:r>
          <w:r>
            <w:instrText xml:space="preserve"> PAGEREF _Toc3232 \h </w:instrText>
          </w:r>
          <w:r>
            <w:fldChar w:fldCharType="separate"/>
          </w:r>
          <w:r>
            <w:t>52</w:t>
          </w:r>
          <w:r>
            <w:fldChar w:fldCharType="end"/>
          </w:r>
          <w:r>
            <w:fldChar w:fldCharType="end"/>
          </w:r>
        </w:p>
        <w:p>
          <w:pPr>
            <w:pStyle w:val="19"/>
            <w:tabs>
              <w:tab w:val="right" w:leader="dot" w:pos="8312"/>
            </w:tabs>
          </w:pPr>
          <w:r>
            <w:fldChar w:fldCharType="begin"/>
          </w:r>
          <w:r>
            <w:instrText xml:space="preserve"> HYPERLINK \l _Toc3247 </w:instrText>
          </w:r>
          <w:r>
            <w:fldChar w:fldCharType="separate"/>
          </w:r>
          <w:r>
            <w:t>4</w:t>
          </w:r>
          <w:r>
            <w:rPr>
              <w:rFonts w:hint="eastAsia"/>
            </w:rPr>
            <w:t>.</w:t>
          </w:r>
          <w:r>
            <w:rPr>
              <w:rFonts w:hint="eastAsia"/>
              <w:lang w:val="en-US" w:eastAsia="zh-CN"/>
            </w:rPr>
            <w:t>5</w:t>
          </w:r>
          <w:r>
            <w:rPr>
              <w:rFonts w:hint="eastAsia"/>
            </w:rPr>
            <w:t xml:space="preserve"> 建立健全台账管理制度</w:t>
          </w:r>
          <w:r>
            <w:tab/>
          </w:r>
          <w:r>
            <w:fldChar w:fldCharType="begin"/>
          </w:r>
          <w:r>
            <w:instrText xml:space="preserve"> PAGEREF _Toc3247 \h </w:instrText>
          </w:r>
          <w:r>
            <w:fldChar w:fldCharType="separate"/>
          </w:r>
          <w:r>
            <w:t>53</w:t>
          </w:r>
          <w:r>
            <w:fldChar w:fldCharType="end"/>
          </w:r>
          <w:r>
            <w:fldChar w:fldCharType="end"/>
          </w:r>
        </w:p>
        <w:p>
          <w:pPr>
            <w:pStyle w:val="19"/>
            <w:tabs>
              <w:tab w:val="right" w:leader="dot" w:pos="8312"/>
            </w:tabs>
          </w:pPr>
          <w:r>
            <w:fldChar w:fldCharType="begin"/>
          </w:r>
          <w:r>
            <w:instrText xml:space="preserve"> HYPERLINK \l _Toc24435 </w:instrText>
          </w:r>
          <w:r>
            <w:fldChar w:fldCharType="separate"/>
          </w:r>
          <w:r>
            <w:t>4</w:t>
          </w:r>
          <w:r>
            <w:rPr>
              <w:rFonts w:hint="eastAsia"/>
            </w:rPr>
            <w:t>.</w:t>
          </w:r>
          <w:r>
            <w:rPr>
              <w:rFonts w:hint="eastAsia"/>
              <w:lang w:val="en-US" w:eastAsia="zh-CN"/>
            </w:rPr>
            <w:t>6</w:t>
          </w:r>
          <w:r>
            <w:rPr>
              <w:rFonts w:hint="eastAsia"/>
            </w:rPr>
            <w:t xml:space="preserve"> </w:t>
          </w:r>
          <w:r>
            <w:rPr>
              <w:rFonts w:hint="eastAsia"/>
              <w:lang w:eastAsia="zh-CN"/>
            </w:rPr>
            <w:t>完善畜禽养殖业环境监测体系</w:t>
          </w:r>
          <w:r>
            <w:tab/>
          </w:r>
          <w:r>
            <w:fldChar w:fldCharType="begin"/>
          </w:r>
          <w:r>
            <w:instrText xml:space="preserve"> PAGEREF _Toc24435 \h </w:instrText>
          </w:r>
          <w:r>
            <w:fldChar w:fldCharType="separate"/>
          </w:r>
          <w:r>
            <w:t>53</w:t>
          </w:r>
          <w:r>
            <w:fldChar w:fldCharType="end"/>
          </w:r>
          <w:r>
            <w:fldChar w:fldCharType="end"/>
          </w:r>
        </w:p>
        <w:p>
          <w:pPr>
            <w:pStyle w:val="19"/>
            <w:tabs>
              <w:tab w:val="right" w:leader="dot" w:pos="8312"/>
            </w:tabs>
          </w:pPr>
          <w:r>
            <w:fldChar w:fldCharType="begin"/>
          </w:r>
          <w:r>
            <w:instrText xml:space="preserve"> HYPERLINK \l _Toc24580 </w:instrText>
          </w:r>
          <w:r>
            <w:fldChar w:fldCharType="separate"/>
          </w:r>
          <w:r>
            <w:t>4</w:t>
          </w:r>
          <w:r>
            <w:rPr>
              <w:rFonts w:hint="eastAsia"/>
            </w:rPr>
            <w:t>.</w:t>
          </w:r>
          <w:r>
            <w:rPr>
              <w:rFonts w:hint="eastAsia"/>
              <w:lang w:val="en-US" w:eastAsia="zh-CN"/>
            </w:rPr>
            <w:t>7</w:t>
          </w:r>
          <w:r>
            <w:rPr>
              <w:rFonts w:hint="eastAsia"/>
            </w:rPr>
            <w:t xml:space="preserve"> 培育社会化服务组织</w:t>
          </w:r>
          <w:r>
            <w:tab/>
          </w:r>
          <w:r>
            <w:fldChar w:fldCharType="begin"/>
          </w:r>
          <w:r>
            <w:instrText xml:space="preserve"> PAGEREF _Toc24580 \h </w:instrText>
          </w:r>
          <w:r>
            <w:fldChar w:fldCharType="separate"/>
          </w:r>
          <w:r>
            <w:t>54</w:t>
          </w:r>
          <w:r>
            <w:fldChar w:fldCharType="end"/>
          </w:r>
          <w:r>
            <w:fldChar w:fldCharType="end"/>
          </w:r>
        </w:p>
        <w:p>
          <w:pPr>
            <w:pStyle w:val="19"/>
            <w:tabs>
              <w:tab w:val="right" w:leader="dot" w:pos="8312"/>
            </w:tabs>
          </w:pPr>
          <w:r>
            <w:fldChar w:fldCharType="begin"/>
          </w:r>
          <w:r>
            <w:instrText xml:space="preserve"> HYPERLINK \l _Toc24231 </w:instrText>
          </w:r>
          <w:r>
            <w:fldChar w:fldCharType="separate"/>
          </w:r>
          <w:r>
            <w:t>4</w:t>
          </w:r>
          <w:r>
            <w:rPr>
              <w:rFonts w:hint="eastAsia"/>
            </w:rPr>
            <w:t>.</w:t>
          </w:r>
          <w:r>
            <w:rPr>
              <w:rFonts w:hint="eastAsia"/>
              <w:lang w:val="en-US" w:eastAsia="zh-CN"/>
            </w:rPr>
            <w:t>8</w:t>
          </w:r>
          <w:r>
            <w:rPr>
              <w:rFonts w:hint="eastAsia"/>
            </w:rPr>
            <w:t xml:space="preserve"> 强化环境监管</w:t>
          </w:r>
          <w:r>
            <w:tab/>
          </w:r>
          <w:r>
            <w:fldChar w:fldCharType="begin"/>
          </w:r>
          <w:r>
            <w:instrText xml:space="preserve"> PAGEREF _Toc24231 \h </w:instrText>
          </w:r>
          <w:r>
            <w:fldChar w:fldCharType="separate"/>
          </w:r>
          <w:r>
            <w:t>54</w:t>
          </w:r>
          <w:r>
            <w:fldChar w:fldCharType="end"/>
          </w:r>
          <w:r>
            <w:fldChar w:fldCharType="end"/>
          </w:r>
        </w:p>
        <w:p>
          <w:pPr>
            <w:pStyle w:val="19"/>
            <w:tabs>
              <w:tab w:val="right" w:leader="dot" w:pos="8312"/>
            </w:tabs>
          </w:pPr>
          <w:r>
            <w:fldChar w:fldCharType="begin"/>
          </w:r>
          <w:r>
            <w:instrText xml:space="preserve"> HYPERLINK \l _Toc8705 </w:instrText>
          </w:r>
          <w:r>
            <w:fldChar w:fldCharType="separate"/>
          </w:r>
          <w:r>
            <w:t>4</w:t>
          </w:r>
          <w:r>
            <w:rPr>
              <w:rFonts w:hint="eastAsia"/>
            </w:rPr>
            <w:t>.</w:t>
          </w:r>
          <w:r>
            <w:rPr>
              <w:rFonts w:hint="eastAsia"/>
              <w:lang w:val="en-US" w:eastAsia="zh-CN"/>
            </w:rPr>
            <w:t>9</w:t>
          </w:r>
          <w:r>
            <w:rPr>
              <w:rFonts w:hint="eastAsia"/>
            </w:rPr>
            <w:t xml:space="preserve"> </w:t>
          </w:r>
          <w:r>
            <w:rPr>
              <w:rFonts w:hint="eastAsia"/>
              <w:lang w:eastAsia="zh-CN"/>
            </w:rPr>
            <w:t>强化畜禽养殖业环境监督执法</w:t>
          </w:r>
          <w:r>
            <w:tab/>
          </w:r>
          <w:r>
            <w:fldChar w:fldCharType="begin"/>
          </w:r>
          <w:r>
            <w:instrText xml:space="preserve"> PAGEREF _Toc8705 \h </w:instrText>
          </w:r>
          <w:r>
            <w:fldChar w:fldCharType="separate"/>
          </w:r>
          <w:r>
            <w:t>55</w:t>
          </w:r>
          <w:r>
            <w:fldChar w:fldCharType="end"/>
          </w:r>
          <w:r>
            <w:fldChar w:fldCharType="end"/>
          </w:r>
        </w:p>
        <w:p>
          <w:pPr>
            <w:pStyle w:val="19"/>
            <w:tabs>
              <w:tab w:val="right" w:leader="dot" w:pos="8312"/>
            </w:tabs>
          </w:pPr>
          <w:r>
            <w:fldChar w:fldCharType="begin"/>
          </w:r>
          <w:r>
            <w:instrText xml:space="preserve"> HYPERLINK \l _Toc32705 </w:instrText>
          </w:r>
          <w:r>
            <w:fldChar w:fldCharType="separate"/>
          </w:r>
          <w:r>
            <w:t>4</w:t>
          </w:r>
          <w:r>
            <w:rPr>
              <w:rFonts w:hint="eastAsia"/>
            </w:rPr>
            <w:t>.</w:t>
          </w:r>
          <w:r>
            <w:rPr>
              <w:rFonts w:hint="eastAsia"/>
              <w:lang w:val="en-US" w:eastAsia="zh-CN"/>
            </w:rPr>
            <w:t>10</w:t>
          </w:r>
          <w:r>
            <w:rPr>
              <w:rFonts w:hint="eastAsia"/>
            </w:rPr>
            <w:t xml:space="preserve"> </w:t>
          </w:r>
          <w:r>
            <w:rPr>
              <w:rFonts w:hint="eastAsia"/>
              <w:lang w:eastAsia="zh-CN"/>
            </w:rPr>
            <w:t>提升畜禽养殖信息化管理水平</w:t>
          </w:r>
          <w:r>
            <w:tab/>
          </w:r>
          <w:r>
            <w:fldChar w:fldCharType="begin"/>
          </w:r>
          <w:r>
            <w:instrText xml:space="preserve"> PAGEREF _Toc32705 \h </w:instrText>
          </w:r>
          <w:r>
            <w:fldChar w:fldCharType="separate"/>
          </w:r>
          <w:r>
            <w:t>56</w:t>
          </w:r>
          <w:r>
            <w:fldChar w:fldCharType="end"/>
          </w:r>
          <w:r>
            <w:fldChar w:fldCharType="end"/>
          </w:r>
        </w:p>
        <w:p>
          <w:pPr>
            <w:pStyle w:val="16"/>
            <w:tabs>
              <w:tab w:val="right" w:leader="dot" w:pos="8312"/>
            </w:tabs>
          </w:pPr>
          <w:r>
            <w:fldChar w:fldCharType="begin"/>
          </w:r>
          <w:r>
            <w:instrText xml:space="preserve"> HYPERLINK \l _Toc22907 </w:instrText>
          </w:r>
          <w:r>
            <w:fldChar w:fldCharType="separate"/>
          </w:r>
          <w:r>
            <w:rPr>
              <w:rFonts w:hint="eastAsia"/>
            </w:rPr>
            <w:t>第五章 重点工程</w:t>
          </w:r>
          <w:r>
            <w:tab/>
          </w:r>
          <w:r>
            <w:fldChar w:fldCharType="begin"/>
          </w:r>
          <w:r>
            <w:instrText xml:space="preserve"> PAGEREF _Toc22907 \h </w:instrText>
          </w:r>
          <w:r>
            <w:fldChar w:fldCharType="separate"/>
          </w:r>
          <w:r>
            <w:t>57</w:t>
          </w:r>
          <w:r>
            <w:fldChar w:fldCharType="end"/>
          </w:r>
          <w:r>
            <w:fldChar w:fldCharType="end"/>
          </w:r>
        </w:p>
        <w:p>
          <w:pPr>
            <w:pStyle w:val="19"/>
            <w:tabs>
              <w:tab w:val="right" w:leader="dot" w:pos="8312"/>
            </w:tabs>
          </w:pPr>
          <w:r>
            <w:fldChar w:fldCharType="begin"/>
          </w:r>
          <w:r>
            <w:instrText xml:space="preserve"> HYPERLINK \l _Toc12688 </w:instrText>
          </w:r>
          <w:r>
            <w:fldChar w:fldCharType="separate"/>
          </w:r>
          <w:r>
            <w:t>5</w:t>
          </w:r>
          <w:r>
            <w:rPr>
              <w:rFonts w:hint="eastAsia"/>
            </w:rPr>
            <w:t>.</w:t>
          </w:r>
          <w:r>
            <w:t>1</w:t>
          </w:r>
          <w:r>
            <w:rPr>
              <w:rFonts w:hint="eastAsia"/>
            </w:rPr>
            <w:t>畜禽养殖场户粪污处理设施建设</w:t>
          </w:r>
          <w:r>
            <w:tab/>
          </w:r>
          <w:r>
            <w:fldChar w:fldCharType="begin"/>
          </w:r>
          <w:r>
            <w:instrText xml:space="preserve"> PAGEREF _Toc12688 \h </w:instrText>
          </w:r>
          <w:r>
            <w:fldChar w:fldCharType="separate"/>
          </w:r>
          <w:r>
            <w:t>57</w:t>
          </w:r>
          <w:r>
            <w:fldChar w:fldCharType="end"/>
          </w:r>
          <w:r>
            <w:fldChar w:fldCharType="end"/>
          </w:r>
        </w:p>
        <w:p>
          <w:pPr>
            <w:pStyle w:val="10"/>
            <w:tabs>
              <w:tab w:val="right" w:leader="dot" w:pos="8312"/>
            </w:tabs>
          </w:pPr>
          <w:r>
            <w:fldChar w:fldCharType="begin"/>
          </w:r>
          <w:r>
            <w:instrText xml:space="preserve"> HYPERLINK \l _Toc32505 </w:instrText>
          </w:r>
          <w:r>
            <w:fldChar w:fldCharType="separate"/>
          </w:r>
          <w:r>
            <w:rPr>
              <w:rFonts w:hint="eastAsia"/>
            </w:rPr>
            <w:t>5.1.1 畜禽规模养殖场</w:t>
          </w:r>
          <w:r>
            <w:tab/>
          </w:r>
          <w:r>
            <w:fldChar w:fldCharType="begin"/>
          </w:r>
          <w:r>
            <w:instrText xml:space="preserve"> PAGEREF _Toc32505 \h </w:instrText>
          </w:r>
          <w:r>
            <w:fldChar w:fldCharType="separate"/>
          </w:r>
          <w:r>
            <w:t>59</w:t>
          </w:r>
          <w:r>
            <w:fldChar w:fldCharType="end"/>
          </w:r>
          <w:r>
            <w:fldChar w:fldCharType="end"/>
          </w:r>
        </w:p>
        <w:p>
          <w:pPr>
            <w:pStyle w:val="10"/>
            <w:tabs>
              <w:tab w:val="right" w:leader="dot" w:pos="8312"/>
            </w:tabs>
          </w:pPr>
          <w:r>
            <w:fldChar w:fldCharType="begin"/>
          </w:r>
          <w:r>
            <w:instrText xml:space="preserve"> HYPERLINK \l _Toc17781 </w:instrText>
          </w:r>
          <w:r>
            <w:fldChar w:fldCharType="separate"/>
          </w:r>
          <w:r>
            <w:rPr>
              <w:rFonts w:hint="eastAsia"/>
            </w:rPr>
            <w:t>5.1.2 畜禽规模以下养殖户</w:t>
          </w:r>
          <w:r>
            <w:tab/>
          </w:r>
          <w:r>
            <w:fldChar w:fldCharType="begin"/>
          </w:r>
          <w:r>
            <w:instrText xml:space="preserve"> PAGEREF _Toc17781 \h </w:instrText>
          </w:r>
          <w:r>
            <w:fldChar w:fldCharType="separate"/>
          </w:r>
          <w:r>
            <w:t>59</w:t>
          </w:r>
          <w:r>
            <w:fldChar w:fldCharType="end"/>
          </w:r>
          <w:r>
            <w:fldChar w:fldCharType="end"/>
          </w:r>
        </w:p>
        <w:p>
          <w:pPr>
            <w:pStyle w:val="19"/>
            <w:tabs>
              <w:tab w:val="right" w:leader="dot" w:pos="8312"/>
            </w:tabs>
          </w:pPr>
          <w:r>
            <w:fldChar w:fldCharType="begin"/>
          </w:r>
          <w:r>
            <w:instrText xml:space="preserve"> HYPERLINK \l _Toc5833 </w:instrText>
          </w:r>
          <w:r>
            <w:fldChar w:fldCharType="separate"/>
          </w:r>
          <w:r>
            <w:t>5</w:t>
          </w:r>
          <w:r>
            <w:rPr>
              <w:rFonts w:hint="eastAsia"/>
            </w:rPr>
            <w:t>.</w:t>
          </w:r>
          <w:r>
            <w:t>2</w:t>
          </w:r>
          <w:r>
            <w:rPr>
              <w:rFonts w:hint="eastAsia"/>
            </w:rPr>
            <w:t xml:space="preserve"> 畜禽粪污集中处理设施建设</w:t>
          </w:r>
          <w:r>
            <w:tab/>
          </w:r>
          <w:r>
            <w:fldChar w:fldCharType="begin"/>
          </w:r>
          <w:r>
            <w:instrText xml:space="preserve"> PAGEREF _Toc5833 \h </w:instrText>
          </w:r>
          <w:r>
            <w:fldChar w:fldCharType="separate"/>
          </w:r>
          <w:r>
            <w:t>59</w:t>
          </w:r>
          <w:r>
            <w:fldChar w:fldCharType="end"/>
          </w:r>
          <w:r>
            <w:fldChar w:fldCharType="end"/>
          </w:r>
        </w:p>
        <w:p>
          <w:pPr>
            <w:pStyle w:val="19"/>
            <w:tabs>
              <w:tab w:val="right" w:leader="dot" w:pos="8312"/>
            </w:tabs>
          </w:pPr>
          <w:r>
            <w:fldChar w:fldCharType="begin"/>
          </w:r>
          <w:r>
            <w:instrText xml:space="preserve"> HYPERLINK \l _Toc24994 </w:instrText>
          </w:r>
          <w:r>
            <w:fldChar w:fldCharType="separate"/>
          </w:r>
          <w:r>
            <w:t>5</w:t>
          </w:r>
          <w:r>
            <w:rPr>
              <w:rFonts w:hint="eastAsia"/>
            </w:rPr>
            <w:t>.</w:t>
          </w:r>
          <w:r>
            <w:t>3</w:t>
          </w:r>
          <w:r>
            <w:rPr>
              <w:rFonts w:hint="eastAsia"/>
            </w:rPr>
            <w:t xml:space="preserve"> 田间配套设施建设</w:t>
          </w:r>
          <w:r>
            <w:tab/>
          </w:r>
          <w:r>
            <w:fldChar w:fldCharType="begin"/>
          </w:r>
          <w:r>
            <w:instrText xml:space="preserve"> PAGEREF _Toc24994 \h </w:instrText>
          </w:r>
          <w:r>
            <w:fldChar w:fldCharType="separate"/>
          </w:r>
          <w:r>
            <w:t>60</w:t>
          </w:r>
          <w:r>
            <w:fldChar w:fldCharType="end"/>
          </w:r>
          <w:r>
            <w:fldChar w:fldCharType="end"/>
          </w:r>
        </w:p>
        <w:p>
          <w:pPr>
            <w:pStyle w:val="19"/>
            <w:tabs>
              <w:tab w:val="right" w:leader="dot" w:pos="8312"/>
            </w:tabs>
          </w:pPr>
          <w:r>
            <w:fldChar w:fldCharType="begin"/>
          </w:r>
          <w:r>
            <w:instrText xml:space="preserve"> HYPERLINK \l _Toc32013 </w:instrText>
          </w:r>
          <w:r>
            <w:fldChar w:fldCharType="separate"/>
          </w:r>
          <w:r>
            <w:t>5</w:t>
          </w:r>
          <w:r>
            <w:rPr>
              <w:rFonts w:hint="eastAsia"/>
            </w:rPr>
            <w:t>.</w:t>
          </w:r>
          <w:r>
            <w:rPr>
              <w:rFonts w:hint="eastAsia"/>
              <w:lang w:val="en-US" w:eastAsia="zh-CN"/>
            </w:rPr>
            <w:t>4</w:t>
          </w:r>
          <w:r>
            <w:rPr>
              <w:rFonts w:hint="eastAsia"/>
            </w:rPr>
            <w:t xml:space="preserve"> 监管体系建设</w:t>
          </w:r>
          <w:r>
            <w:tab/>
          </w:r>
          <w:r>
            <w:fldChar w:fldCharType="begin"/>
          </w:r>
          <w:r>
            <w:instrText xml:space="preserve"> PAGEREF _Toc32013 \h </w:instrText>
          </w:r>
          <w:r>
            <w:fldChar w:fldCharType="separate"/>
          </w:r>
          <w:r>
            <w:t>60</w:t>
          </w:r>
          <w:r>
            <w:fldChar w:fldCharType="end"/>
          </w:r>
          <w:r>
            <w:fldChar w:fldCharType="end"/>
          </w:r>
        </w:p>
        <w:p>
          <w:pPr>
            <w:pStyle w:val="16"/>
            <w:tabs>
              <w:tab w:val="right" w:leader="dot" w:pos="8312"/>
            </w:tabs>
          </w:pPr>
          <w:r>
            <w:fldChar w:fldCharType="begin"/>
          </w:r>
          <w:r>
            <w:instrText xml:space="preserve"> HYPERLINK \l _Toc19865 </w:instrText>
          </w:r>
          <w:r>
            <w:fldChar w:fldCharType="separate"/>
          </w:r>
          <w:r>
            <w:rPr>
              <w:rFonts w:hint="eastAsia"/>
            </w:rPr>
            <w:t>第六章 工程估算与资金筹措</w:t>
          </w:r>
          <w:r>
            <w:tab/>
          </w:r>
          <w:r>
            <w:fldChar w:fldCharType="begin"/>
          </w:r>
          <w:r>
            <w:instrText xml:space="preserve"> PAGEREF _Toc19865 \h </w:instrText>
          </w:r>
          <w:r>
            <w:fldChar w:fldCharType="separate"/>
          </w:r>
          <w:r>
            <w:t>62</w:t>
          </w:r>
          <w:r>
            <w:fldChar w:fldCharType="end"/>
          </w:r>
          <w:r>
            <w:fldChar w:fldCharType="end"/>
          </w:r>
        </w:p>
        <w:p>
          <w:pPr>
            <w:pStyle w:val="19"/>
            <w:tabs>
              <w:tab w:val="right" w:leader="dot" w:pos="8312"/>
            </w:tabs>
          </w:pPr>
          <w:r>
            <w:fldChar w:fldCharType="begin"/>
          </w:r>
          <w:r>
            <w:instrText xml:space="preserve"> HYPERLINK \l _Toc28539 </w:instrText>
          </w:r>
          <w:r>
            <w:fldChar w:fldCharType="separate"/>
          </w:r>
          <w:r>
            <w:t>6</w:t>
          </w:r>
          <w:r>
            <w:rPr>
              <w:rFonts w:hint="eastAsia"/>
            </w:rPr>
            <w:t>.</w:t>
          </w:r>
          <w:r>
            <w:t>1</w:t>
          </w:r>
          <w:r>
            <w:rPr>
              <w:rFonts w:hint="eastAsia"/>
            </w:rPr>
            <w:t xml:space="preserve"> 工程投资估算</w:t>
          </w:r>
          <w:r>
            <w:tab/>
          </w:r>
          <w:r>
            <w:fldChar w:fldCharType="begin"/>
          </w:r>
          <w:r>
            <w:instrText xml:space="preserve"> PAGEREF _Toc28539 \h </w:instrText>
          </w:r>
          <w:r>
            <w:fldChar w:fldCharType="separate"/>
          </w:r>
          <w:r>
            <w:t>62</w:t>
          </w:r>
          <w:r>
            <w:fldChar w:fldCharType="end"/>
          </w:r>
          <w:r>
            <w:fldChar w:fldCharType="end"/>
          </w:r>
        </w:p>
        <w:p>
          <w:pPr>
            <w:pStyle w:val="10"/>
            <w:tabs>
              <w:tab w:val="right" w:leader="dot" w:pos="8312"/>
            </w:tabs>
          </w:pPr>
          <w:r>
            <w:fldChar w:fldCharType="begin"/>
          </w:r>
          <w:r>
            <w:instrText xml:space="preserve"> HYPERLINK \l _Toc7028 </w:instrText>
          </w:r>
          <w:r>
            <w:fldChar w:fldCharType="separate"/>
          </w:r>
          <w:r>
            <w:t>6</w:t>
          </w:r>
          <w:r>
            <w:rPr>
              <w:rFonts w:hint="eastAsia"/>
            </w:rPr>
            <w:t>.</w:t>
          </w:r>
          <w:r>
            <w:t>1</w:t>
          </w:r>
          <w:r>
            <w:rPr>
              <w:rFonts w:hint="eastAsia"/>
            </w:rPr>
            <w:t>.</w:t>
          </w:r>
          <w:r>
            <w:t>1</w:t>
          </w:r>
          <w:r>
            <w:rPr>
              <w:rFonts w:hint="eastAsia"/>
            </w:rPr>
            <w:t>畜禽养殖场户粪污处理设施建设工程投资估算</w:t>
          </w:r>
          <w:r>
            <w:tab/>
          </w:r>
          <w:r>
            <w:fldChar w:fldCharType="begin"/>
          </w:r>
          <w:r>
            <w:instrText xml:space="preserve"> PAGEREF _Toc7028 \h </w:instrText>
          </w:r>
          <w:r>
            <w:fldChar w:fldCharType="separate"/>
          </w:r>
          <w:r>
            <w:t>62</w:t>
          </w:r>
          <w:r>
            <w:fldChar w:fldCharType="end"/>
          </w:r>
          <w:r>
            <w:fldChar w:fldCharType="end"/>
          </w:r>
        </w:p>
        <w:p>
          <w:pPr>
            <w:pStyle w:val="10"/>
            <w:tabs>
              <w:tab w:val="right" w:leader="dot" w:pos="8312"/>
            </w:tabs>
          </w:pPr>
          <w:r>
            <w:fldChar w:fldCharType="begin"/>
          </w:r>
          <w:r>
            <w:instrText xml:space="preserve"> HYPERLINK \l _Toc15897 </w:instrText>
          </w:r>
          <w:r>
            <w:fldChar w:fldCharType="separate"/>
          </w:r>
          <w:r>
            <w:t>6</w:t>
          </w:r>
          <w:r>
            <w:rPr>
              <w:rFonts w:hint="eastAsia"/>
            </w:rPr>
            <w:t>.</w:t>
          </w:r>
          <w:r>
            <w:t>1</w:t>
          </w:r>
          <w:r>
            <w:rPr>
              <w:rFonts w:hint="eastAsia"/>
            </w:rPr>
            <w:t>.</w:t>
          </w:r>
          <w:r>
            <w:rPr>
              <w:rFonts w:hint="eastAsia"/>
              <w:lang w:val="en-US" w:eastAsia="zh-CN"/>
            </w:rPr>
            <w:t>2</w:t>
          </w:r>
          <w:r>
            <w:rPr>
              <w:rFonts w:hint="eastAsia"/>
            </w:rPr>
            <w:t xml:space="preserve"> 监管体系建设工程投资估算</w:t>
          </w:r>
          <w:r>
            <w:tab/>
          </w:r>
          <w:r>
            <w:fldChar w:fldCharType="begin"/>
          </w:r>
          <w:r>
            <w:instrText xml:space="preserve"> PAGEREF _Toc15897 \h </w:instrText>
          </w:r>
          <w:r>
            <w:fldChar w:fldCharType="separate"/>
          </w:r>
          <w:r>
            <w:t>62</w:t>
          </w:r>
          <w:r>
            <w:fldChar w:fldCharType="end"/>
          </w:r>
          <w:r>
            <w:fldChar w:fldCharType="end"/>
          </w:r>
        </w:p>
        <w:p>
          <w:pPr>
            <w:pStyle w:val="10"/>
            <w:tabs>
              <w:tab w:val="right" w:leader="dot" w:pos="8312"/>
            </w:tabs>
          </w:pPr>
          <w:r>
            <w:fldChar w:fldCharType="begin"/>
          </w:r>
          <w:r>
            <w:instrText xml:space="preserve"> HYPERLINK \l _Toc4141 </w:instrText>
          </w:r>
          <w:r>
            <w:fldChar w:fldCharType="separate"/>
          </w:r>
          <w:r>
            <w:t>6</w:t>
          </w:r>
          <w:r>
            <w:rPr>
              <w:rFonts w:hint="eastAsia"/>
            </w:rPr>
            <w:t>.</w:t>
          </w:r>
          <w:r>
            <w:t>1</w:t>
          </w:r>
          <w:r>
            <w:rPr>
              <w:rFonts w:hint="eastAsia"/>
            </w:rPr>
            <w:t>.</w:t>
          </w:r>
          <w:r>
            <w:rPr>
              <w:rFonts w:hint="eastAsia"/>
              <w:lang w:val="en-US" w:eastAsia="zh-CN"/>
            </w:rPr>
            <w:t>3</w:t>
          </w:r>
          <w:r>
            <w:rPr>
              <w:rFonts w:hint="eastAsia"/>
            </w:rPr>
            <w:t xml:space="preserve"> 工程总投资估算</w:t>
          </w:r>
          <w:r>
            <w:tab/>
          </w:r>
          <w:r>
            <w:fldChar w:fldCharType="begin"/>
          </w:r>
          <w:r>
            <w:instrText xml:space="preserve"> PAGEREF _Toc4141 \h </w:instrText>
          </w:r>
          <w:r>
            <w:fldChar w:fldCharType="separate"/>
          </w:r>
          <w:r>
            <w:t>62</w:t>
          </w:r>
          <w:r>
            <w:fldChar w:fldCharType="end"/>
          </w:r>
          <w:r>
            <w:fldChar w:fldCharType="end"/>
          </w:r>
        </w:p>
        <w:p>
          <w:pPr>
            <w:pStyle w:val="19"/>
            <w:tabs>
              <w:tab w:val="right" w:leader="dot" w:pos="8312"/>
            </w:tabs>
          </w:pPr>
          <w:r>
            <w:fldChar w:fldCharType="begin"/>
          </w:r>
          <w:r>
            <w:instrText xml:space="preserve"> HYPERLINK \l _Toc8925 </w:instrText>
          </w:r>
          <w:r>
            <w:fldChar w:fldCharType="separate"/>
          </w:r>
          <w:r>
            <w:t>6</w:t>
          </w:r>
          <w:r>
            <w:rPr>
              <w:rFonts w:hint="eastAsia"/>
            </w:rPr>
            <w:t>.</w:t>
          </w:r>
          <w:r>
            <w:t>2</w:t>
          </w:r>
          <w:r>
            <w:rPr>
              <w:rFonts w:hint="eastAsia"/>
            </w:rPr>
            <w:t xml:space="preserve"> 资金筹措</w:t>
          </w:r>
          <w:r>
            <w:tab/>
          </w:r>
          <w:r>
            <w:fldChar w:fldCharType="begin"/>
          </w:r>
          <w:r>
            <w:instrText xml:space="preserve"> PAGEREF _Toc8925 \h </w:instrText>
          </w:r>
          <w:r>
            <w:fldChar w:fldCharType="separate"/>
          </w:r>
          <w:r>
            <w:t>63</w:t>
          </w:r>
          <w:r>
            <w:fldChar w:fldCharType="end"/>
          </w:r>
          <w:r>
            <w:fldChar w:fldCharType="end"/>
          </w:r>
        </w:p>
        <w:p>
          <w:pPr>
            <w:pStyle w:val="16"/>
            <w:tabs>
              <w:tab w:val="right" w:leader="dot" w:pos="8312"/>
            </w:tabs>
          </w:pPr>
          <w:r>
            <w:fldChar w:fldCharType="begin"/>
          </w:r>
          <w:r>
            <w:instrText xml:space="preserve"> HYPERLINK \l _Toc27446 </w:instrText>
          </w:r>
          <w:r>
            <w:fldChar w:fldCharType="separate"/>
          </w:r>
          <w:r>
            <w:rPr>
              <w:rFonts w:hint="eastAsia"/>
            </w:rPr>
            <w:t>第七章 效益分析</w:t>
          </w:r>
          <w:r>
            <w:tab/>
          </w:r>
          <w:r>
            <w:fldChar w:fldCharType="begin"/>
          </w:r>
          <w:r>
            <w:instrText xml:space="preserve"> PAGEREF _Toc27446 \h </w:instrText>
          </w:r>
          <w:r>
            <w:fldChar w:fldCharType="separate"/>
          </w:r>
          <w:r>
            <w:t>66</w:t>
          </w:r>
          <w:r>
            <w:fldChar w:fldCharType="end"/>
          </w:r>
          <w:r>
            <w:fldChar w:fldCharType="end"/>
          </w:r>
        </w:p>
        <w:p>
          <w:pPr>
            <w:pStyle w:val="19"/>
            <w:tabs>
              <w:tab w:val="right" w:leader="dot" w:pos="8312"/>
            </w:tabs>
          </w:pPr>
          <w:r>
            <w:fldChar w:fldCharType="begin"/>
          </w:r>
          <w:r>
            <w:instrText xml:space="preserve"> HYPERLINK \l _Toc32608 </w:instrText>
          </w:r>
          <w:r>
            <w:fldChar w:fldCharType="separate"/>
          </w:r>
          <w:r>
            <w:rPr>
              <w:rFonts w:hint="eastAsia"/>
            </w:rPr>
            <w:t>7.1 环境</w:t>
          </w:r>
          <w:r>
            <w:t>效益</w:t>
          </w:r>
          <w:r>
            <w:tab/>
          </w:r>
          <w:r>
            <w:fldChar w:fldCharType="begin"/>
          </w:r>
          <w:r>
            <w:instrText xml:space="preserve"> PAGEREF _Toc32608 \h </w:instrText>
          </w:r>
          <w:r>
            <w:fldChar w:fldCharType="separate"/>
          </w:r>
          <w:r>
            <w:t>66</w:t>
          </w:r>
          <w:r>
            <w:fldChar w:fldCharType="end"/>
          </w:r>
          <w:r>
            <w:fldChar w:fldCharType="end"/>
          </w:r>
        </w:p>
        <w:p>
          <w:pPr>
            <w:pStyle w:val="19"/>
            <w:tabs>
              <w:tab w:val="right" w:leader="dot" w:pos="8312"/>
            </w:tabs>
          </w:pPr>
          <w:r>
            <w:fldChar w:fldCharType="begin"/>
          </w:r>
          <w:r>
            <w:instrText xml:space="preserve"> HYPERLINK \l _Toc28657 </w:instrText>
          </w:r>
          <w:r>
            <w:fldChar w:fldCharType="separate"/>
          </w:r>
          <w:r>
            <w:rPr>
              <w:rFonts w:hint="eastAsia"/>
            </w:rPr>
            <w:t>7.2 经济效益</w:t>
          </w:r>
          <w:r>
            <w:tab/>
          </w:r>
          <w:r>
            <w:fldChar w:fldCharType="begin"/>
          </w:r>
          <w:r>
            <w:instrText xml:space="preserve"> PAGEREF _Toc28657 \h </w:instrText>
          </w:r>
          <w:r>
            <w:fldChar w:fldCharType="separate"/>
          </w:r>
          <w:r>
            <w:t>67</w:t>
          </w:r>
          <w:r>
            <w:fldChar w:fldCharType="end"/>
          </w:r>
          <w:r>
            <w:fldChar w:fldCharType="end"/>
          </w:r>
        </w:p>
        <w:p>
          <w:pPr>
            <w:pStyle w:val="19"/>
            <w:tabs>
              <w:tab w:val="right" w:leader="dot" w:pos="8312"/>
            </w:tabs>
          </w:pPr>
          <w:r>
            <w:fldChar w:fldCharType="begin"/>
          </w:r>
          <w:r>
            <w:instrText xml:space="preserve"> HYPERLINK \l _Toc30974 </w:instrText>
          </w:r>
          <w:r>
            <w:fldChar w:fldCharType="separate"/>
          </w:r>
          <w:r>
            <w:rPr>
              <w:rFonts w:hint="eastAsia"/>
            </w:rPr>
            <w:t>7.3 社会效益</w:t>
          </w:r>
          <w:r>
            <w:tab/>
          </w:r>
          <w:r>
            <w:fldChar w:fldCharType="begin"/>
          </w:r>
          <w:r>
            <w:instrText xml:space="preserve"> PAGEREF _Toc30974 \h </w:instrText>
          </w:r>
          <w:r>
            <w:fldChar w:fldCharType="separate"/>
          </w:r>
          <w:r>
            <w:t>67</w:t>
          </w:r>
          <w:r>
            <w:fldChar w:fldCharType="end"/>
          </w:r>
          <w:r>
            <w:fldChar w:fldCharType="end"/>
          </w:r>
        </w:p>
        <w:p>
          <w:pPr>
            <w:pStyle w:val="16"/>
            <w:tabs>
              <w:tab w:val="right" w:leader="dot" w:pos="8312"/>
            </w:tabs>
          </w:pPr>
          <w:r>
            <w:fldChar w:fldCharType="begin"/>
          </w:r>
          <w:r>
            <w:instrText xml:space="preserve"> HYPERLINK \l _Toc26565 </w:instrText>
          </w:r>
          <w:r>
            <w:fldChar w:fldCharType="separate"/>
          </w:r>
          <w:r>
            <w:rPr>
              <w:rFonts w:hint="eastAsia"/>
            </w:rPr>
            <w:t>第八章 保障措施</w:t>
          </w:r>
          <w:r>
            <w:tab/>
          </w:r>
          <w:r>
            <w:fldChar w:fldCharType="begin"/>
          </w:r>
          <w:r>
            <w:instrText xml:space="preserve"> PAGEREF _Toc26565 \h </w:instrText>
          </w:r>
          <w:r>
            <w:fldChar w:fldCharType="separate"/>
          </w:r>
          <w:r>
            <w:t>69</w:t>
          </w:r>
          <w:r>
            <w:fldChar w:fldCharType="end"/>
          </w:r>
          <w:r>
            <w:fldChar w:fldCharType="end"/>
          </w:r>
        </w:p>
        <w:p>
          <w:pPr>
            <w:pStyle w:val="19"/>
            <w:tabs>
              <w:tab w:val="right" w:leader="dot" w:pos="8312"/>
            </w:tabs>
          </w:pPr>
          <w:r>
            <w:fldChar w:fldCharType="begin"/>
          </w:r>
          <w:r>
            <w:instrText xml:space="preserve"> HYPERLINK \l _Toc28440 </w:instrText>
          </w:r>
          <w:r>
            <w:fldChar w:fldCharType="separate"/>
          </w:r>
          <w:r>
            <w:rPr>
              <w:rFonts w:hint="eastAsia"/>
            </w:rPr>
            <w:t xml:space="preserve">8.1 </w:t>
          </w:r>
          <w:r>
            <w:rPr>
              <w:rFonts w:hint="eastAsia"/>
              <w:lang w:val="en-US" w:eastAsia="zh-CN"/>
            </w:rPr>
            <w:t>加强</w:t>
          </w:r>
          <w:r>
            <w:rPr>
              <w:rFonts w:hint="eastAsia"/>
            </w:rPr>
            <w:t>组织领导</w:t>
          </w:r>
          <w:r>
            <w:tab/>
          </w:r>
          <w:r>
            <w:fldChar w:fldCharType="begin"/>
          </w:r>
          <w:r>
            <w:instrText xml:space="preserve"> PAGEREF _Toc28440 \h </w:instrText>
          </w:r>
          <w:r>
            <w:fldChar w:fldCharType="separate"/>
          </w:r>
          <w:r>
            <w:t>69</w:t>
          </w:r>
          <w:r>
            <w:fldChar w:fldCharType="end"/>
          </w:r>
          <w:r>
            <w:fldChar w:fldCharType="end"/>
          </w:r>
        </w:p>
        <w:p>
          <w:pPr>
            <w:pStyle w:val="19"/>
            <w:tabs>
              <w:tab w:val="right" w:leader="dot" w:pos="8312"/>
            </w:tabs>
          </w:pPr>
          <w:r>
            <w:fldChar w:fldCharType="begin"/>
          </w:r>
          <w:r>
            <w:instrText xml:space="preserve"> HYPERLINK \l _Toc18904 </w:instrText>
          </w:r>
          <w:r>
            <w:fldChar w:fldCharType="separate"/>
          </w:r>
          <w:r>
            <w:rPr>
              <w:rFonts w:hint="eastAsia"/>
            </w:rPr>
            <w:t xml:space="preserve">8.2 </w:t>
          </w:r>
          <w:r>
            <w:rPr>
              <w:rFonts w:hint="eastAsia"/>
              <w:lang w:val="en-US" w:eastAsia="zh-CN"/>
            </w:rPr>
            <w:t>完善</w:t>
          </w:r>
          <w:r>
            <w:rPr>
              <w:rFonts w:hint="eastAsia"/>
            </w:rPr>
            <w:t>政策</w:t>
          </w:r>
          <w:r>
            <w:t>支持</w:t>
          </w:r>
          <w:r>
            <w:tab/>
          </w:r>
          <w:r>
            <w:fldChar w:fldCharType="begin"/>
          </w:r>
          <w:r>
            <w:instrText xml:space="preserve"> PAGEREF _Toc18904 \h </w:instrText>
          </w:r>
          <w:r>
            <w:fldChar w:fldCharType="separate"/>
          </w:r>
          <w:r>
            <w:t>69</w:t>
          </w:r>
          <w:r>
            <w:fldChar w:fldCharType="end"/>
          </w:r>
          <w:r>
            <w:fldChar w:fldCharType="end"/>
          </w:r>
        </w:p>
        <w:p>
          <w:pPr>
            <w:pStyle w:val="19"/>
            <w:tabs>
              <w:tab w:val="right" w:leader="dot" w:pos="8312"/>
            </w:tabs>
          </w:pPr>
          <w:r>
            <w:fldChar w:fldCharType="begin"/>
          </w:r>
          <w:r>
            <w:instrText xml:space="preserve"> HYPERLINK \l _Toc25690 </w:instrText>
          </w:r>
          <w:r>
            <w:fldChar w:fldCharType="separate"/>
          </w:r>
          <w:r>
            <w:rPr>
              <w:rFonts w:hint="eastAsia"/>
            </w:rPr>
            <w:t>8.</w:t>
          </w:r>
          <w:r>
            <w:rPr>
              <w:rFonts w:hint="eastAsia"/>
              <w:highlight w:val="none"/>
            </w:rPr>
            <w:t xml:space="preserve">3 </w:t>
          </w:r>
          <w:r>
            <w:rPr>
              <w:rFonts w:hint="eastAsia"/>
              <w:highlight w:val="none"/>
              <w:lang w:val="en-US" w:eastAsia="zh-CN"/>
            </w:rPr>
            <w:t>加强资金投入</w:t>
          </w:r>
          <w:r>
            <w:tab/>
          </w:r>
          <w:r>
            <w:fldChar w:fldCharType="begin"/>
          </w:r>
          <w:r>
            <w:instrText xml:space="preserve"> PAGEREF _Toc25690 \h </w:instrText>
          </w:r>
          <w:r>
            <w:fldChar w:fldCharType="separate"/>
          </w:r>
          <w:r>
            <w:t>69</w:t>
          </w:r>
          <w:r>
            <w:fldChar w:fldCharType="end"/>
          </w:r>
          <w:r>
            <w:fldChar w:fldCharType="end"/>
          </w:r>
        </w:p>
        <w:p>
          <w:pPr>
            <w:pStyle w:val="19"/>
            <w:tabs>
              <w:tab w:val="right" w:leader="dot" w:pos="8312"/>
            </w:tabs>
          </w:pPr>
          <w:r>
            <w:fldChar w:fldCharType="begin"/>
          </w:r>
          <w:r>
            <w:instrText xml:space="preserve"> HYPERLINK \l _Toc24004 </w:instrText>
          </w:r>
          <w:r>
            <w:fldChar w:fldCharType="separate"/>
          </w:r>
          <w:r>
            <w:rPr>
              <w:rFonts w:hint="eastAsia"/>
            </w:rPr>
            <w:t xml:space="preserve">8.4 </w:t>
          </w:r>
          <w:r>
            <w:rPr>
              <w:rFonts w:hint="eastAsia"/>
              <w:lang w:val="en-US" w:eastAsia="zh-CN"/>
            </w:rPr>
            <w:t>加强宣传引导</w:t>
          </w:r>
          <w:r>
            <w:tab/>
          </w:r>
          <w:r>
            <w:fldChar w:fldCharType="begin"/>
          </w:r>
          <w:r>
            <w:instrText xml:space="preserve"> PAGEREF _Toc24004 \h </w:instrText>
          </w:r>
          <w:r>
            <w:fldChar w:fldCharType="separate"/>
          </w:r>
          <w:r>
            <w:t>70</w:t>
          </w:r>
          <w:r>
            <w:fldChar w:fldCharType="end"/>
          </w:r>
          <w:r>
            <w:fldChar w:fldCharType="end"/>
          </w:r>
        </w:p>
        <w:p>
          <w:pPr>
            <w:pStyle w:val="16"/>
            <w:tabs>
              <w:tab w:val="right" w:leader="dot" w:pos="8312"/>
            </w:tabs>
          </w:pPr>
          <w:r>
            <w:fldChar w:fldCharType="begin"/>
          </w:r>
          <w:r>
            <w:instrText xml:space="preserve"> HYPERLINK \l _Toc31530 </w:instrText>
          </w:r>
          <w:r>
            <w:fldChar w:fldCharType="separate"/>
          </w:r>
          <w:r>
            <w:rPr>
              <w:rFonts w:hint="eastAsia"/>
            </w:rPr>
            <w:t>附表</w:t>
          </w:r>
          <w:r>
            <w:tab/>
          </w:r>
          <w:r>
            <w:fldChar w:fldCharType="begin"/>
          </w:r>
          <w:r>
            <w:instrText xml:space="preserve"> PAGEREF _Toc31530 \h </w:instrText>
          </w:r>
          <w:r>
            <w:fldChar w:fldCharType="separate"/>
          </w:r>
          <w:r>
            <w:t>71</w:t>
          </w:r>
          <w:r>
            <w:fldChar w:fldCharType="end"/>
          </w:r>
          <w:r>
            <w:fldChar w:fldCharType="end"/>
          </w:r>
        </w:p>
        <w:p>
          <w:pPr>
            <w:pStyle w:val="19"/>
            <w:tabs>
              <w:tab w:val="right" w:leader="dot" w:pos="8312"/>
            </w:tabs>
          </w:pPr>
          <w:r>
            <w:fldChar w:fldCharType="begin"/>
          </w:r>
          <w:r>
            <w:instrText xml:space="preserve"> HYPERLINK \l _Toc6330 </w:instrText>
          </w:r>
          <w:r>
            <w:fldChar w:fldCharType="separate"/>
          </w:r>
          <w:r>
            <w:rPr>
              <w:rFonts w:hint="eastAsia" w:cs="Times New Roman"/>
              <w:szCs w:val="24"/>
            </w:rPr>
            <w:t>附</w:t>
          </w:r>
          <w:r>
            <w:rPr>
              <w:rFonts w:cs="Times New Roman"/>
              <w:szCs w:val="24"/>
            </w:rPr>
            <w:t>表</w:t>
          </w:r>
          <w:r>
            <w:rPr>
              <w:rFonts w:hint="eastAsia" w:cs="Times New Roman"/>
              <w:szCs w:val="24"/>
            </w:rPr>
            <w:t>1 区域</w:t>
          </w:r>
          <w:r>
            <w:rPr>
              <w:rFonts w:cs="Times New Roman"/>
              <w:szCs w:val="24"/>
            </w:rPr>
            <w:t>畜禽规模养殖场基本信息清单</w:t>
          </w:r>
          <w:r>
            <w:tab/>
          </w:r>
          <w:r>
            <w:fldChar w:fldCharType="begin"/>
          </w:r>
          <w:r>
            <w:instrText xml:space="preserve"> PAGEREF _Toc6330 \h </w:instrText>
          </w:r>
          <w:r>
            <w:fldChar w:fldCharType="separate"/>
          </w:r>
          <w:r>
            <w:t>71</w:t>
          </w:r>
          <w:r>
            <w:fldChar w:fldCharType="end"/>
          </w:r>
          <w:r>
            <w:fldChar w:fldCharType="end"/>
          </w:r>
        </w:p>
        <w:p>
          <w:pPr>
            <w:pStyle w:val="19"/>
            <w:tabs>
              <w:tab w:val="right" w:leader="dot" w:pos="8312"/>
            </w:tabs>
          </w:pPr>
          <w:r>
            <w:fldChar w:fldCharType="begin"/>
          </w:r>
          <w:r>
            <w:instrText xml:space="preserve"> HYPERLINK \l _Toc26293 </w:instrText>
          </w:r>
          <w:r>
            <w:fldChar w:fldCharType="separate"/>
          </w:r>
          <w:r>
            <w:rPr>
              <w:rFonts w:hint="eastAsia" w:cs="Times New Roman"/>
              <w:szCs w:val="24"/>
            </w:rPr>
            <w:t>附</w:t>
          </w:r>
          <w:r>
            <w:rPr>
              <w:rFonts w:cs="Times New Roman"/>
              <w:szCs w:val="24"/>
            </w:rPr>
            <w:t>表</w:t>
          </w:r>
          <w:r>
            <w:rPr>
              <w:rFonts w:hint="eastAsia" w:cs="Times New Roman"/>
              <w:szCs w:val="24"/>
            </w:rPr>
            <w:t xml:space="preserve">2 </w:t>
          </w:r>
          <w:r>
            <w:rPr>
              <w:rFonts w:cs="Times New Roman"/>
              <w:szCs w:val="24"/>
            </w:rPr>
            <w:t>畜禽养殖场</w:t>
          </w:r>
          <w:r>
            <w:rPr>
              <w:rFonts w:hint="eastAsia" w:cs="Times New Roman"/>
              <w:szCs w:val="24"/>
              <w:lang w:val="en-US" w:eastAsia="zh-CN"/>
            </w:rPr>
            <w:t>和养殖</w:t>
          </w:r>
          <w:r>
            <w:rPr>
              <w:rFonts w:hint="eastAsia" w:cs="Times New Roman"/>
              <w:szCs w:val="24"/>
            </w:rPr>
            <w:t>户</w:t>
          </w:r>
          <w:r>
            <w:rPr>
              <w:rFonts w:cs="Times New Roman"/>
              <w:szCs w:val="24"/>
            </w:rPr>
            <w:t>粪污</w:t>
          </w:r>
          <w:r>
            <w:rPr>
              <w:rFonts w:hint="eastAsia" w:cs="Times New Roman"/>
              <w:szCs w:val="24"/>
            </w:rPr>
            <w:t>肥料化</w:t>
          </w:r>
          <w:r>
            <w:rPr>
              <w:rFonts w:cs="Times New Roman"/>
              <w:szCs w:val="24"/>
            </w:rPr>
            <w:t>利用配套土地面积要求清单</w:t>
          </w:r>
          <w:r>
            <w:tab/>
          </w:r>
          <w:r>
            <w:fldChar w:fldCharType="begin"/>
          </w:r>
          <w:r>
            <w:instrText xml:space="preserve"> PAGEREF _Toc26293 \h </w:instrText>
          </w:r>
          <w:r>
            <w:fldChar w:fldCharType="separate"/>
          </w:r>
          <w:r>
            <w:t>99</w:t>
          </w:r>
          <w:r>
            <w:fldChar w:fldCharType="end"/>
          </w:r>
          <w:r>
            <w:fldChar w:fldCharType="end"/>
          </w:r>
        </w:p>
        <w:p>
          <w:pPr>
            <w:pStyle w:val="19"/>
            <w:tabs>
              <w:tab w:val="right" w:leader="dot" w:pos="8312"/>
            </w:tabs>
          </w:pPr>
          <w:r>
            <w:fldChar w:fldCharType="begin"/>
          </w:r>
          <w:r>
            <w:instrText xml:space="preserve"> HYPERLINK \l _Toc12526 </w:instrText>
          </w:r>
          <w:r>
            <w:fldChar w:fldCharType="separate"/>
          </w:r>
          <w:r>
            <w:rPr>
              <w:rFonts w:hint="eastAsia" w:eastAsia="仿宋"/>
              <w:kern w:val="2"/>
              <w:szCs w:val="24"/>
            </w:rPr>
            <w:t>附表3规划期内拟整治</w:t>
          </w:r>
          <w:r>
            <w:rPr>
              <w:rFonts w:eastAsia="仿宋"/>
              <w:kern w:val="2"/>
              <w:szCs w:val="24"/>
            </w:rPr>
            <w:t>养殖</w:t>
          </w:r>
          <w:r>
            <w:rPr>
              <w:rFonts w:hint="eastAsia" w:eastAsia="仿宋"/>
              <w:kern w:val="2"/>
              <w:szCs w:val="24"/>
            </w:rPr>
            <w:t>户清单</w:t>
          </w:r>
          <w:r>
            <w:rPr>
              <w:rFonts w:hint="eastAsia" w:eastAsia="仿宋"/>
              <w:kern w:val="2"/>
              <w:szCs w:val="24"/>
              <w:lang w:eastAsia="zh-CN"/>
            </w:rPr>
            <w:t>（猪）</w:t>
          </w:r>
          <w:r>
            <w:tab/>
          </w:r>
          <w:r>
            <w:fldChar w:fldCharType="begin"/>
          </w:r>
          <w:r>
            <w:instrText xml:space="preserve"> PAGEREF _Toc12526 \h </w:instrText>
          </w:r>
          <w:r>
            <w:fldChar w:fldCharType="separate"/>
          </w:r>
          <w:r>
            <w:t>129</w:t>
          </w:r>
          <w:r>
            <w:fldChar w:fldCharType="end"/>
          </w:r>
          <w:r>
            <w:fldChar w:fldCharType="end"/>
          </w:r>
        </w:p>
        <w:p>
          <w:pPr>
            <w:pStyle w:val="19"/>
            <w:tabs>
              <w:tab w:val="right" w:leader="dot" w:pos="8312"/>
            </w:tabs>
          </w:pPr>
          <w:r>
            <w:fldChar w:fldCharType="begin"/>
          </w:r>
          <w:r>
            <w:instrText xml:space="preserve"> HYPERLINK \l _Toc32051 </w:instrText>
          </w:r>
          <w:r>
            <w:fldChar w:fldCharType="separate"/>
          </w:r>
          <w:r>
            <w:rPr>
              <w:rFonts w:hint="eastAsia" w:cs="Times New Roman"/>
              <w:szCs w:val="24"/>
            </w:rPr>
            <w:t>附</w:t>
          </w:r>
          <w:r>
            <w:rPr>
              <w:rFonts w:cs="Times New Roman"/>
              <w:szCs w:val="24"/>
            </w:rPr>
            <w:t>表4畜禽养殖污染防治重点工程支持主体和内容清单</w:t>
          </w:r>
          <w:r>
            <w:tab/>
          </w:r>
          <w:r>
            <w:fldChar w:fldCharType="begin"/>
          </w:r>
          <w:r>
            <w:instrText xml:space="preserve"> PAGEREF _Toc32051 \h </w:instrText>
          </w:r>
          <w:r>
            <w:fldChar w:fldCharType="separate"/>
          </w:r>
          <w:r>
            <w:t>170</w:t>
          </w:r>
          <w:r>
            <w:fldChar w:fldCharType="end"/>
          </w:r>
          <w:r>
            <w:fldChar w:fldCharType="end"/>
          </w:r>
        </w:p>
        <w:p>
          <w:pPr>
            <w:pStyle w:val="19"/>
            <w:tabs>
              <w:tab w:val="right" w:leader="dot" w:pos="8312"/>
            </w:tabs>
          </w:pPr>
          <w:r>
            <w:fldChar w:fldCharType="begin"/>
          </w:r>
          <w:r>
            <w:instrText xml:space="preserve"> HYPERLINK \l _Toc329 </w:instrText>
          </w:r>
          <w:r>
            <w:fldChar w:fldCharType="separate"/>
          </w:r>
          <w:r>
            <w:rPr>
              <w:rFonts w:hint="eastAsia" w:cs="Times New Roman"/>
              <w:szCs w:val="24"/>
            </w:rPr>
            <w:t>附</w:t>
          </w:r>
          <w:r>
            <w:rPr>
              <w:rFonts w:cs="Times New Roman"/>
              <w:szCs w:val="24"/>
            </w:rPr>
            <w:t>表</w:t>
          </w:r>
          <w:r>
            <w:rPr>
              <w:rFonts w:hint="eastAsia" w:cs="Times New Roman"/>
              <w:szCs w:val="24"/>
            </w:rPr>
            <w:t xml:space="preserve">5 </w:t>
          </w:r>
          <w:r>
            <w:rPr>
              <w:rFonts w:hint="eastAsia" w:cs="Times New Roman"/>
              <w:szCs w:val="24"/>
              <w:lang w:eastAsia="zh-CN"/>
            </w:rPr>
            <w:t>巴州区</w:t>
          </w:r>
          <w:r>
            <w:rPr>
              <w:rFonts w:hint="eastAsia" w:cs="Times New Roman"/>
              <w:szCs w:val="24"/>
            </w:rPr>
            <w:t>耕地、</w:t>
          </w:r>
          <w:r>
            <w:rPr>
              <w:rFonts w:hint="eastAsia" w:cs="Times New Roman"/>
              <w:szCs w:val="24"/>
              <w:lang w:eastAsia="zh-CN"/>
            </w:rPr>
            <w:t>林地</w:t>
          </w:r>
          <w:r>
            <w:rPr>
              <w:rFonts w:hint="eastAsia" w:cs="Times New Roman"/>
              <w:szCs w:val="24"/>
            </w:rPr>
            <w:t>面积</w:t>
          </w:r>
          <w:r>
            <w:rPr>
              <w:rFonts w:cs="Times New Roman"/>
              <w:szCs w:val="24"/>
            </w:rPr>
            <w:t>清单</w:t>
          </w:r>
          <w:r>
            <w:tab/>
          </w:r>
          <w:r>
            <w:fldChar w:fldCharType="begin"/>
          </w:r>
          <w:r>
            <w:instrText xml:space="preserve"> PAGEREF _Toc329 \h </w:instrText>
          </w:r>
          <w:r>
            <w:fldChar w:fldCharType="separate"/>
          </w:r>
          <w:r>
            <w:t>172</w:t>
          </w:r>
          <w:r>
            <w:fldChar w:fldCharType="end"/>
          </w:r>
          <w:r>
            <w:fldChar w:fldCharType="end"/>
          </w:r>
        </w:p>
        <w:p>
          <w:pPr>
            <w:pStyle w:val="16"/>
            <w:tabs>
              <w:tab w:val="right" w:leader="dot" w:pos="8312"/>
            </w:tabs>
          </w:pPr>
          <w:r>
            <w:fldChar w:fldCharType="begin"/>
          </w:r>
          <w:r>
            <w:instrText xml:space="preserve"> HYPERLINK \l _Toc15690 </w:instrText>
          </w:r>
          <w:r>
            <w:fldChar w:fldCharType="separate"/>
          </w:r>
          <w:r>
            <w:rPr>
              <w:rFonts w:hint="eastAsia"/>
            </w:rPr>
            <w:t>附图</w:t>
          </w:r>
          <w:r>
            <w:tab/>
          </w:r>
          <w:r>
            <w:fldChar w:fldCharType="begin"/>
          </w:r>
          <w:r>
            <w:instrText xml:space="preserve"> PAGEREF _Toc15690 \h </w:instrText>
          </w:r>
          <w:r>
            <w:fldChar w:fldCharType="separate"/>
          </w:r>
          <w:r>
            <w:t>173</w:t>
          </w:r>
          <w:r>
            <w:fldChar w:fldCharType="end"/>
          </w:r>
          <w:r>
            <w:fldChar w:fldCharType="end"/>
          </w:r>
        </w:p>
        <w:p>
          <w:pPr>
            <w:pStyle w:val="19"/>
            <w:tabs>
              <w:tab w:val="right" w:leader="dot" w:pos="8312"/>
            </w:tabs>
          </w:pPr>
          <w:r>
            <w:fldChar w:fldCharType="begin"/>
          </w:r>
          <w:r>
            <w:instrText xml:space="preserve"> HYPERLINK \l _Toc26538 </w:instrText>
          </w:r>
          <w:r>
            <w:fldChar w:fldCharType="separate"/>
          </w:r>
          <w:r>
            <w:rPr>
              <w:rFonts w:cs="Times New Roman"/>
              <w:szCs w:val="24"/>
            </w:rPr>
            <w:t>附图1 行政区划图</w:t>
          </w:r>
          <w:r>
            <w:tab/>
          </w:r>
          <w:r>
            <w:fldChar w:fldCharType="begin"/>
          </w:r>
          <w:r>
            <w:instrText xml:space="preserve"> PAGEREF _Toc26538 \h </w:instrText>
          </w:r>
          <w:r>
            <w:fldChar w:fldCharType="separate"/>
          </w:r>
          <w:r>
            <w:t>173</w:t>
          </w:r>
          <w:r>
            <w:fldChar w:fldCharType="end"/>
          </w:r>
          <w:r>
            <w:fldChar w:fldCharType="end"/>
          </w:r>
        </w:p>
        <w:p>
          <w:pPr>
            <w:pStyle w:val="19"/>
            <w:tabs>
              <w:tab w:val="right" w:leader="dot" w:pos="8312"/>
            </w:tabs>
          </w:pPr>
          <w:r>
            <w:fldChar w:fldCharType="begin"/>
          </w:r>
          <w:r>
            <w:instrText xml:space="preserve"> HYPERLINK \l _Toc26574 </w:instrText>
          </w:r>
          <w:r>
            <w:fldChar w:fldCharType="separate"/>
          </w:r>
          <w:r>
            <w:rPr>
              <w:rFonts w:cs="Times New Roman"/>
              <w:szCs w:val="24"/>
            </w:rPr>
            <w:t>附图</w:t>
          </w:r>
          <w:r>
            <w:rPr>
              <w:rFonts w:hint="eastAsia" w:cs="Times New Roman"/>
              <w:szCs w:val="24"/>
            </w:rPr>
            <w:t xml:space="preserve">2 </w:t>
          </w:r>
          <w:r>
            <w:rPr>
              <w:rFonts w:cs="Times New Roman"/>
              <w:szCs w:val="24"/>
            </w:rPr>
            <w:t>水功能区划图</w:t>
          </w:r>
          <w:r>
            <w:tab/>
          </w:r>
          <w:r>
            <w:fldChar w:fldCharType="begin"/>
          </w:r>
          <w:r>
            <w:instrText xml:space="preserve"> PAGEREF _Toc26574 \h </w:instrText>
          </w:r>
          <w:r>
            <w:fldChar w:fldCharType="separate"/>
          </w:r>
          <w:r>
            <w:t>174</w:t>
          </w:r>
          <w:r>
            <w:fldChar w:fldCharType="end"/>
          </w:r>
          <w:r>
            <w:fldChar w:fldCharType="end"/>
          </w:r>
        </w:p>
        <w:p>
          <w:pPr>
            <w:pStyle w:val="19"/>
            <w:tabs>
              <w:tab w:val="right" w:leader="dot" w:pos="8312"/>
            </w:tabs>
          </w:pPr>
          <w:r>
            <w:fldChar w:fldCharType="begin"/>
          </w:r>
          <w:r>
            <w:instrText xml:space="preserve"> HYPERLINK \l _Toc23110 </w:instrText>
          </w:r>
          <w:r>
            <w:fldChar w:fldCharType="separate"/>
          </w:r>
          <w:r>
            <w:rPr>
              <w:rFonts w:cs="Times New Roman"/>
              <w:szCs w:val="24"/>
            </w:rPr>
            <w:t>附图</w:t>
          </w:r>
          <w:r>
            <w:rPr>
              <w:rFonts w:hint="eastAsia" w:cs="Times New Roman"/>
              <w:szCs w:val="24"/>
              <w:lang w:val="en-US" w:eastAsia="zh-CN"/>
            </w:rPr>
            <w:t>3</w:t>
          </w:r>
          <w:r>
            <w:rPr>
              <w:rFonts w:hint="eastAsia" w:cs="Times New Roman"/>
              <w:szCs w:val="24"/>
            </w:rPr>
            <w:t xml:space="preserve"> </w:t>
          </w:r>
          <w:r>
            <w:rPr>
              <w:rFonts w:hint="eastAsia" w:cs="Times New Roman"/>
              <w:szCs w:val="24"/>
              <w:lang w:eastAsia="zh-CN"/>
            </w:rPr>
            <w:t>巴州区集中式饮用水水源地分布图</w:t>
          </w:r>
          <w:r>
            <w:tab/>
          </w:r>
          <w:r>
            <w:fldChar w:fldCharType="begin"/>
          </w:r>
          <w:r>
            <w:instrText xml:space="preserve"> PAGEREF _Toc23110 \h </w:instrText>
          </w:r>
          <w:r>
            <w:fldChar w:fldCharType="separate"/>
          </w:r>
          <w:r>
            <w:t>175</w:t>
          </w:r>
          <w:r>
            <w:fldChar w:fldCharType="end"/>
          </w:r>
          <w:r>
            <w:fldChar w:fldCharType="end"/>
          </w:r>
        </w:p>
        <w:p>
          <w:pPr>
            <w:pStyle w:val="19"/>
            <w:tabs>
              <w:tab w:val="right" w:leader="dot" w:pos="8312"/>
            </w:tabs>
          </w:pPr>
          <w:r>
            <w:fldChar w:fldCharType="begin"/>
          </w:r>
          <w:r>
            <w:instrText xml:space="preserve"> HYPERLINK \l _Toc5344 </w:instrText>
          </w:r>
          <w:r>
            <w:fldChar w:fldCharType="separate"/>
          </w:r>
          <w:r>
            <w:rPr>
              <w:rFonts w:cs="Times New Roman"/>
              <w:szCs w:val="24"/>
            </w:rPr>
            <w:t>附图</w:t>
          </w:r>
          <w:r>
            <w:rPr>
              <w:rFonts w:hint="eastAsia" w:cs="Times New Roman"/>
              <w:szCs w:val="24"/>
              <w:lang w:val="en-US" w:eastAsia="zh-CN"/>
            </w:rPr>
            <w:t>4</w:t>
          </w:r>
          <w:r>
            <w:rPr>
              <w:rFonts w:hint="eastAsia" w:cs="Times New Roman"/>
              <w:szCs w:val="24"/>
            </w:rPr>
            <w:t xml:space="preserve"> </w:t>
          </w:r>
          <w:r>
            <w:rPr>
              <w:rFonts w:hint="eastAsia" w:cs="Times New Roman"/>
              <w:szCs w:val="24"/>
              <w:lang w:eastAsia="zh-CN"/>
            </w:rPr>
            <w:t>巴州区畜禽养殖禁养区分布图</w:t>
          </w:r>
          <w:r>
            <w:tab/>
          </w:r>
          <w:r>
            <w:fldChar w:fldCharType="begin"/>
          </w:r>
          <w:r>
            <w:instrText xml:space="preserve"> PAGEREF _Toc5344 \h </w:instrText>
          </w:r>
          <w:r>
            <w:fldChar w:fldCharType="separate"/>
          </w:r>
          <w:r>
            <w:t>176</w:t>
          </w:r>
          <w:r>
            <w:fldChar w:fldCharType="end"/>
          </w:r>
          <w:r>
            <w:fldChar w:fldCharType="end"/>
          </w:r>
        </w:p>
        <w:p>
          <w:pPr>
            <w:pStyle w:val="19"/>
            <w:tabs>
              <w:tab w:val="right" w:leader="dot" w:pos="8312"/>
            </w:tabs>
          </w:pPr>
          <w:r>
            <w:fldChar w:fldCharType="begin"/>
          </w:r>
          <w:r>
            <w:instrText xml:space="preserve"> HYPERLINK \l _Toc1269 </w:instrText>
          </w:r>
          <w:r>
            <w:fldChar w:fldCharType="separate"/>
          </w:r>
          <w:r>
            <w:rPr>
              <w:rFonts w:cs="Times New Roman"/>
              <w:szCs w:val="24"/>
            </w:rPr>
            <w:t>附图</w:t>
          </w:r>
          <w:r>
            <w:rPr>
              <w:rFonts w:hint="eastAsia" w:cs="Times New Roman"/>
              <w:szCs w:val="24"/>
              <w:lang w:val="en-US" w:eastAsia="zh-CN"/>
            </w:rPr>
            <w:t>6</w:t>
          </w:r>
          <w:r>
            <w:rPr>
              <w:rFonts w:hint="eastAsia" w:cs="Times New Roman"/>
              <w:szCs w:val="24"/>
            </w:rPr>
            <w:t xml:space="preserve"> </w:t>
          </w:r>
          <w:r>
            <w:rPr>
              <w:rFonts w:hint="eastAsia" w:cs="Times New Roman"/>
              <w:szCs w:val="24"/>
              <w:lang w:eastAsia="zh-CN"/>
            </w:rPr>
            <w:t>畜禽规模养殖场分布图</w:t>
          </w:r>
          <w:r>
            <w:tab/>
          </w:r>
          <w:r>
            <w:fldChar w:fldCharType="begin"/>
          </w:r>
          <w:r>
            <w:instrText xml:space="preserve"> PAGEREF _Toc1269 \h </w:instrText>
          </w:r>
          <w:r>
            <w:fldChar w:fldCharType="separate"/>
          </w:r>
          <w:r>
            <w:t>178</w:t>
          </w:r>
          <w:r>
            <w:fldChar w:fldCharType="end"/>
          </w:r>
          <w:r>
            <w:fldChar w:fldCharType="end"/>
          </w:r>
        </w:p>
        <w:p>
          <w:pPr>
            <w:pStyle w:val="19"/>
            <w:tabs>
              <w:tab w:val="right" w:leader="dot" w:pos="8312"/>
            </w:tabs>
          </w:pPr>
          <w:r>
            <w:fldChar w:fldCharType="begin"/>
          </w:r>
          <w:r>
            <w:instrText xml:space="preserve"> HYPERLINK \l _Toc24782 </w:instrText>
          </w:r>
          <w:r>
            <w:fldChar w:fldCharType="separate"/>
          </w:r>
          <w:r>
            <w:rPr>
              <w:rFonts w:cs="Times New Roman"/>
              <w:szCs w:val="24"/>
            </w:rPr>
            <w:t>附图</w:t>
          </w:r>
          <w:r>
            <w:rPr>
              <w:rFonts w:hint="eastAsia" w:cs="Times New Roman"/>
              <w:szCs w:val="24"/>
              <w:lang w:val="en-US" w:eastAsia="zh-CN"/>
            </w:rPr>
            <w:t>7</w:t>
          </w:r>
          <w:r>
            <w:rPr>
              <w:rFonts w:hint="eastAsia" w:cs="Times New Roman"/>
              <w:szCs w:val="24"/>
            </w:rPr>
            <w:t xml:space="preserve"> </w:t>
          </w:r>
          <w:r>
            <w:rPr>
              <w:rFonts w:hint="eastAsia" w:cs="Times New Roman"/>
              <w:szCs w:val="24"/>
              <w:lang w:eastAsia="zh-CN"/>
            </w:rPr>
            <w:t>近期和远期治理范围图</w:t>
          </w:r>
          <w:r>
            <w:tab/>
          </w:r>
          <w:r>
            <w:fldChar w:fldCharType="begin"/>
          </w:r>
          <w:r>
            <w:instrText xml:space="preserve"> PAGEREF _Toc24782 \h </w:instrText>
          </w:r>
          <w:r>
            <w:fldChar w:fldCharType="separate"/>
          </w:r>
          <w:r>
            <w:t>179</w:t>
          </w:r>
          <w:r>
            <w:fldChar w:fldCharType="end"/>
          </w:r>
          <w:r>
            <w:fldChar w:fldCharType="end"/>
          </w:r>
        </w:p>
        <w:p>
          <w:pPr>
            <w:pStyle w:val="19"/>
            <w:tabs>
              <w:tab w:val="right" w:leader="dot" w:pos="8312"/>
            </w:tabs>
          </w:pPr>
          <w:r>
            <w:fldChar w:fldCharType="begin"/>
          </w:r>
          <w:r>
            <w:instrText xml:space="preserve"> HYPERLINK \l _Toc5132 </w:instrText>
          </w:r>
          <w:r>
            <w:fldChar w:fldCharType="separate"/>
          </w:r>
          <w:r>
            <w:rPr>
              <w:rFonts w:cs="Times New Roman"/>
              <w:szCs w:val="24"/>
            </w:rPr>
            <w:t>附图</w:t>
          </w:r>
          <w:r>
            <w:rPr>
              <w:rFonts w:hint="eastAsia" w:cs="Times New Roman"/>
              <w:szCs w:val="24"/>
              <w:lang w:val="en-US" w:eastAsia="zh-CN"/>
            </w:rPr>
            <w:t>8</w:t>
          </w:r>
          <w:r>
            <w:rPr>
              <w:rFonts w:hint="eastAsia" w:cs="Times New Roman"/>
              <w:szCs w:val="24"/>
            </w:rPr>
            <w:t xml:space="preserve"> </w:t>
          </w:r>
          <w:r>
            <w:rPr>
              <w:rFonts w:hint="eastAsia" w:cs="Times New Roman"/>
              <w:szCs w:val="24"/>
              <w:lang w:eastAsia="zh-CN"/>
            </w:rPr>
            <w:t>畜禽粪污集中处理中心建设布局图</w:t>
          </w:r>
          <w:r>
            <w:tab/>
          </w:r>
          <w:r>
            <w:fldChar w:fldCharType="begin"/>
          </w:r>
          <w:r>
            <w:instrText xml:space="preserve"> PAGEREF _Toc5132 \h </w:instrText>
          </w:r>
          <w:r>
            <w:fldChar w:fldCharType="separate"/>
          </w:r>
          <w:r>
            <w:t>180</w:t>
          </w:r>
          <w:r>
            <w:fldChar w:fldCharType="end"/>
          </w:r>
          <w:r>
            <w:fldChar w:fldCharType="end"/>
          </w:r>
        </w:p>
        <w:p>
          <w:pPr>
            <w:pStyle w:val="19"/>
            <w:tabs>
              <w:tab w:val="right" w:leader="dot" w:pos="8312"/>
            </w:tabs>
          </w:pPr>
          <w:r>
            <w:fldChar w:fldCharType="begin"/>
          </w:r>
          <w:r>
            <w:instrText xml:space="preserve"> HYPERLINK \l _Toc13925 </w:instrText>
          </w:r>
          <w:r>
            <w:fldChar w:fldCharType="separate"/>
          </w:r>
          <w:r>
            <w:rPr>
              <w:rFonts w:cs="Times New Roman"/>
              <w:szCs w:val="24"/>
            </w:rPr>
            <w:t>附图</w:t>
          </w:r>
          <w:r>
            <w:rPr>
              <w:rFonts w:hint="eastAsia" w:cs="Times New Roman"/>
              <w:szCs w:val="24"/>
              <w:lang w:val="en-US" w:eastAsia="zh-CN"/>
            </w:rPr>
            <w:t>9</w:t>
          </w:r>
          <w:r>
            <w:rPr>
              <w:rFonts w:hint="eastAsia" w:cs="Times New Roman"/>
              <w:szCs w:val="24"/>
            </w:rPr>
            <w:t xml:space="preserve"> </w:t>
          </w:r>
          <w:r>
            <w:rPr>
              <w:rFonts w:hint="eastAsia" w:cs="Times New Roman"/>
              <w:szCs w:val="24"/>
              <w:lang w:eastAsia="zh-CN"/>
            </w:rPr>
            <w:t>粪肥还田利用田间配套设施建设分布图</w:t>
          </w:r>
          <w:r>
            <w:tab/>
          </w:r>
          <w:r>
            <w:fldChar w:fldCharType="begin"/>
          </w:r>
          <w:r>
            <w:instrText xml:space="preserve"> PAGEREF _Toc13925 \h </w:instrText>
          </w:r>
          <w:r>
            <w:fldChar w:fldCharType="separate"/>
          </w:r>
          <w:r>
            <w:t>181</w:t>
          </w:r>
          <w:r>
            <w:fldChar w:fldCharType="end"/>
          </w:r>
          <w:r>
            <w:fldChar w:fldCharType="end"/>
          </w:r>
        </w:p>
        <w:p>
          <w:pPr>
            <w:pStyle w:val="38"/>
            <w:spacing w:before="381" w:after="381"/>
            <w:rPr>
              <w:rFonts w:ascii="仿宋" w:hAnsi="仿宋"/>
              <w:color w:val="333333"/>
              <w:szCs w:val="28"/>
            </w:rPr>
            <w:sectPr>
              <w:headerReference r:id="rId10" w:type="default"/>
              <w:footerReference r:id="rId11" w:type="default"/>
              <w:type w:val="continuous"/>
              <w:pgSz w:w="11906" w:h="16838"/>
              <w:pgMar w:top="1440" w:right="1797" w:bottom="1440" w:left="1797" w:header="851" w:footer="992" w:gutter="0"/>
              <w:pgNumType w:fmt="upperRoman"/>
              <w:cols w:space="425" w:num="1"/>
              <w:docGrid w:type="lines" w:linePitch="381" w:charSpace="0"/>
            </w:sectPr>
          </w:pPr>
          <w:r>
            <w:fldChar w:fldCharType="end"/>
          </w:r>
        </w:p>
      </w:sdtContent>
    </w:sdt>
    <w:p>
      <w:pPr>
        <w:pStyle w:val="3"/>
        <w:pageBreakBefore/>
        <w:spacing w:before="381" w:after="381"/>
      </w:pPr>
      <w:bookmarkStart w:id="0" w:name="_Toc4266"/>
      <w:bookmarkStart w:id="1" w:name="_Toc19802"/>
      <w:r>
        <w:rPr>
          <w:rFonts w:hint="eastAsia"/>
        </w:rPr>
        <w:t>第一章 规划总则</w:t>
      </w:r>
      <w:bookmarkEnd w:id="0"/>
      <w:bookmarkEnd w:id="1"/>
    </w:p>
    <w:p>
      <w:pPr>
        <w:pStyle w:val="4"/>
        <w:spacing w:before="190" w:after="190"/>
      </w:pPr>
      <w:bookmarkStart w:id="2" w:name="_Toc23134"/>
      <w:bookmarkStart w:id="3" w:name="_Toc11903"/>
      <w:r>
        <w:rPr>
          <w:rFonts w:hint="eastAsia"/>
        </w:rPr>
        <w:t>1</w:t>
      </w:r>
      <w:r>
        <w:t>.1</w:t>
      </w:r>
      <w:r>
        <w:rPr>
          <w:rFonts w:hint="eastAsia"/>
        </w:rPr>
        <w:t xml:space="preserve"> 指导思想</w:t>
      </w:r>
      <w:bookmarkEnd w:id="2"/>
      <w:bookmarkEnd w:id="3"/>
    </w:p>
    <w:p>
      <w:pPr>
        <w:ind w:firstLine="560" w:firstLineChars="200"/>
        <w:rPr>
          <w:b/>
          <w:bCs/>
        </w:rPr>
      </w:pPr>
      <w:r>
        <w:rPr>
          <w:rFonts w:hint="eastAsia"/>
        </w:rPr>
        <w:t>坚持以习近平新时代中国特色社会主义思想为指导，全面贯彻党的十九大和十九届二中、三中、四中、五中、六中全会精神，认真践行习近平生态文明思想，立足新发展阶段、贯彻新发展理念、构建新发展格局，加快推进农业农村现代化，做好巩固拓展脱贫攻坚成果同乡村振兴有效衔接，统筹考虑保护生态环境与促进畜牧业发展的需要，以布局优化、结构调整、种养结合、强化监管为重点，加快养殖方式、粪污资源化利用方式和污染防治方式的转变，推进畜禽粪污由“治”向“用”转变，逐步建立设施处理与生态消纳相结合的畜禽养殖污染防治体系，着力提高污染防治和风险防控水平，改善农村人居环境，为全面推进乡村振兴战略落实落地提供有力支撑。</w:t>
      </w:r>
    </w:p>
    <w:p>
      <w:pPr>
        <w:pStyle w:val="4"/>
        <w:spacing w:before="190" w:after="190"/>
      </w:pPr>
      <w:bookmarkStart w:id="4" w:name="_Toc21971"/>
      <w:bookmarkStart w:id="5" w:name="_Toc21831"/>
      <w:r>
        <w:rPr>
          <w:rFonts w:hint="eastAsia"/>
        </w:rPr>
        <w:t>1</w:t>
      </w:r>
      <w:r>
        <w:t xml:space="preserve">.2 </w:t>
      </w:r>
      <w:r>
        <w:rPr>
          <w:rFonts w:hint="eastAsia"/>
        </w:rPr>
        <w:t>规划背景</w:t>
      </w:r>
      <w:bookmarkEnd w:id="4"/>
      <w:bookmarkEnd w:id="5"/>
    </w:p>
    <w:p>
      <w:pPr>
        <w:pStyle w:val="2"/>
        <w:spacing w:line="360" w:lineRule="auto"/>
      </w:pPr>
      <w:bookmarkStart w:id="6" w:name="_Toc4610"/>
      <w:bookmarkStart w:id="7" w:name="_Toc23788"/>
      <w:r>
        <w:rPr>
          <w:rFonts w:hint="eastAsia"/>
        </w:rPr>
        <w:t>1</w:t>
      </w:r>
      <w:r>
        <w:t xml:space="preserve">.2.1 </w:t>
      </w:r>
      <w:r>
        <w:rPr>
          <w:rFonts w:hint="eastAsia"/>
        </w:rPr>
        <w:t>任务由来</w:t>
      </w:r>
      <w:bookmarkEnd w:id="6"/>
      <w:bookmarkEnd w:id="7"/>
    </w:p>
    <w:p>
      <w:pPr>
        <w:ind w:firstLine="560" w:firstLineChars="200"/>
      </w:pPr>
      <w:r>
        <w:rPr>
          <w:rFonts w:hint="eastAsia"/>
        </w:rPr>
        <w:t>根据《畜禽养殖污染防治规划编制指南（试行）》</w:t>
      </w:r>
      <w:r>
        <w:rPr>
          <w:rFonts w:hint="eastAsia"/>
          <w:lang w:eastAsia="zh-CN"/>
        </w:rPr>
        <w:t>（</w:t>
      </w:r>
      <w:r>
        <w:rPr>
          <w:rFonts w:hint="eastAsia"/>
          <w:lang w:val="en-US" w:eastAsia="zh-CN"/>
        </w:rPr>
        <w:t>环办土壤函</w:t>
      </w:r>
      <w:r>
        <w:rPr>
          <w:rFonts w:hint="eastAsia"/>
        </w:rPr>
        <w:t>〔20</w:t>
      </w:r>
      <w:r>
        <w:rPr>
          <w:rFonts w:hint="eastAsia"/>
          <w:lang w:val="en-US" w:eastAsia="zh-CN"/>
        </w:rPr>
        <w:t>21</w:t>
      </w:r>
      <w:r>
        <w:rPr>
          <w:rFonts w:hint="eastAsia"/>
        </w:rPr>
        <w:t>〕</w:t>
      </w:r>
      <w:r>
        <w:rPr>
          <w:rFonts w:hint="eastAsia"/>
          <w:lang w:val="en-US" w:eastAsia="zh-CN"/>
        </w:rPr>
        <w:t>465号</w:t>
      </w:r>
      <w:r>
        <w:rPr>
          <w:rFonts w:hint="eastAsia"/>
          <w:lang w:eastAsia="zh-CN"/>
        </w:rPr>
        <w:t>）</w:t>
      </w:r>
      <w:r>
        <w:rPr>
          <w:rFonts w:hint="eastAsia"/>
          <w:lang w:val="en-US" w:eastAsia="zh-CN"/>
        </w:rPr>
        <w:t>要求，应编制畜禽养殖污染防治规划文件指导各地科学规划畜禽养殖污染防治工作</w:t>
      </w:r>
      <w:r>
        <w:rPr>
          <w:rFonts w:hint="eastAsia"/>
        </w:rPr>
        <w:t>，</w:t>
      </w:r>
      <w:r>
        <w:rPr>
          <w:rFonts w:hint="eastAsia"/>
          <w:lang w:eastAsia="zh-CN"/>
        </w:rPr>
        <w:t>巴州区</w:t>
      </w:r>
      <w:r>
        <w:rPr>
          <w:rFonts w:hint="eastAsia"/>
        </w:rPr>
        <w:t>以此为契机，紧紧围绕“推进畜禽粪污无害化处理和资源化利用，促进农业可持续发展，改善农村居民生产生活环境”和加快构建种养平衡、农牧循环的可持续发展新格局的基本目标，与辖区畜牧业发展规划相衔接。</w:t>
      </w:r>
    </w:p>
    <w:p>
      <w:pPr>
        <w:pStyle w:val="2"/>
        <w:rPr>
          <w:rFonts w:hint="eastAsia"/>
          <w:highlight w:val="none"/>
        </w:rPr>
      </w:pPr>
      <w:bookmarkStart w:id="8" w:name="_Toc7053"/>
      <w:bookmarkStart w:id="9" w:name="_Toc20389"/>
      <w:r>
        <w:rPr>
          <w:highlight w:val="none"/>
        </w:rPr>
        <w:t xml:space="preserve">1.2.2 </w:t>
      </w:r>
      <w:r>
        <w:rPr>
          <w:rFonts w:hint="eastAsia"/>
          <w:highlight w:val="none"/>
        </w:rPr>
        <w:t>编制背景</w:t>
      </w:r>
      <w:bookmarkEnd w:id="8"/>
      <w:bookmarkEnd w:id="9"/>
    </w:p>
    <w:p>
      <w:pPr>
        <w:ind w:firstLine="560" w:firstLineChars="200"/>
      </w:pPr>
      <w:r>
        <w:rPr>
          <w:rFonts w:hint="eastAsia"/>
        </w:rPr>
        <w:t>2020年，农业农村部办公厅、生态环境部办公厅联合印发《关于进一步明确畜禽粪污还田利用要求强化养殖污染监管的通知》明确畜禽粪污还田利用标准，要求加强事中事后监管，完善粪肥管理制度，加快构建种养平衡、农牧循环的可持续发展新格局。指出，进一步明确畜禽粪污还田利用有关标准和要求，全面推进畜禽养殖废弃物资源化利用，加大环境监管力度，加快构建种养平衡、农牧循环的可持续发展新格局。国家支持畜禽养殖场户建设畜禽粪污无害化处理和资源化利用设施，鼓励采取粪肥还田、制取沼气、生产有机肥等方式进行资源化利用。</w:t>
      </w:r>
      <w:r>
        <w:rPr>
          <w:rFonts w:hint="eastAsia"/>
        </w:rPr>
        <w:br w:type="textWrapping"/>
      </w:r>
      <w:r>
        <w:rPr>
          <w:rFonts w:hint="eastAsia"/>
          <w:lang w:val="en-US" w:eastAsia="zh-CN"/>
        </w:rPr>
        <w:t xml:space="preserve">    截至</w:t>
      </w:r>
      <w:r>
        <w:rPr>
          <w:rFonts w:hint="eastAsia"/>
        </w:rPr>
        <w:t>2020年，</w:t>
      </w:r>
      <w:r>
        <w:rPr>
          <w:rFonts w:hint="eastAsia"/>
          <w:lang w:val="en-US" w:eastAsia="zh-CN"/>
        </w:rPr>
        <w:t>巴中</w:t>
      </w:r>
      <w:r>
        <w:rPr>
          <w:rFonts w:hint="eastAsia"/>
        </w:rPr>
        <w:t>市畜禽粪污综合利用率</w:t>
      </w:r>
      <w:r>
        <w:rPr>
          <w:rFonts w:hint="eastAsia"/>
          <w:lang w:val="en-US" w:eastAsia="zh-CN"/>
        </w:rPr>
        <w:t>已</w:t>
      </w:r>
      <w:r>
        <w:rPr>
          <w:rFonts w:hint="eastAsia"/>
        </w:rPr>
        <w:t>达75%以上，畜禽规模养殖场粪污处理设施装备配套率达到95%，大型规模养殖场粪污处理设施装备配套率提前一年达到100%。</w:t>
      </w:r>
      <w:r>
        <w:rPr>
          <w:rFonts w:hint="eastAsia"/>
        </w:rPr>
        <w:br w:type="textWrapping"/>
      </w:r>
      <w:r>
        <w:rPr>
          <w:rFonts w:hint="eastAsia"/>
          <w:lang w:val="en-US" w:eastAsia="zh-CN"/>
        </w:rPr>
        <w:t xml:space="preserve">    2021年，巴中市人民政府印发《巴中市“十四五”推进农业农村现代化规划》，要求推进重要农产品区域布局优化，加快发展特色现代高效农业，根据环办土壤函</w:t>
      </w:r>
      <w:r>
        <w:rPr>
          <w:rFonts w:hint="eastAsia"/>
        </w:rPr>
        <w:t>〔20</w:t>
      </w:r>
      <w:r>
        <w:rPr>
          <w:rFonts w:hint="eastAsia"/>
          <w:lang w:val="en-US" w:eastAsia="zh-CN"/>
        </w:rPr>
        <w:t>21</w:t>
      </w:r>
      <w:r>
        <w:rPr>
          <w:rFonts w:hint="eastAsia"/>
        </w:rPr>
        <w:t>〕</w:t>
      </w:r>
      <w:r>
        <w:rPr>
          <w:rFonts w:hint="eastAsia"/>
          <w:lang w:val="en-US" w:eastAsia="zh-CN"/>
        </w:rPr>
        <w:t>465号文件，为降低畜禽养殖污染对周边环境的影响，规范后续规模养殖场及养殖户的建设，指导属地科学规划畜禽养殖污染防治工作，巴中市巴州生态环境局特委托我单位承担编制工作</w:t>
      </w:r>
      <w:r>
        <w:rPr>
          <w:rFonts w:hint="eastAsia"/>
          <w:lang w:eastAsia="zh-CN"/>
        </w:rPr>
        <w:t>，</w:t>
      </w:r>
      <w:r>
        <w:rPr>
          <w:rFonts w:hint="eastAsia"/>
          <w:lang w:val="en-US" w:eastAsia="zh-CN"/>
        </w:rPr>
        <w:t>我单位在</w:t>
      </w:r>
      <w:r>
        <w:rPr>
          <w:rFonts w:hint="eastAsia"/>
        </w:rPr>
        <w:t>通过现场调研、实地考察、取样分析、广泛收集资料和充分征求各方意见的基础上，</w:t>
      </w:r>
      <w:r>
        <w:rPr>
          <w:rFonts w:hint="eastAsia"/>
          <w:lang w:val="en-US" w:eastAsia="zh-CN"/>
        </w:rPr>
        <w:t>编制完成了</w:t>
      </w:r>
      <w:r>
        <w:rPr>
          <w:rFonts w:hint="eastAsia"/>
        </w:rPr>
        <w:t>《</w:t>
      </w:r>
      <w:r>
        <w:rPr>
          <w:rFonts w:hint="eastAsia"/>
          <w:lang w:val="en-US" w:eastAsia="zh-CN"/>
        </w:rPr>
        <w:t>巴中市</w:t>
      </w:r>
      <w:r>
        <w:rPr>
          <w:rFonts w:hint="eastAsia"/>
          <w:lang w:eastAsia="zh-CN"/>
        </w:rPr>
        <w:t>巴州区</w:t>
      </w:r>
      <w:r>
        <w:rPr>
          <w:rFonts w:hint="eastAsia"/>
        </w:rPr>
        <w:t>畜禽养殖污染防治规划》。</w:t>
      </w:r>
    </w:p>
    <w:p>
      <w:pPr>
        <w:pStyle w:val="4"/>
        <w:spacing w:before="190" w:after="190"/>
      </w:pPr>
      <w:bookmarkStart w:id="10" w:name="_Toc26136"/>
      <w:bookmarkStart w:id="11" w:name="_Toc14146"/>
      <w:r>
        <w:rPr>
          <w:rFonts w:hint="eastAsia"/>
        </w:rPr>
        <w:t>1</w:t>
      </w:r>
      <w:r>
        <w:t xml:space="preserve">.3 </w:t>
      </w:r>
      <w:r>
        <w:rPr>
          <w:rFonts w:hint="eastAsia"/>
          <w:lang w:val="en-US" w:eastAsia="zh-CN"/>
        </w:rPr>
        <w:t>规划</w:t>
      </w:r>
      <w:r>
        <w:rPr>
          <w:rFonts w:hint="eastAsia"/>
        </w:rPr>
        <w:t>编制依据</w:t>
      </w:r>
      <w:bookmarkEnd w:id="10"/>
      <w:bookmarkEnd w:id="11"/>
    </w:p>
    <w:p>
      <w:pPr>
        <w:pStyle w:val="2"/>
        <w:rPr>
          <w:rFonts w:hint="eastAsia" w:eastAsia="仿宋"/>
          <w:highlight w:val="none"/>
          <w:lang w:eastAsia="zh-CN"/>
        </w:rPr>
      </w:pPr>
      <w:bookmarkStart w:id="12" w:name="_Toc24151"/>
      <w:bookmarkStart w:id="13" w:name="_Toc727"/>
      <w:r>
        <w:rPr>
          <w:rFonts w:hint="eastAsia"/>
          <w:highlight w:val="none"/>
        </w:rPr>
        <w:t>1.3.1 法律法规</w:t>
      </w:r>
      <w:bookmarkEnd w:id="12"/>
      <w:r>
        <w:rPr>
          <w:rFonts w:hint="eastAsia"/>
          <w:highlight w:val="none"/>
          <w:lang w:eastAsia="zh-CN"/>
        </w:rPr>
        <w:t>（</w:t>
      </w:r>
      <w:r>
        <w:rPr>
          <w:rFonts w:hint="eastAsia"/>
          <w:highlight w:val="none"/>
          <w:lang w:val="en-US" w:eastAsia="zh-CN"/>
        </w:rPr>
        <w:t>结合指南、省上文件</w:t>
      </w:r>
      <w:r>
        <w:rPr>
          <w:rFonts w:hint="eastAsia"/>
          <w:highlight w:val="none"/>
          <w:lang w:eastAsia="zh-CN"/>
        </w:rPr>
        <w:t>）</w:t>
      </w:r>
      <w:bookmarkEnd w:id="13"/>
    </w:p>
    <w:p>
      <w:pPr>
        <w:ind w:firstLine="560" w:firstLineChars="200"/>
        <w:rPr>
          <w:rFonts w:hint="eastAsia" w:eastAsia="仿宋"/>
          <w:lang w:eastAsia="zh-CN"/>
        </w:rPr>
      </w:pPr>
      <w:r>
        <w:rPr>
          <w:rFonts w:hint="eastAsia"/>
        </w:rPr>
        <w:t>（1）《中华人民共和国环境保护法》</w:t>
      </w:r>
      <w:r>
        <w:rPr>
          <w:rFonts w:hint="eastAsia"/>
          <w:lang w:eastAsia="zh-CN"/>
        </w:rPr>
        <w:t>；</w:t>
      </w:r>
    </w:p>
    <w:p>
      <w:pPr>
        <w:ind w:firstLine="560" w:firstLineChars="200"/>
        <w:rPr>
          <w:rFonts w:hint="eastAsia" w:eastAsia="仿宋"/>
          <w:lang w:eastAsia="zh-CN"/>
        </w:rPr>
      </w:pPr>
      <w:r>
        <w:rPr>
          <w:rFonts w:hint="eastAsia"/>
        </w:rPr>
        <w:t>（</w:t>
      </w:r>
      <w:r>
        <w:rPr>
          <w:rFonts w:hint="eastAsia"/>
          <w:lang w:val="en-US" w:eastAsia="zh-CN"/>
        </w:rPr>
        <w:t>2</w:t>
      </w:r>
      <w:r>
        <w:rPr>
          <w:rFonts w:hint="eastAsia"/>
        </w:rPr>
        <w:t>）《中华人民共和国水污染防治法》</w:t>
      </w:r>
      <w:r>
        <w:rPr>
          <w:rFonts w:hint="eastAsia"/>
          <w:lang w:eastAsia="zh-CN"/>
        </w:rPr>
        <w:t>；</w:t>
      </w:r>
    </w:p>
    <w:p>
      <w:pPr>
        <w:ind w:firstLine="560" w:firstLineChars="200"/>
        <w:rPr>
          <w:rFonts w:hint="eastAsia" w:eastAsia="仿宋"/>
          <w:lang w:eastAsia="zh-CN"/>
        </w:rPr>
      </w:pPr>
      <w:r>
        <w:rPr>
          <w:rFonts w:hint="eastAsia"/>
        </w:rPr>
        <w:t>（</w:t>
      </w:r>
      <w:r>
        <w:rPr>
          <w:rFonts w:hint="eastAsia"/>
          <w:lang w:val="en-US" w:eastAsia="zh-CN"/>
        </w:rPr>
        <w:t>3</w:t>
      </w:r>
      <w:r>
        <w:rPr>
          <w:rFonts w:hint="eastAsia"/>
        </w:rPr>
        <w:t>）《中华人民共和国大气污染防治法》</w:t>
      </w:r>
      <w:r>
        <w:rPr>
          <w:rFonts w:hint="eastAsia"/>
          <w:lang w:eastAsia="zh-CN"/>
        </w:rPr>
        <w:t>；</w:t>
      </w:r>
    </w:p>
    <w:p>
      <w:pPr>
        <w:ind w:firstLine="560" w:firstLineChars="200"/>
        <w:rPr>
          <w:rFonts w:hint="eastAsia" w:eastAsia="仿宋"/>
          <w:lang w:eastAsia="zh-CN"/>
        </w:rPr>
      </w:pPr>
      <w:r>
        <w:rPr>
          <w:rFonts w:hint="eastAsia"/>
        </w:rPr>
        <w:t>（</w:t>
      </w:r>
      <w:r>
        <w:rPr>
          <w:rFonts w:hint="eastAsia"/>
          <w:lang w:val="en-US" w:eastAsia="zh-CN"/>
        </w:rPr>
        <w:t>4</w:t>
      </w:r>
      <w:r>
        <w:rPr>
          <w:rFonts w:hint="eastAsia"/>
        </w:rPr>
        <w:t>）《中华人民共和国固体废物污染环境防治法》</w:t>
      </w:r>
      <w:r>
        <w:rPr>
          <w:rFonts w:hint="eastAsia"/>
          <w:lang w:eastAsia="zh-CN"/>
        </w:rPr>
        <w:t>；</w:t>
      </w:r>
    </w:p>
    <w:p>
      <w:pPr>
        <w:ind w:firstLine="560" w:firstLineChars="200"/>
        <w:rPr>
          <w:rFonts w:hint="eastAsia" w:eastAsia="仿宋"/>
          <w:lang w:eastAsia="zh-CN"/>
        </w:rPr>
      </w:pPr>
      <w:r>
        <w:rPr>
          <w:rFonts w:hint="eastAsia"/>
        </w:rPr>
        <w:t>（</w:t>
      </w:r>
      <w:r>
        <w:rPr>
          <w:rFonts w:hint="eastAsia"/>
          <w:lang w:val="en-US" w:eastAsia="zh-CN"/>
        </w:rPr>
        <w:t>5</w:t>
      </w:r>
      <w:r>
        <w:rPr>
          <w:rFonts w:hint="eastAsia"/>
        </w:rPr>
        <w:t>）《中华人民共和国土壤污染防治法》</w:t>
      </w:r>
      <w:r>
        <w:rPr>
          <w:rFonts w:hint="eastAsia"/>
          <w:lang w:eastAsia="zh-CN"/>
        </w:rPr>
        <w:t>；</w:t>
      </w:r>
    </w:p>
    <w:p>
      <w:pPr>
        <w:ind w:firstLine="560" w:firstLineChars="200"/>
        <w:rPr>
          <w:rFonts w:hint="eastAsia"/>
          <w:lang w:eastAsia="zh-CN"/>
        </w:rPr>
      </w:pPr>
      <w:r>
        <w:rPr>
          <w:rFonts w:hint="eastAsia"/>
        </w:rPr>
        <w:t>（</w:t>
      </w:r>
      <w:r>
        <w:rPr>
          <w:rFonts w:hint="eastAsia"/>
          <w:lang w:val="en-US" w:eastAsia="zh-CN"/>
        </w:rPr>
        <w:t>6</w:t>
      </w:r>
      <w:r>
        <w:rPr>
          <w:rFonts w:hint="eastAsia"/>
        </w:rPr>
        <w:t>）《中华人民共和国畜牧法》</w:t>
      </w:r>
      <w:r>
        <w:rPr>
          <w:rFonts w:hint="eastAsia"/>
          <w:lang w:eastAsia="zh-CN"/>
        </w:rPr>
        <w:t>；</w:t>
      </w:r>
    </w:p>
    <w:p>
      <w:pPr>
        <w:ind w:left="560" w:leftChars="200" w:firstLine="0" w:firstLineChars="0"/>
        <w:rPr>
          <w:rFonts w:hint="eastAsia" w:eastAsia="仿宋"/>
          <w:lang w:eastAsia="zh-CN"/>
        </w:rPr>
      </w:pPr>
      <w:r>
        <w:rPr>
          <w:rFonts w:hint="eastAsia"/>
        </w:rPr>
        <w:t>（</w:t>
      </w:r>
      <w:r>
        <w:rPr>
          <w:rFonts w:hint="eastAsia"/>
          <w:lang w:val="en-US" w:eastAsia="zh-CN"/>
        </w:rPr>
        <w:t>7</w:t>
      </w:r>
      <w:r>
        <w:rPr>
          <w:rFonts w:hint="eastAsia"/>
        </w:rPr>
        <w:t>）《畜禽规模养殖污染防治条例》</w:t>
      </w:r>
      <w:r>
        <w:rPr>
          <w:rFonts w:hint="eastAsia"/>
          <w:lang w:eastAsia="zh-CN"/>
        </w:rPr>
        <w:t>；</w:t>
      </w:r>
    </w:p>
    <w:p>
      <w:pPr>
        <w:ind w:left="560" w:leftChars="200" w:firstLine="0" w:firstLineChars="0"/>
        <w:rPr>
          <w:rFonts w:hint="eastAsia"/>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《规划环境影响评价条例》；</w:t>
      </w:r>
    </w:p>
    <w:p>
      <w:pPr>
        <w:ind w:firstLine="560" w:firstLineChars="200"/>
        <w:rPr>
          <w:rFonts w:hint="eastAsia"/>
          <w:lang w:val="en-US" w:eastAsia="zh-CN"/>
        </w:rPr>
      </w:pPr>
      <w:r>
        <w:rPr>
          <w:rFonts w:hint="eastAsia"/>
          <w:lang w:val="en-US" w:eastAsia="zh-CN"/>
        </w:rPr>
        <w:t>（9）《建设项目环境保护管理条例》；</w:t>
      </w:r>
    </w:p>
    <w:p>
      <w:pPr>
        <w:ind w:left="560" w:leftChars="200" w:firstLine="0" w:firstLineChars="0"/>
        <w:rPr>
          <w:rFonts w:hint="eastAsia" w:eastAsia="仿宋"/>
          <w:lang w:eastAsia="zh-CN"/>
        </w:rPr>
      </w:pPr>
      <w:r>
        <w:rPr>
          <w:rFonts w:hint="eastAsia"/>
        </w:rPr>
        <w:t>（</w:t>
      </w:r>
      <w:r>
        <w:rPr>
          <w:rFonts w:hint="eastAsia"/>
          <w:lang w:val="en-US" w:eastAsia="zh-CN"/>
        </w:rPr>
        <w:t>10</w:t>
      </w:r>
      <w:r>
        <w:rPr>
          <w:rFonts w:hint="eastAsia"/>
        </w:rPr>
        <w:t>）《</w:t>
      </w:r>
      <w:r>
        <w:rPr>
          <w:rFonts w:hint="eastAsia"/>
          <w:lang w:eastAsia="zh-CN"/>
        </w:rPr>
        <w:t>四川</w:t>
      </w:r>
      <w:r>
        <w:rPr>
          <w:rFonts w:hint="eastAsia"/>
        </w:rPr>
        <w:t>省环境保护条例》</w:t>
      </w:r>
      <w:r>
        <w:rPr>
          <w:rFonts w:hint="eastAsia"/>
          <w:lang w:eastAsia="zh-CN"/>
        </w:rPr>
        <w:t>；</w:t>
      </w:r>
      <w:r>
        <w:rPr>
          <w:rFonts w:hint="eastAsia"/>
        </w:rPr>
        <w:br w:type="textWrapping"/>
      </w:r>
    </w:p>
    <w:p>
      <w:pPr>
        <w:pStyle w:val="2"/>
      </w:pPr>
      <w:bookmarkStart w:id="14" w:name="_Toc25030"/>
      <w:bookmarkStart w:id="15" w:name="_Toc21116"/>
      <w:r>
        <w:rPr>
          <w:rFonts w:hint="eastAsia"/>
        </w:rPr>
        <w:t>1.3.2 规范和标准</w:t>
      </w:r>
      <w:bookmarkEnd w:id="14"/>
      <w:bookmarkEnd w:id="15"/>
    </w:p>
    <w:p>
      <w:pPr>
        <w:ind w:firstLine="560" w:firstLineChars="200"/>
      </w:pPr>
      <w:r>
        <w:rPr>
          <w:rFonts w:hint="eastAsia"/>
        </w:rPr>
        <w:t>（1）《农田灌溉水质标准》（</w:t>
      </w:r>
      <w:r>
        <w:rPr>
          <w:rFonts w:hint="eastAsia"/>
          <w:lang w:eastAsia="zh-CN"/>
        </w:rPr>
        <w:t>GB 5084-2021</w:t>
      </w:r>
      <w:r>
        <w:rPr>
          <w:rFonts w:hint="eastAsia"/>
        </w:rPr>
        <w:t>）；</w:t>
      </w:r>
    </w:p>
    <w:p>
      <w:pPr>
        <w:ind w:firstLine="560" w:firstLineChars="200"/>
      </w:pPr>
      <w:r>
        <w:rPr>
          <w:rFonts w:hint="eastAsia"/>
        </w:rPr>
        <w:t>（2）《粪便无害化卫生要求》（</w:t>
      </w:r>
      <w:r>
        <w:rPr>
          <w:rFonts w:hint="eastAsia"/>
          <w:lang w:eastAsia="zh-CN"/>
        </w:rPr>
        <w:t>GB 7959-2012</w:t>
      </w:r>
      <w:r>
        <w:rPr>
          <w:rFonts w:hint="eastAsia"/>
        </w:rPr>
        <w:t>）；</w:t>
      </w:r>
    </w:p>
    <w:p>
      <w:pPr>
        <w:ind w:firstLine="560" w:firstLineChars="200"/>
      </w:pPr>
      <w:r>
        <w:rPr>
          <w:rFonts w:hint="eastAsia"/>
        </w:rPr>
        <w:t>（3）《土壤环境质量</w:t>
      </w:r>
      <w:r>
        <w:rPr>
          <w:rFonts w:hint="eastAsia"/>
          <w:lang w:val="en-US" w:eastAsia="zh-CN"/>
        </w:rPr>
        <w:t xml:space="preserve"> </w:t>
      </w:r>
      <w:r>
        <w:rPr>
          <w:rFonts w:hint="eastAsia"/>
        </w:rPr>
        <w:t>农用地土壤污染风险管控标准</w:t>
      </w:r>
      <w:r>
        <w:rPr>
          <w:rFonts w:hint="eastAsia"/>
          <w:lang w:eastAsia="zh-CN"/>
        </w:rPr>
        <w:t>（</w:t>
      </w:r>
      <w:r>
        <w:rPr>
          <w:rFonts w:hint="eastAsia"/>
        </w:rPr>
        <w:t>试行</w:t>
      </w:r>
      <w:r>
        <w:rPr>
          <w:rFonts w:hint="eastAsia"/>
          <w:lang w:eastAsia="zh-CN"/>
        </w:rPr>
        <w:t>）</w:t>
      </w:r>
      <w:r>
        <w:rPr>
          <w:rFonts w:hint="eastAsia"/>
        </w:rPr>
        <w:t>》（</w:t>
      </w:r>
      <w:r>
        <w:rPr>
          <w:rFonts w:hint="eastAsia"/>
          <w:lang w:eastAsia="zh-CN"/>
        </w:rPr>
        <w:t>GB 15618-2018</w:t>
      </w:r>
      <w:r>
        <w:rPr>
          <w:rFonts w:hint="eastAsia"/>
        </w:rPr>
        <w:t>）；</w:t>
      </w:r>
    </w:p>
    <w:p>
      <w:pPr>
        <w:ind w:firstLine="560" w:firstLineChars="200"/>
      </w:pPr>
      <w:r>
        <w:rPr>
          <w:rFonts w:hint="eastAsia"/>
        </w:rPr>
        <w:t>（4）《畜禽养殖业污染物排放标准》（</w:t>
      </w:r>
      <w:r>
        <w:rPr>
          <w:rFonts w:hint="eastAsia"/>
          <w:lang w:eastAsia="zh-CN"/>
        </w:rPr>
        <w:t>GB 18596-2001</w:t>
      </w:r>
      <w:r>
        <w:rPr>
          <w:rFonts w:hint="eastAsia"/>
        </w:rPr>
        <w:t>）；</w:t>
      </w:r>
    </w:p>
    <w:p>
      <w:pPr>
        <w:ind w:firstLine="560" w:firstLineChars="200"/>
      </w:pPr>
      <w:r>
        <w:rPr>
          <w:rFonts w:hint="eastAsia"/>
        </w:rPr>
        <w:t>（5）《</w:t>
      </w:r>
      <w:r>
        <w:rPr>
          <w:rFonts w:hint="eastAsia"/>
          <w:lang w:eastAsia="zh-CN"/>
        </w:rPr>
        <w:t>有机无机复混肥料</w:t>
      </w:r>
      <w:r>
        <w:rPr>
          <w:rFonts w:hint="eastAsia"/>
        </w:rPr>
        <w:t>》（</w:t>
      </w:r>
      <w:r>
        <w:rPr>
          <w:rFonts w:hint="eastAsia"/>
          <w:lang w:eastAsia="zh-CN"/>
        </w:rPr>
        <w:t>GB/T 18877-2020</w:t>
      </w:r>
      <w:r>
        <w:rPr>
          <w:rFonts w:hint="eastAsia"/>
        </w:rPr>
        <w:t>）；</w:t>
      </w:r>
    </w:p>
    <w:p>
      <w:pPr>
        <w:ind w:firstLine="560" w:firstLineChars="200"/>
      </w:pPr>
      <w:r>
        <w:rPr>
          <w:rFonts w:hint="eastAsia"/>
        </w:rPr>
        <w:t>（6）《畜禽粪便监测技术规范》（</w:t>
      </w:r>
      <w:r>
        <w:rPr>
          <w:rFonts w:hint="eastAsia"/>
          <w:lang w:eastAsia="zh-CN"/>
        </w:rPr>
        <w:t>GB/T 25169-2010</w:t>
      </w:r>
      <w:r>
        <w:rPr>
          <w:rFonts w:hint="eastAsia"/>
        </w:rPr>
        <w:t>）；</w:t>
      </w:r>
    </w:p>
    <w:p>
      <w:pPr>
        <w:ind w:firstLine="560" w:firstLineChars="200"/>
      </w:pPr>
      <w:r>
        <w:rPr>
          <w:rFonts w:hint="eastAsia"/>
        </w:rPr>
        <w:t>（7）《畜禽粪便还田技术规范》（</w:t>
      </w:r>
      <w:r>
        <w:rPr>
          <w:rFonts w:hint="eastAsia"/>
          <w:lang w:eastAsia="zh-CN"/>
        </w:rPr>
        <w:t>GB/T 25246-2010</w:t>
      </w:r>
      <w:r>
        <w:rPr>
          <w:rFonts w:hint="eastAsia"/>
        </w:rPr>
        <w:t>）；</w:t>
      </w:r>
    </w:p>
    <w:p>
      <w:pPr>
        <w:ind w:firstLine="560" w:firstLineChars="200"/>
      </w:pPr>
      <w:r>
        <w:rPr>
          <w:rFonts w:hint="eastAsia"/>
        </w:rPr>
        <w:t>（8）《畜禽养殖污水贮存设施设计要求》（</w:t>
      </w:r>
      <w:r>
        <w:rPr>
          <w:rFonts w:hint="eastAsia"/>
          <w:lang w:eastAsia="zh-CN"/>
        </w:rPr>
        <w:t>GB/T 26624-2011</w:t>
      </w:r>
      <w:r>
        <w:rPr>
          <w:rFonts w:hint="eastAsia"/>
        </w:rPr>
        <w:t>）；</w:t>
      </w:r>
    </w:p>
    <w:p>
      <w:pPr>
        <w:ind w:firstLine="560" w:firstLineChars="200"/>
      </w:pPr>
      <w:r>
        <w:rPr>
          <w:rFonts w:hint="eastAsia"/>
        </w:rPr>
        <w:t>（9）《畜禽粪便贮存设施设计要求》（</w:t>
      </w:r>
      <w:r>
        <w:rPr>
          <w:rFonts w:hint="eastAsia"/>
          <w:lang w:eastAsia="zh-CN"/>
        </w:rPr>
        <w:t>GB/T 27622-2011</w:t>
      </w:r>
      <w:r>
        <w:rPr>
          <w:rFonts w:hint="eastAsia"/>
        </w:rPr>
        <w:t>）；</w:t>
      </w:r>
    </w:p>
    <w:p>
      <w:pPr>
        <w:ind w:firstLine="560" w:firstLineChars="200"/>
      </w:pPr>
      <w:r>
        <w:rPr>
          <w:rFonts w:hint="eastAsia"/>
        </w:rPr>
        <w:t>（10）《畜禽粪便无害化处理技术规范》（</w:t>
      </w:r>
      <w:r>
        <w:rPr>
          <w:rFonts w:hint="eastAsia"/>
          <w:lang w:eastAsia="zh-CN"/>
        </w:rPr>
        <w:t>GB/T 36195-2018</w:t>
      </w:r>
      <w:r>
        <w:rPr>
          <w:rFonts w:hint="eastAsia"/>
        </w:rPr>
        <w:t>）；</w:t>
      </w:r>
    </w:p>
    <w:p>
      <w:pPr>
        <w:ind w:firstLine="560" w:firstLineChars="200"/>
      </w:pPr>
      <w:r>
        <w:rPr>
          <w:rFonts w:hint="eastAsia"/>
        </w:rPr>
        <w:t>（11）《畜禽养殖业污染治理工程技术规范》（</w:t>
      </w:r>
      <w:r>
        <w:rPr>
          <w:rFonts w:hint="eastAsia"/>
          <w:lang w:eastAsia="zh-CN"/>
        </w:rPr>
        <w:t>HJ 497-2009</w:t>
      </w:r>
      <w:r>
        <w:rPr>
          <w:rFonts w:hint="eastAsia"/>
        </w:rPr>
        <w:t>）；</w:t>
      </w:r>
    </w:p>
    <w:p>
      <w:pPr>
        <w:ind w:firstLine="560" w:firstLineChars="200"/>
      </w:pPr>
      <w:r>
        <w:rPr>
          <w:rFonts w:hint="eastAsia"/>
        </w:rPr>
        <w:t>（12）《排污许可证申请与核发技术规范 畜禽养殖行业》（</w:t>
      </w:r>
      <w:r>
        <w:rPr>
          <w:rFonts w:hint="eastAsia"/>
          <w:lang w:eastAsia="zh-CN"/>
        </w:rPr>
        <w:t>HJ 1029-2019</w:t>
      </w:r>
      <w:r>
        <w:rPr>
          <w:rFonts w:hint="eastAsia"/>
        </w:rPr>
        <w:t>）；</w:t>
      </w:r>
    </w:p>
    <w:p>
      <w:pPr>
        <w:ind w:firstLine="560" w:firstLineChars="200"/>
      </w:pPr>
      <w:r>
        <w:rPr>
          <w:rFonts w:hint="eastAsia"/>
        </w:rPr>
        <w:t>（13）《畜禽养殖业污染防治技术规范》（</w:t>
      </w:r>
      <w:r>
        <w:rPr>
          <w:rFonts w:hint="eastAsia"/>
          <w:lang w:eastAsia="zh-CN"/>
        </w:rPr>
        <w:t>HJ/T 81-2001</w:t>
      </w:r>
      <w:r>
        <w:rPr>
          <w:rFonts w:hint="eastAsia"/>
        </w:rPr>
        <w:t>）；</w:t>
      </w:r>
    </w:p>
    <w:p>
      <w:pPr>
        <w:ind w:firstLine="560" w:firstLineChars="200"/>
      </w:pPr>
      <w:r>
        <w:rPr>
          <w:rFonts w:hint="eastAsia"/>
        </w:rPr>
        <w:t>（14）《有机肥料》（</w:t>
      </w:r>
      <w:r>
        <w:rPr>
          <w:rFonts w:hint="eastAsia"/>
          <w:lang w:eastAsia="zh-CN"/>
        </w:rPr>
        <w:t>NY/T 525-2021</w:t>
      </w:r>
      <w:r>
        <w:rPr>
          <w:rFonts w:hint="eastAsia"/>
        </w:rPr>
        <w:t>）；</w:t>
      </w:r>
    </w:p>
    <w:p>
      <w:pPr>
        <w:ind w:firstLine="560" w:firstLineChars="200"/>
      </w:pPr>
      <w:r>
        <w:rPr>
          <w:rFonts w:hint="eastAsia"/>
        </w:rPr>
        <w:t>（15）《畜禽场环境污染控制技术规范》（</w:t>
      </w:r>
      <w:r>
        <w:rPr>
          <w:rFonts w:hint="eastAsia"/>
          <w:lang w:eastAsia="zh-CN"/>
        </w:rPr>
        <w:t>NY/T 1169-2006</w:t>
      </w:r>
      <w:r>
        <w:rPr>
          <w:rFonts w:hint="eastAsia"/>
        </w:rPr>
        <w:t>）；</w:t>
      </w:r>
    </w:p>
    <w:p>
      <w:pPr>
        <w:ind w:firstLine="560" w:firstLineChars="200"/>
        <w:rPr>
          <w:rFonts w:hint="eastAsia"/>
        </w:rPr>
      </w:pPr>
      <w:r>
        <w:rPr>
          <w:rFonts w:hint="eastAsia"/>
        </w:rPr>
        <w:t>（16）《沼肥施用技术规范》（</w:t>
      </w:r>
      <w:r>
        <w:rPr>
          <w:rFonts w:hint="eastAsia"/>
          <w:lang w:eastAsia="zh-CN"/>
        </w:rPr>
        <w:t>NY/T 2065-2011</w:t>
      </w:r>
      <w:r>
        <w:rPr>
          <w:rFonts w:hint="eastAsia"/>
        </w:rPr>
        <w:t>）。</w:t>
      </w:r>
    </w:p>
    <w:p>
      <w:pPr>
        <w:ind w:firstLine="560" w:firstLineChars="200"/>
        <w:rPr>
          <w:rFonts w:hint="eastAsia"/>
        </w:rPr>
      </w:pPr>
      <w:r>
        <w:rPr>
          <w:rFonts w:hint="eastAsia"/>
        </w:rPr>
        <w:t>（</w:t>
      </w:r>
      <w:r>
        <w:rPr>
          <w:rFonts w:hint="eastAsia"/>
          <w:lang w:val="en-US" w:eastAsia="zh-CN"/>
        </w:rPr>
        <w:t>17</w:t>
      </w:r>
      <w:r>
        <w:rPr>
          <w:rFonts w:hint="eastAsia"/>
        </w:rPr>
        <w:t>）《畜禽养殖业污染防治技术规范》（HJ/T 81-2001）；</w:t>
      </w:r>
    </w:p>
    <w:p>
      <w:pPr>
        <w:numPr>
          <w:ilvl w:val="0"/>
          <w:numId w:val="0"/>
        </w:numPr>
        <w:ind w:firstLine="560" w:firstLineChars="200"/>
        <w:rPr>
          <w:rFonts w:hint="eastAsia"/>
        </w:rPr>
      </w:pPr>
      <w:r>
        <w:rPr>
          <w:rFonts w:hint="eastAsia"/>
          <w:lang w:eastAsia="zh-CN"/>
        </w:rPr>
        <w:t>（</w:t>
      </w:r>
      <w:r>
        <w:rPr>
          <w:rFonts w:hint="eastAsia"/>
          <w:lang w:val="en-US" w:eastAsia="zh-CN"/>
        </w:rPr>
        <w:t>18</w:t>
      </w:r>
      <w:r>
        <w:rPr>
          <w:rFonts w:hint="eastAsia"/>
          <w:lang w:eastAsia="zh-CN"/>
        </w:rPr>
        <w:t>）《规模化畜禽养殖场沼气工程设计规范</w:t>
      </w:r>
      <w:r>
        <w:rPr>
          <w:rFonts w:hint="eastAsia"/>
          <w:lang w:val="en-US" w:eastAsia="zh-CN"/>
        </w:rPr>
        <w:t xml:space="preserve"> </w:t>
      </w:r>
      <w:r>
        <w:rPr>
          <w:rFonts w:hint="eastAsia"/>
        </w:rPr>
        <w:t>》（NY/T 1222-2006）；</w:t>
      </w:r>
    </w:p>
    <w:p>
      <w:pPr>
        <w:ind w:firstLine="560" w:firstLineChars="200"/>
        <w:rPr>
          <w:rFonts w:hint="eastAsia"/>
        </w:rPr>
      </w:pPr>
      <w:r>
        <w:rPr>
          <w:rFonts w:hint="eastAsia"/>
          <w:lang w:eastAsia="zh-CN"/>
        </w:rPr>
        <w:t>（</w:t>
      </w:r>
      <w:r>
        <w:rPr>
          <w:rFonts w:hint="eastAsia"/>
          <w:lang w:val="en-US" w:eastAsia="zh-CN"/>
        </w:rPr>
        <w:t>19</w:t>
      </w:r>
      <w:r>
        <w:rPr>
          <w:rFonts w:hint="eastAsia"/>
          <w:lang w:eastAsia="zh-CN"/>
        </w:rPr>
        <w:t>）</w:t>
      </w:r>
      <w:r>
        <w:rPr>
          <w:rFonts w:hint="eastAsia"/>
        </w:rPr>
        <w:t>《畜禽粪便无害化处理技术规范》（NY/T 1168-2006）；</w:t>
      </w:r>
    </w:p>
    <w:p>
      <w:pPr>
        <w:ind w:firstLine="560" w:firstLineChars="200"/>
        <w:rPr>
          <w:rFonts w:hint="eastAsia"/>
        </w:rPr>
      </w:pPr>
      <w:r>
        <w:rPr>
          <w:rFonts w:hint="eastAsia"/>
          <w:lang w:eastAsia="zh-CN"/>
        </w:rPr>
        <w:t>（</w:t>
      </w:r>
      <w:r>
        <w:rPr>
          <w:rFonts w:hint="eastAsia"/>
          <w:lang w:val="en-US" w:eastAsia="zh-CN"/>
        </w:rPr>
        <w:t>20</w:t>
      </w:r>
      <w:r>
        <w:rPr>
          <w:rFonts w:hint="eastAsia"/>
          <w:lang w:eastAsia="zh-CN"/>
        </w:rPr>
        <w:t>）</w:t>
      </w:r>
      <w:r>
        <w:rPr>
          <w:rFonts w:hint="eastAsia"/>
        </w:rPr>
        <w:t>《畜禽场场区设计技术规范》（NY/T 682-2003）；</w:t>
      </w:r>
    </w:p>
    <w:p>
      <w:pPr>
        <w:ind w:firstLine="560" w:firstLineChars="200"/>
        <w:rPr>
          <w:rFonts w:hint="eastAsia"/>
        </w:rPr>
      </w:pPr>
      <w:r>
        <w:rPr>
          <w:rFonts w:hint="eastAsia"/>
          <w:lang w:eastAsia="zh-CN"/>
        </w:rPr>
        <w:t>（</w:t>
      </w:r>
      <w:r>
        <w:rPr>
          <w:rFonts w:hint="eastAsia"/>
          <w:lang w:val="en-US" w:eastAsia="zh-CN"/>
        </w:rPr>
        <w:t>21</w:t>
      </w:r>
      <w:r>
        <w:rPr>
          <w:rFonts w:hint="eastAsia"/>
          <w:lang w:eastAsia="zh-CN"/>
        </w:rPr>
        <w:t>）</w:t>
      </w:r>
      <w:r>
        <w:rPr>
          <w:rFonts w:hint="eastAsia"/>
        </w:rPr>
        <w:t>《畜禽粪便还田技术规范》（GB/T 25246-2010）；</w:t>
      </w:r>
    </w:p>
    <w:p>
      <w:pPr>
        <w:pStyle w:val="2"/>
      </w:pPr>
      <w:bookmarkStart w:id="16" w:name="_Toc30932"/>
      <w:bookmarkStart w:id="17" w:name="_Toc25893"/>
      <w:r>
        <w:rPr>
          <w:rFonts w:hint="eastAsia"/>
        </w:rPr>
        <w:t>1.3.3 政策、规划及相关文件</w:t>
      </w:r>
      <w:bookmarkEnd w:id="16"/>
      <w:bookmarkEnd w:id="17"/>
    </w:p>
    <w:p>
      <w:pPr>
        <w:ind w:firstLine="560" w:firstLineChars="200"/>
        <w:rPr>
          <w:rFonts w:hint="eastAsia"/>
        </w:rPr>
      </w:pPr>
      <w:r>
        <w:rPr>
          <w:rFonts w:hint="eastAsia"/>
        </w:rPr>
        <w:t>（1）国务院办公厅关于</w:t>
      </w:r>
      <w:r>
        <w:rPr>
          <w:rFonts w:hint="eastAsia"/>
          <w:lang w:val="en-US" w:eastAsia="zh-CN"/>
        </w:rPr>
        <w:t>促进畜牧业高质量发展</w:t>
      </w:r>
      <w:r>
        <w:rPr>
          <w:rFonts w:hint="eastAsia"/>
        </w:rPr>
        <w:t>的意见（国办发〔20</w:t>
      </w:r>
      <w:r>
        <w:rPr>
          <w:rFonts w:hint="eastAsia"/>
          <w:lang w:val="en-US" w:eastAsia="zh-CN"/>
        </w:rPr>
        <w:t>20</w:t>
      </w:r>
      <w:r>
        <w:rPr>
          <w:rFonts w:hint="eastAsia"/>
        </w:rPr>
        <w:t>〕</w:t>
      </w:r>
      <w:r>
        <w:rPr>
          <w:rFonts w:hint="eastAsia"/>
          <w:lang w:val="en-US" w:eastAsia="zh-CN"/>
        </w:rPr>
        <w:t>31</w:t>
      </w:r>
      <w:r>
        <w:rPr>
          <w:rFonts w:hint="eastAsia"/>
        </w:rPr>
        <w:t>号）</w:t>
      </w:r>
    </w:p>
    <w:p>
      <w:pPr>
        <w:ind w:firstLine="560" w:firstLineChars="200"/>
      </w:pPr>
      <w:r>
        <w:rPr>
          <w:rFonts w:hint="eastAsia"/>
          <w:lang w:eastAsia="zh-CN"/>
        </w:rPr>
        <w:t>（</w:t>
      </w:r>
      <w:r>
        <w:rPr>
          <w:rFonts w:hint="eastAsia"/>
          <w:lang w:val="en-US" w:eastAsia="zh-CN"/>
        </w:rPr>
        <w:t>2</w:t>
      </w:r>
      <w:r>
        <w:rPr>
          <w:rFonts w:hint="eastAsia"/>
          <w:lang w:eastAsia="zh-CN"/>
        </w:rPr>
        <w:t>）</w:t>
      </w:r>
      <w:r>
        <w:rPr>
          <w:rFonts w:hint="eastAsia"/>
        </w:rPr>
        <w:t>国务院办公厅关于加快推进畜禽养殖废弃物资源化利用的意见（国办发〔2017〕48号）；</w:t>
      </w:r>
    </w:p>
    <w:p>
      <w:pPr>
        <w:ind w:firstLine="560" w:firstLineChars="200"/>
      </w:pPr>
      <w:r>
        <w:rPr>
          <w:rFonts w:hint="eastAsia"/>
        </w:rPr>
        <w:t>（</w:t>
      </w:r>
      <w:r>
        <w:rPr>
          <w:rFonts w:hint="eastAsia"/>
          <w:lang w:val="en-US" w:eastAsia="zh-CN"/>
        </w:rPr>
        <w:t>3</w:t>
      </w:r>
      <w:r>
        <w:rPr>
          <w:rFonts w:hint="eastAsia"/>
        </w:rPr>
        <w:t>）农业面源污染治理与监督指导实施方案（试行）（环办土壤〔2021〕8号）；</w:t>
      </w:r>
    </w:p>
    <w:p>
      <w:pPr>
        <w:ind w:firstLine="560" w:firstLineChars="200"/>
      </w:pPr>
      <w:r>
        <w:rPr>
          <w:rFonts w:hint="eastAsia"/>
        </w:rPr>
        <w:t>（</w:t>
      </w:r>
      <w:r>
        <w:rPr>
          <w:rFonts w:hint="eastAsia"/>
          <w:lang w:val="en-US" w:eastAsia="zh-CN"/>
        </w:rPr>
        <w:t>4</w:t>
      </w:r>
      <w:r>
        <w:rPr>
          <w:rFonts w:hint="eastAsia"/>
        </w:rPr>
        <w:t>）《畜禽粪污土地承载力测算技术指南》（农办牧〔2018〕1号）；</w:t>
      </w:r>
    </w:p>
    <w:p>
      <w:pPr>
        <w:ind w:firstLine="560" w:firstLineChars="200"/>
      </w:pPr>
      <w:r>
        <w:rPr>
          <w:rFonts w:hint="eastAsia"/>
        </w:rPr>
        <w:t>（</w:t>
      </w:r>
      <w:r>
        <w:rPr>
          <w:rFonts w:hint="eastAsia"/>
          <w:lang w:val="en-US" w:eastAsia="zh-CN"/>
        </w:rPr>
        <w:t>5</w:t>
      </w:r>
      <w:r>
        <w:rPr>
          <w:rFonts w:hint="eastAsia"/>
        </w:rPr>
        <w:t>）《畜禽规模养殖场粪污资源化利用设施建设规范（试行）》（农办牧〔2018〕2号）；</w:t>
      </w:r>
    </w:p>
    <w:p>
      <w:pPr>
        <w:ind w:firstLine="560" w:firstLineChars="200"/>
      </w:pPr>
      <w:r>
        <w:rPr>
          <w:rFonts w:hint="eastAsia"/>
        </w:rPr>
        <w:t>（</w:t>
      </w:r>
      <w:r>
        <w:rPr>
          <w:rFonts w:hint="eastAsia"/>
          <w:lang w:val="en-US" w:eastAsia="zh-CN"/>
        </w:rPr>
        <w:t>6</w:t>
      </w:r>
      <w:r>
        <w:rPr>
          <w:rFonts w:hint="eastAsia"/>
        </w:rPr>
        <w:t>）《关于促进畜禽粪污还田利用 依法加强养殖污染治理的指导意见》（农办牧〔2019〕84号）；</w:t>
      </w:r>
    </w:p>
    <w:p>
      <w:pPr>
        <w:ind w:firstLine="560" w:firstLineChars="200"/>
      </w:pPr>
      <w:r>
        <w:rPr>
          <w:rFonts w:hint="eastAsia"/>
        </w:rPr>
        <w:t>（</w:t>
      </w:r>
      <w:r>
        <w:rPr>
          <w:rFonts w:hint="eastAsia"/>
          <w:lang w:val="en-US" w:eastAsia="zh-CN"/>
        </w:rPr>
        <w:t>7</w:t>
      </w:r>
      <w:r>
        <w:rPr>
          <w:rFonts w:hint="eastAsia"/>
        </w:rPr>
        <w:t>）《关于进一步明确畜禽粪污还田利用要求强化养殖污染监管的通知》（农办牧〔2020〕23号）；</w:t>
      </w:r>
    </w:p>
    <w:p>
      <w:pPr>
        <w:ind w:firstLine="560" w:firstLineChars="200"/>
        <w:rPr>
          <w:rFonts w:hint="eastAsia"/>
        </w:rPr>
      </w:pPr>
      <w:r>
        <w:rPr>
          <w:rFonts w:hint="eastAsia"/>
        </w:rPr>
        <w:t>（</w:t>
      </w:r>
      <w:r>
        <w:rPr>
          <w:rFonts w:hint="eastAsia"/>
          <w:lang w:val="en-US" w:eastAsia="zh-CN"/>
        </w:rPr>
        <w:t>8</w:t>
      </w:r>
      <w:r>
        <w:rPr>
          <w:rFonts w:hint="eastAsia"/>
        </w:rPr>
        <w:t>）《关于开展水环境承载力评价工作的通知》（环办水体函〔2020〕538号）；</w:t>
      </w:r>
    </w:p>
    <w:p>
      <w:pPr>
        <w:ind w:firstLine="560" w:firstLineChars="200"/>
        <w:rPr>
          <w:rFonts w:hint="eastAsia"/>
        </w:rPr>
      </w:pPr>
      <w:r>
        <w:rPr>
          <w:rFonts w:hint="eastAsia"/>
        </w:rPr>
        <w:t>（</w:t>
      </w:r>
      <w:r>
        <w:rPr>
          <w:rFonts w:hint="eastAsia"/>
          <w:lang w:val="en-US" w:eastAsia="zh-CN"/>
        </w:rPr>
        <w:t>9</w:t>
      </w:r>
      <w:r>
        <w:rPr>
          <w:rFonts w:hint="eastAsia"/>
        </w:rPr>
        <w:t>）《</w:t>
      </w:r>
      <w:r>
        <w:rPr>
          <w:rFonts w:hint="eastAsia"/>
          <w:lang w:eastAsia="zh-CN"/>
        </w:rPr>
        <w:t>四川省〈</w:t>
      </w:r>
      <w:r>
        <w:rPr>
          <w:rFonts w:hint="eastAsia"/>
          <w:lang w:val="en-US" w:eastAsia="zh-CN"/>
        </w:rPr>
        <w:t>中华人民共和国大气污染防治法〉实施办法</w:t>
      </w:r>
      <w:r>
        <w:rPr>
          <w:rFonts w:hint="eastAsia"/>
        </w:rPr>
        <w:t>》（20</w:t>
      </w:r>
      <w:r>
        <w:rPr>
          <w:rFonts w:hint="eastAsia"/>
          <w:lang w:val="en-US" w:eastAsia="zh-CN"/>
        </w:rPr>
        <w:t>18</w:t>
      </w:r>
      <w:r>
        <w:rPr>
          <w:rFonts w:hint="eastAsia"/>
        </w:rPr>
        <w:t>年修订）</w:t>
      </w:r>
    </w:p>
    <w:p>
      <w:pPr>
        <w:ind w:firstLine="560" w:firstLineChars="200"/>
      </w:pPr>
      <w:r>
        <w:rPr>
          <w:rFonts w:hint="eastAsia"/>
          <w:lang w:eastAsia="zh-CN"/>
        </w:rPr>
        <w:t>（</w:t>
      </w:r>
      <w:r>
        <w:rPr>
          <w:rFonts w:hint="eastAsia"/>
          <w:lang w:val="en-US" w:eastAsia="zh-CN"/>
        </w:rPr>
        <w:t>10</w:t>
      </w:r>
      <w:r>
        <w:rPr>
          <w:rFonts w:hint="eastAsia"/>
          <w:lang w:eastAsia="zh-CN"/>
        </w:rPr>
        <w:t>）《巴中市巴州区畜禽养殖禁养区划定方案</w:t>
      </w:r>
      <w:r>
        <w:rPr>
          <w:rFonts w:hint="eastAsia"/>
          <w:lang w:val="en-US" w:eastAsia="zh-CN"/>
        </w:rPr>
        <w:t xml:space="preserve"> </w:t>
      </w:r>
      <w:r>
        <w:rPr>
          <w:rFonts w:hint="eastAsia"/>
          <w:lang w:eastAsia="zh-CN"/>
        </w:rPr>
        <w:t>》（巴州府办</w:t>
      </w:r>
      <w:r>
        <w:rPr>
          <w:rFonts w:hint="eastAsia"/>
        </w:rPr>
        <w:t>〔20</w:t>
      </w:r>
      <w:r>
        <w:rPr>
          <w:rFonts w:hint="eastAsia"/>
          <w:lang w:val="en-US" w:eastAsia="zh-CN"/>
        </w:rPr>
        <w:t>18</w:t>
      </w:r>
      <w:r>
        <w:rPr>
          <w:rFonts w:hint="eastAsia"/>
        </w:rPr>
        <w:t>〕</w:t>
      </w:r>
      <w:r>
        <w:rPr>
          <w:rFonts w:hint="eastAsia"/>
          <w:lang w:val="en-US" w:eastAsia="zh-CN"/>
        </w:rPr>
        <w:t>143号</w:t>
      </w:r>
      <w:r>
        <w:rPr>
          <w:rFonts w:hint="eastAsia"/>
          <w:lang w:eastAsia="zh-CN"/>
        </w:rPr>
        <w:t>）</w:t>
      </w:r>
      <w:r>
        <w:rPr>
          <w:rFonts w:hint="eastAsia"/>
        </w:rPr>
        <w:t>；</w:t>
      </w:r>
    </w:p>
    <w:p>
      <w:pPr>
        <w:ind w:firstLine="560" w:firstLineChars="200"/>
      </w:pPr>
      <w:r>
        <w:rPr>
          <w:rFonts w:hint="eastAsia"/>
        </w:rPr>
        <w:t>（1</w:t>
      </w:r>
      <w:r>
        <w:rPr>
          <w:rFonts w:hint="eastAsia"/>
          <w:lang w:val="en-US" w:eastAsia="zh-CN"/>
        </w:rPr>
        <w:t>1</w:t>
      </w:r>
      <w:r>
        <w:rPr>
          <w:rFonts w:hint="eastAsia"/>
        </w:rPr>
        <w:t>）《关于印发畜禽养殖污染防治规划编制指南（试行）的通知》（环办土壤函〔202</w:t>
      </w:r>
      <w:r>
        <w:t>1</w:t>
      </w:r>
      <w:r>
        <w:rPr>
          <w:rFonts w:hint="eastAsia"/>
        </w:rPr>
        <w:t>〕465号）；</w:t>
      </w:r>
    </w:p>
    <w:p>
      <w:pPr>
        <w:ind w:firstLine="560" w:firstLineChars="200"/>
        <w:rPr>
          <w:rFonts w:hint="eastAsia"/>
        </w:rPr>
      </w:pPr>
      <w:r>
        <w:rPr>
          <w:rFonts w:hint="eastAsia"/>
        </w:rPr>
        <w:t>（1</w:t>
      </w:r>
      <w:r>
        <w:rPr>
          <w:rFonts w:hint="eastAsia"/>
          <w:lang w:val="en-US" w:eastAsia="zh-CN"/>
        </w:rPr>
        <w:t>2</w:t>
      </w:r>
      <w:r>
        <w:rPr>
          <w:rFonts w:hint="eastAsia"/>
        </w:rPr>
        <w:t>）</w:t>
      </w:r>
      <w:r>
        <w:rPr>
          <w:rFonts w:hint="eastAsia"/>
          <w:lang w:val="en-US" w:eastAsia="zh-CN"/>
        </w:rPr>
        <w:t>四川省生态环境厅 四川省农业农村厅关于印发《四川省畜禽养殖污染防治规划》的通知（川环发</w:t>
      </w:r>
      <w:r>
        <w:rPr>
          <w:rFonts w:hint="eastAsia"/>
        </w:rPr>
        <w:t>〔202</w:t>
      </w:r>
      <w:r>
        <w:rPr>
          <w:rFonts w:hint="eastAsia"/>
          <w:lang w:val="en-US" w:eastAsia="zh-CN"/>
        </w:rPr>
        <w:t>2</w:t>
      </w:r>
      <w:r>
        <w:rPr>
          <w:rFonts w:hint="eastAsia"/>
        </w:rPr>
        <w:t>〕</w:t>
      </w:r>
      <w:r>
        <w:rPr>
          <w:rFonts w:hint="eastAsia"/>
          <w:lang w:val="en-US" w:eastAsia="zh-CN"/>
        </w:rPr>
        <w:t>18</w:t>
      </w:r>
      <w:r>
        <w:rPr>
          <w:rFonts w:hint="eastAsia"/>
        </w:rPr>
        <w:t>号</w:t>
      </w:r>
      <w:r>
        <w:rPr>
          <w:rFonts w:hint="eastAsia"/>
          <w:lang w:val="en-US" w:eastAsia="zh-CN"/>
        </w:rPr>
        <w:t>）</w:t>
      </w:r>
      <w:r>
        <w:rPr>
          <w:rFonts w:hint="eastAsia"/>
        </w:rPr>
        <w:t>；</w:t>
      </w:r>
    </w:p>
    <w:p>
      <w:pPr>
        <w:ind w:firstLine="560" w:firstLineChars="200"/>
        <w:rPr>
          <w:rFonts w:hint="eastAsia"/>
        </w:rPr>
      </w:pPr>
      <w:r>
        <w:rPr>
          <w:rFonts w:hint="eastAsia"/>
        </w:rPr>
        <w:t>（1</w:t>
      </w:r>
      <w:r>
        <w:rPr>
          <w:rFonts w:hint="eastAsia"/>
          <w:lang w:val="en-US" w:eastAsia="zh-CN"/>
        </w:rPr>
        <w:t>3</w:t>
      </w:r>
      <w:r>
        <w:rPr>
          <w:rFonts w:hint="eastAsia"/>
        </w:rPr>
        <w:t>）《</w:t>
      </w:r>
      <w:r>
        <w:rPr>
          <w:rFonts w:hint="eastAsia"/>
          <w:lang w:eastAsia="zh-CN"/>
        </w:rPr>
        <w:t>巴中市“十四五”推进农业农村现代化规划</w:t>
      </w:r>
      <w:r>
        <w:rPr>
          <w:rFonts w:hint="eastAsia"/>
        </w:rPr>
        <w:t>》</w:t>
      </w:r>
      <w:r>
        <w:rPr>
          <w:rFonts w:hint="eastAsia"/>
          <w:lang w:eastAsia="zh-CN"/>
        </w:rPr>
        <w:t>（</w:t>
      </w:r>
      <w:r>
        <w:rPr>
          <w:rFonts w:hint="eastAsia"/>
          <w:lang w:val="en-US" w:eastAsia="zh-CN"/>
        </w:rPr>
        <w:t>2021年</w:t>
      </w:r>
      <w:r>
        <w:rPr>
          <w:rFonts w:hint="eastAsia"/>
          <w:lang w:eastAsia="zh-CN"/>
        </w:rPr>
        <w:t>）</w:t>
      </w:r>
      <w:r>
        <w:rPr>
          <w:rFonts w:hint="eastAsia"/>
        </w:rPr>
        <w:t>。</w:t>
      </w:r>
    </w:p>
    <w:p>
      <w:pPr>
        <w:ind w:firstLine="560" w:firstLineChars="200"/>
        <w:rPr>
          <w:rFonts w:hint="eastAsia"/>
          <w:lang w:val="en-US" w:eastAsia="zh-CN"/>
        </w:rPr>
      </w:pPr>
      <w:r>
        <w:rPr>
          <w:rFonts w:hint="eastAsia"/>
          <w:lang w:eastAsia="zh-CN"/>
        </w:rPr>
        <w:t>（</w:t>
      </w:r>
      <w:r>
        <w:rPr>
          <w:rFonts w:hint="eastAsia"/>
          <w:lang w:val="en-US" w:eastAsia="zh-CN"/>
        </w:rPr>
        <w:t>14</w:t>
      </w:r>
      <w:r>
        <w:rPr>
          <w:rFonts w:hint="eastAsia"/>
          <w:lang w:eastAsia="zh-CN"/>
        </w:rPr>
        <w:t>）</w:t>
      </w:r>
      <w:r>
        <w:rPr>
          <w:rFonts w:hint="eastAsia"/>
          <w:lang w:val="en-US" w:eastAsia="zh-CN"/>
        </w:rPr>
        <w:t>《巴州区国民经济和社会发展第十四个五年规划和二〇三五年远景目标纲要》（2021年）</w:t>
      </w:r>
      <w:r>
        <w:rPr>
          <w:rFonts w:hint="eastAsia"/>
          <w:lang w:val="en-US" w:eastAsia="zh-CN"/>
        </w:rPr>
        <w:br w:type="textWrapping"/>
      </w:r>
      <w:r>
        <w:rPr>
          <w:rFonts w:hint="eastAsia"/>
          <w:lang w:val="en-US" w:eastAsia="zh-CN"/>
        </w:rPr>
        <w:t xml:space="preserve">    （15）《巴中市巴州区“十四五”生态环境保护规划》（2021年）</w:t>
      </w:r>
    </w:p>
    <w:p>
      <w:pPr>
        <w:pStyle w:val="4"/>
        <w:spacing w:before="190" w:after="190"/>
        <w:rPr>
          <w:rFonts w:hint="eastAsia" w:eastAsia="仿宋" w:cs="Times New Roman"/>
          <w:highlight w:val="none"/>
          <w:lang w:eastAsia="zh-CN"/>
        </w:rPr>
      </w:pPr>
      <w:bookmarkStart w:id="18" w:name="_Toc31605"/>
      <w:bookmarkStart w:id="19" w:name="_Toc167"/>
      <w:r>
        <w:rPr>
          <w:rFonts w:hint="eastAsia"/>
          <w:highlight w:val="none"/>
        </w:rPr>
        <w:t xml:space="preserve">1.4 </w:t>
      </w:r>
      <w:bookmarkStart w:id="20" w:name="_Toc23861"/>
      <w:r>
        <w:rPr>
          <w:rFonts w:hint="eastAsia" w:cs="Times New Roman"/>
          <w:highlight w:val="none"/>
          <w:lang w:val="en-US" w:eastAsia="zh-CN"/>
        </w:rPr>
        <w:t>规划</w:t>
      </w:r>
      <w:r>
        <w:rPr>
          <w:rFonts w:cs="Times New Roman"/>
          <w:highlight w:val="none"/>
        </w:rPr>
        <w:t>原则</w:t>
      </w:r>
      <w:bookmarkEnd w:id="18"/>
      <w:bookmarkEnd w:id="19"/>
      <w:bookmarkEnd w:id="20"/>
    </w:p>
    <w:p>
      <w:pPr>
        <w:ind w:firstLine="562" w:firstLineChars="200"/>
        <w:rPr>
          <w:rFonts w:hint="default" w:eastAsia="仿宋" w:cs="Times New Roman"/>
          <w:lang w:val="en-US" w:eastAsia="zh-CN"/>
        </w:rPr>
      </w:pPr>
      <w:r>
        <w:rPr>
          <w:rFonts w:cs="Times New Roman"/>
          <w:b/>
          <w:bCs/>
        </w:rPr>
        <w:t>（1）统筹</w:t>
      </w:r>
      <w:r>
        <w:rPr>
          <w:rFonts w:hint="eastAsia" w:cs="Times New Roman"/>
          <w:b/>
          <w:bCs/>
          <w:lang w:val="en-US" w:eastAsia="zh-CN"/>
        </w:rPr>
        <w:t>推进、突出重点</w:t>
      </w:r>
    </w:p>
    <w:p>
      <w:pPr>
        <w:ind w:firstLine="560" w:firstLineChars="200"/>
        <w:rPr>
          <w:rFonts w:cs="Times New Roman"/>
        </w:rPr>
      </w:pPr>
      <w:r>
        <w:rPr>
          <w:rFonts w:hint="eastAsia" w:cs="Times New Roman"/>
          <w:lang w:val="en-US" w:eastAsia="zh-CN"/>
        </w:rPr>
        <w:t>统筹生态环境保护与畜禽养殖产业发展，综合考虑畜禽产品供给保障能力、资源环境承载力，整合区域内外农牧资源，促进畜禽养殖产业提质增效</w:t>
      </w:r>
      <w:r>
        <w:rPr>
          <w:rFonts w:cs="Times New Roman"/>
        </w:rPr>
        <w:t>，科学规划畜禽养殖总量和空间布局，加快畜牧业转型升级和绿色发展。</w:t>
      </w:r>
    </w:p>
    <w:p>
      <w:pPr>
        <w:ind w:firstLine="562" w:firstLineChars="200"/>
        <w:rPr>
          <w:rFonts w:hint="default" w:eastAsia="仿宋" w:cs="Times New Roman"/>
          <w:b/>
          <w:bCs/>
          <w:lang w:val="en-US" w:eastAsia="zh-CN"/>
        </w:rPr>
      </w:pPr>
      <w:r>
        <w:rPr>
          <w:rFonts w:cs="Times New Roman"/>
          <w:b/>
          <w:bCs/>
        </w:rPr>
        <w:t>（2）</w:t>
      </w:r>
      <w:r>
        <w:rPr>
          <w:rFonts w:hint="eastAsia" w:cs="Times New Roman"/>
          <w:b/>
          <w:bCs/>
          <w:lang w:val="en-US" w:eastAsia="zh-CN"/>
        </w:rPr>
        <w:t>以地定畜、种养结合</w:t>
      </w:r>
    </w:p>
    <w:p>
      <w:pPr>
        <w:ind w:firstLine="560" w:firstLineChars="200"/>
        <w:rPr>
          <w:rFonts w:cs="Times New Roman"/>
        </w:rPr>
      </w:pPr>
      <w:r>
        <w:rPr>
          <w:rFonts w:hint="eastAsia" w:cs="Times New Roman"/>
          <w:lang w:val="en-US" w:eastAsia="zh-CN"/>
        </w:rPr>
        <w:t>严格落实“三线一单”生态环境分区管控要求，明确发展性空间和约束性空间，科学调控养殖规模，优化养殖布局结构。</w:t>
      </w:r>
      <w:r>
        <w:rPr>
          <w:rFonts w:cs="Times New Roman"/>
        </w:rPr>
        <w:t>以养分平衡为核心，协同推进畜禽粪肥还田与化肥减量增效。结合种植规模和结构，科学测算养分需求，优化肥料结构与施肥方式，削减养殖业和种植业污染负荷，促进农业面源污染防治。</w:t>
      </w:r>
    </w:p>
    <w:p>
      <w:pPr>
        <w:ind w:firstLine="562" w:firstLineChars="200"/>
        <w:rPr>
          <w:rFonts w:hint="eastAsia" w:eastAsia="仿宋" w:cs="Times New Roman"/>
          <w:b/>
          <w:bCs/>
          <w:lang w:eastAsia="zh-CN"/>
        </w:rPr>
      </w:pPr>
      <w:r>
        <w:rPr>
          <w:rFonts w:cs="Times New Roman"/>
          <w:b/>
          <w:bCs/>
        </w:rPr>
        <w:t>（3）因地制宜、分区</w:t>
      </w:r>
      <w:r>
        <w:rPr>
          <w:rFonts w:hint="eastAsia" w:cs="Times New Roman"/>
          <w:b/>
          <w:bCs/>
          <w:lang w:val="en-US" w:eastAsia="zh-CN"/>
        </w:rPr>
        <w:t>分类</w:t>
      </w:r>
    </w:p>
    <w:p>
      <w:pPr>
        <w:ind w:firstLine="560" w:firstLineChars="200"/>
        <w:rPr>
          <w:rFonts w:cs="Times New Roman"/>
        </w:rPr>
      </w:pPr>
      <w:r>
        <w:rPr>
          <w:rFonts w:hint="eastAsia" w:cs="Times New Roman"/>
          <w:lang w:val="en-US" w:eastAsia="zh-CN"/>
        </w:rPr>
        <w:t>因地制宜采取资源化综合利用、纳入污水管网处置、建设专门的污染物治理设施等方式处置养殖废弃物，</w:t>
      </w:r>
      <w:r>
        <w:rPr>
          <w:rFonts w:cs="Times New Roman"/>
        </w:rPr>
        <w:t>鼓励全量收集和清洁高效利用</w:t>
      </w:r>
      <w:r>
        <w:rPr>
          <w:rFonts w:hint="eastAsia" w:cs="Times New Roman"/>
          <w:lang w:eastAsia="zh-CN"/>
        </w:rPr>
        <w:t>，</w:t>
      </w:r>
      <w:r>
        <w:rPr>
          <w:rFonts w:hint="eastAsia" w:cs="Times New Roman"/>
          <w:lang w:val="en-US" w:eastAsia="zh-CN"/>
        </w:rPr>
        <w:t>针对不同养殖类型、不容养殖规模、不同养殖技术制定不同的养殖污染防治监管要求。力求实现精准治污、科学治污、依法治污</w:t>
      </w:r>
      <w:r>
        <w:rPr>
          <w:rFonts w:cs="Times New Roman"/>
        </w:rPr>
        <w:t>。</w:t>
      </w:r>
    </w:p>
    <w:p>
      <w:pPr>
        <w:ind w:firstLine="562" w:firstLineChars="200"/>
        <w:rPr>
          <w:rFonts w:cs="Times New Roman"/>
          <w:b/>
          <w:bCs/>
        </w:rPr>
      </w:pPr>
      <w:r>
        <w:rPr>
          <w:rFonts w:cs="Times New Roman"/>
          <w:b/>
          <w:bCs/>
        </w:rPr>
        <w:t>（4）政府主导、多方联动</w:t>
      </w:r>
    </w:p>
    <w:p>
      <w:pPr>
        <w:ind w:firstLine="560" w:firstLineChars="200"/>
        <w:rPr>
          <w:rFonts w:cs="Times New Roman"/>
        </w:rPr>
      </w:pPr>
      <w:r>
        <w:rPr>
          <w:rFonts w:cs="Times New Roman"/>
        </w:rPr>
        <w:t>完善多方协调联动机制，强化地方政府主导、企业主体、社会组织和公众共同参与的畜禽养殖污染防治体系。</w:t>
      </w:r>
      <w:r>
        <w:rPr>
          <w:rFonts w:hint="eastAsia" w:cs="Times New Roman"/>
          <w:lang w:val="en-US" w:eastAsia="zh-CN"/>
        </w:rPr>
        <w:t>强化政策引导作用，注重激励性措施与强制性措施相结合，加强畜禽养殖业生态消纳和污染治理工作的规范化、制度化建设。拓宽畜禽养殖污染防治项目资金渠道</w:t>
      </w:r>
      <w:r>
        <w:rPr>
          <w:rFonts w:cs="Times New Roman"/>
        </w:rPr>
        <w:t>，推动第三方治理等社会化运营模式健康发展。</w:t>
      </w:r>
    </w:p>
    <w:p>
      <w:pPr>
        <w:pStyle w:val="4"/>
        <w:spacing w:before="190" w:after="190"/>
      </w:pPr>
      <w:bookmarkStart w:id="21" w:name="_Toc5229"/>
      <w:bookmarkStart w:id="22" w:name="_Toc12045"/>
      <w:r>
        <w:rPr>
          <w:rFonts w:hint="eastAsia"/>
        </w:rPr>
        <w:t>1.5 规划期限</w:t>
      </w:r>
      <w:bookmarkEnd w:id="21"/>
      <w:bookmarkEnd w:id="22"/>
    </w:p>
    <w:p>
      <w:pPr>
        <w:ind w:firstLine="560" w:firstLineChars="200"/>
        <w:rPr>
          <w:rFonts w:cs="Times New Roman"/>
        </w:rPr>
      </w:pPr>
      <w:r>
        <w:rPr>
          <w:rFonts w:hint="eastAsia" w:cs="Times New Roman"/>
        </w:rPr>
        <w:t>规划</w:t>
      </w:r>
      <w:r>
        <w:rPr>
          <w:rFonts w:hint="eastAsia" w:cs="Times New Roman"/>
          <w:lang w:eastAsia="zh-CN"/>
        </w:rPr>
        <w:t>完成时限：</w:t>
      </w:r>
      <w:r>
        <w:rPr>
          <w:rFonts w:hint="eastAsia" w:cs="Times New Roman"/>
        </w:rPr>
        <w:t>2025年。</w:t>
      </w:r>
    </w:p>
    <w:p>
      <w:pPr>
        <w:pStyle w:val="4"/>
        <w:spacing w:before="190" w:after="190"/>
      </w:pPr>
      <w:bookmarkStart w:id="23" w:name="_Toc15934"/>
      <w:bookmarkStart w:id="24" w:name="_Toc28397"/>
      <w:r>
        <w:rPr>
          <w:rFonts w:hint="eastAsia"/>
        </w:rPr>
        <w:t>1</w:t>
      </w:r>
      <w:r>
        <w:t xml:space="preserve">.6 </w:t>
      </w:r>
      <w:r>
        <w:rPr>
          <w:rFonts w:hint="eastAsia"/>
        </w:rPr>
        <w:t>规划范围</w:t>
      </w:r>
      <w:bookmarkEnd w:id="23"/>
      <w:bookmarkEnd w:id="24"/>
    </w:p>
    <w:p>
      <w:pPr>
        <w:ind w:firstLine="560" w:firstLineChars="200"/>
        <w:rPr>
          <w:rFonts w:cs="Times New Roman"/>
        </w:rPr>
      </w:pPr>
      <w:r>
        <w:rPr>
          <w:rFonts w:hint="eastAsia" w:cs="Times New Roman"/>
          <w:lang w:eastAsia="zh-CN"/>
        </w:rPr>
        <w:t>巴州区</w:t>
      </w:r>
      <w:r>
        <w:rPr>
          <w:rFonts w:hint="eastAsia" w:cs="Times New Roman"/>
        </w:rPr>
        <w:t>畜禽养殖污染防治与种养结合规划范围包括所辖</w:t>
      </w:r>
      <w:r>
        <w:rPr>
          <w:rFonts w:hint="eastAsia" w:cs="Times New Roman"/>
          <w:lang w:val="en-US" w:eastAsia="zh-CN"/>
        </w:rPr>
        <w:t>6</w:t>
      </w:r>
      <w:r>
        <w:rPr>
          <w:rFonts w:hint="eastAsia" w:cs="Times New Roman"/>
        </w:rPr>
        <w:t>个街道（</w:t>
      </w:r>
      <w:r>
        <w:rPr>
          <w:rFonts w:hint="eastAsia" w:cs="Times New Roman"/>
          <w:lang w:eastAsia="zh-CN"/>
        </w:rPr>
        <w:t>回风街道、东城街道、西城街道、玉堂街道、宕梁街道、江北街道</w:t>
      </w:r>
      <w:r>
        <w:rPr>
          <w:rFonts w:hint="eastAsia" w:cs="Times New Roman"/>
        </w:rPr>
        <w:t>）、</w:t>
      </w:r>
      <w:r>
        <w:rPr>
          <w:rFonts w:hint="eastAsia" w:cs="Times New Roman"/>
          <w:lang w:val="en-US" w:eastAsia="zh-CN"/>
        </w:rPr>
        <w:t>14</w:t>
      </w:r>
      <w:r>
        <w:rPr>
          <w:rFonts w:hint="eastAsia" w:cs="Times New Roman"/>
        </w:rPr>
        <w:t>个镇（</w:t>
      </w:r>
      <w:r>
        <w:rPr>
          <w:rFonts w:hint="eastAsia" w:cs="Times New Roman"/>
          <w:lang w:eastAsia="zh-CN"/>
        </w:rPr>
        <w:t>化成镇、光辉镇、凤溪镇、天马山镇、枣林镇、清江镇、三江镇、大罗镇、平梁镇、水宁寺镇、梁永镇、鼎山镇、曾口镇、大茅坪镇</w:t>
      </w:r>
      <w:r>
        <w:rPr>
          <w:rFonts w:hint="eastAsia" w:cs="Times New Roman"/>
        </w:rPr>
        <w:t>）、</w:t>
      </w:r>
      <w:r>
        <w:rPr>
          <w:rFonts w:hint="eastAsia" w:cs="Times New Roman"/>
          <w:lang w:val="en-US" w:eastAsia="zh-CN"/>
        </w:rPr>
        <w:t>2个乡（大和乡、白庙乡）、76</w:t>
      </w:r>
      <w:r>
        <w:rPr>
          <w:rFonts w:hint="eastAsia" w:cs="Times New Roman"/>
        </w:rPr>
        <w:t>个社区、</w:t>
      </w:r>
      <w:r>
        <w:rPr>
          <w:rFonts w:hint="eastAsia" w:cs="Times New Roman"/>
          <w:lang w:val="en-US" w:eastAsia="zh-CN"/>
        </w:rPr>
        <w:t>220</w:t>
      </w:r>
      <w:r>
        <w:rPr>
          <w:rFonts w:hint="eastAsia" w:cs="Times New Roman"/>
        </w:rPr>
        <w:t>个行政村的畜禽规模养殖场和规模以下养殖户。</w:t>
      </w:r>
    </w:p>
    <w:p>
      <w:pPr>
        <w:pStyle w:val="4"/>
        <w:spacing w:before="190" w:after="190"/>
      </w:pPr>
      <w:bookmarkStart w:id="25" w:name="_Toc2380"/>
      <w:bookmarkStart w:id="26" w:name="_Toc14343"/>
      <w:r>
        <w:rPr>
          <w:rFonts w:hint="eastAsia"/>
        </w:rPr>
        <w:t>1.7 畜禽</w:t>
      </w:r>
      <w:r>
        <w:t>养殖</w:t>
      </w:r>
      <w:r>
        <w:rPr>
          <w:rFonts w:hint="eastAsia"/>
        </w:rPr>
        <w:t>规模</w:t>
      </w:r>
      <w:bookmarkEnd w:id="25"/>
      <w:bookmarkEnd w:id="26"/>
    </w:p>
    <w:p>
      <w:pPr>
        <w:pStyle w:val="2"/>
      </w:pPr>
      <w:bookmarkStart w:id="27" w:name="_Toc6796"/>
      <w:bookmarkStart w:id="28" w:name="_Toc17594"/>
      <w:r>
        <w:rPr>
          <w:rFonts w:hint="eastAsia"/>
        </w:rPr>
        <w:t>1.7.1 畜禽规模养殖场</w:t>
      </w:r>
      <w:bookmarkEnd w:id="27"/>
      <w:bookmarkEnd w:id="28"/>
    </w:p>
    <w:p>
      <w:pPr>
        <w:ind w:firstLine="560" w:firstLineChars="200"/>
      </w:pPr>
      <w:r>
        <w:rPr>
          <w:rFonts w:hint="eastAsia"/>
        </w:rPr>
        <w:t>养殖规模标准依据《中华人民共和国畜牧法》《畜禽规模养殖污染防治条例》等法律法规规定。畜禽养殖场包括生猪、奶牛、肉牛、肉羊、家禽等畜种。</w:t>
      </w:r>
      <w:r>
        <w:rPr>
          <w:rFonts w:hint="eastAsia"/>
          <w:b w:val="0"/>
          <w:lang w:eastAsia="zh-CN"/>
        </w:rPr>
        <w:t>四川</w:t>
      </w:r>
      <w:r>
        <w:rPr>
          <w:rFonts w:hint="eastAsia"/>
          <w:b w:val="0"/>
        </w:rPr>
        <w:t>省目前执行的规模养殖场标准为：生猪</w:t>
      </w:r>
      <w:r>
        <w:rPr>
          <w:rFonts w:hint="eastAsia"/>
          <w:b w:val="0"/>
          <w:lang w:eastAsia="zh-CN"/>
        </w:rPr>
        <w:t>常年出栏</w:t>
      </w:r>
      <w:r>
        <w:rPr>
          <w:rFonts w:hint="eastAsia"/>
          <w:b w:val="0"/>
        </w:rPr>
        <w:t>量500头以上；</w:t>
      </w:r>
      <w:r>
        <w:rPr>
          <w:rFonts w:hint="eastAsia"/>
          <w:b w:val="0"/>
          <w:lang w:eastAsia="zh-CN"/>
        </w:rPr>
        <w:t>奶牛常年存栏量</w:t>
      </w:r>
      <w:r>
        <w:rPr>
          <w:rFonts w:hint="eastAsia"/>
          <w:b w:val="0"/>
          <w:lang w:val="en-US" w:eastAsia="zh-CN"/>
        </w:rPr>
        <w:t>100头以上；</w:t>
      </w:r>
      <w:r>
        <w:rPr>
          <w:rFonts w:hint="eastAsia"/>
          <w:b w:val="0"/>
          <w:lang w:eastAsia="zh-CN"/>
        </w:rPr>
        <w:t>肉牛常年</w:t>
      </w:r>
      <w:r>
        <w:rPr>
          <w:rFonts w:hint="eastAsia"/>
          <w:b w:val="0"/>
          <w:lang w:val="en-US" w:eastAsia="zh-CN"/>
        </w:rPr>
        <w:t>存栏</w:t>
      </w:r>
      <w:r>
        <w:rPr>
          <w:rFonts w:hint="eastAsia"/>
          <w:b w:val="0"/>
        </w:rPr>
        <w:t>量</w:t>
      </w:r>
      <w:r>
        <w:rPr>
          <w:rFonts w:hint="eastAsia"/>
          <w:b w:val="0"/>
          <w:lang w:val="en-US" w:eastAsia="zh-CN"/>
        </w:rPr>
        <w:t>100</w:t>
      </w:r>
      <w:r>
        <w:rPr>
          <w:rFonts w:hint="eastAsia"/>
          <w:b w:val="0"/>
        </w:rPr>
        <w:t>头以上；</w:t>
      </w:r>
      <w:r>
        <w:rPr>
          <w:rFonts w:hint="eastAsia"/>
          <w:b w:val="0"/>
          <w:lang w:eastAsia="zh-CN"/>
        </w:rPr>
        <w:t>蛋鸡常年存栏量</w:t>
      </w:r>
      <w:r>
        <w:rPr>
          <w:rFonts w:hint="eastAsia"/>
          <w:b w:val="0"/>
          <w:lang w:val="en-US" w:eastAsia="zh-CN"/>
        </w:rPr>
        <w:t>2.5万羽以上；肉鸡常年出栏量3.5万羽以上</w:t>
      </w:r>
      <w:r>
        <w:rPr>
          <w:rFonts w:hint="eastAsia"/>
          <w:b w:val="0"/>
        </w:rPr>
        <w:t>；</w:t>
      </w:r>
      <w:r>
        <w:rPr>
          <w:rFonts w:hint="eastAsia"/>
          <w:b w:val="0"/>
          <w:lang w:eastAsia="zh-CN"/>
        </w:rPr>
        <w:t>肉</w:t>
      </w:r>
      <w:r>
        <w:rPr>
          <w:rFonts w:hint="eastAsia"/>
          <w:b w:val="0"/>
        </w:rPr>
        <w:t>羊</w:t>
      </w:r>
      <w:r>
        <w:rPr>
          <w:rFonts w:hint="eastAsia"/>
          <w:b w:val="0"/>
          <w:lang w:eastAsia="zh-CN"/>
        </w:rPr>
        <w:t>常年</w:t>
      </w:r>
      <w:r>
        <w:rPr>
          <w:rFonts w:hint="eastAsia"/>
          <w:b w:val="0"/>
        </w:rPr>
        <w:t>存栏量</w:t>
      </w:r>
      <w:r>
        <w:rPr>
          <w:rFonts w:hint="eastAsia"/>
          <w:b w:val="0"/>
          <w:lang w:val="en-US" w:eastAsia="zh-CN"/>
        </w:rPr>
        <w:t>300</w:t>
      </w:r>
      <w:r>
        <w:rPr>
          <w:rFonts w:hint="eastAsia"/>
          <w:b w:val="0"/>
        </w:rPr>
        <w:t>只以上；兔</w:t>
      </w:r>
      <w:r>
        <w:rPr>
          <w:rFonts w:hint="eastAsia"/>
          <w:b w:val="0"/>
          <w:lang w:eastAsia="zh-CN"/>
        </w:rPr>
        <w:t>常年</w:t>
      </w:r>
      <w:r>
        <w:rPr>
          <w:rFonts w:hint="eastAsia"/>
          <w:b w:val="0"/>
        </w:rPr>
        <w:t>存栏量</w:t>
      </w:r>
      <w:r>
        <w:rPr>
          <w:rFonts w:hint="eastAsia"/>
          <w:b w:val="0"/>
          <w:lang w:val="en-US" w:eastAsia="zh-CN"/>
        </w:rPr>
        <w:t>400</w:t>
      </w:r>
      <w:r>
        <w:rPr>
          <w:rFonts w:hint="eastAsia"/>
          <w:b w:val="0"/>
        </w:rPr>
        <w:t>只以上</w:t>
      </w:r>
      <w:r>
        <w:rPr>
          <w:rFonts w:hint="eastAsia"/>
        </w:rPr>
        <w:t>。</w:t>
      </w:r>
    </w:p>
    <w:p>
      <w:pPr>
        <w:pStyle w:val="2"/>
      </w:pPr>
      <w:bookmarkStart w:id="29" w:name="_Toc27586"/>
      <w:bookmarkStart w:id="30" w:name="_Toc8209"/>
      <w:r>
        <w:rPr>
          <w:rFonts w:hint="eastAsia"/>
        </w:rPr>
        <w:t>1</w:t>
      </w:r>
      <w:r>
        <w:t xml:space="preserve">.7.2 </w:t>
      </w:r>
      <w:r>
        <w:rPr>
          <w:rFonts w:hint="eastAsia"/>
        </w:rPr>
        <w:t>畜禽规模以下养殖户</w:t>
      </w:r>
      <w:bookmarkEnd w:id="29"/>
      <w:bookmarkEnd w:id="30"/>
    </w:p>
    <w:p>
      <w:pPr>
        <w:ind w:firstLine="560" w:firstLineChars="200"/>
        <w:rPr>
          <w:rFonts w:hint="default" w:eastAsia="仿宋"/>
          <w:lang w:val="en-US" w:eastAsia="zh-CN"/>
        </w:rPr>
      </w:pPr>
      <w:r>
        <w:rPr>
          <w:rFonts w:hint="eastAsia"/>
        </w:rPr>
        <w:t>畜禽规模以下养殖户指未达到畜禽规模养殖场标准且养殖量生猪设计出栏≥50头、奶牛设计存栏≥5头、肉牛设计</w:t>
      </w:r>
      <w:r>
        <w:rPr>
          <w:rFonts w:hint="eastAsia"/>
          <w:lang w:val="en-US" w:eastAsia="zh-CN"/>
        </w:rPr>
        <w:t>存栏</w:t>
      </w:r>
      <w:r>
        <w:rPr>
          <w:rFonts w:hint="eastAsia"/>
        </w:rPr>
        <w:t>≥10头、蛋鸡/鸭/鹅设计存栏≥500羽、肉鸡/鸭/鹅设计出栏≥2000羽的养殖户。</w:t>
      </w:r>
      <w:r>
        <w:rPr>
          <w:rFonts w:hint="eastAsia"/>
          <w:b/>
          <w:bCs/>
          <w:lang w:val="en-US" w:eastAsia="zh-CN"/>
        </w:rPr>
        <w:t>小于此规模的养殖散户不在本次规划范围内。</w:t>
      </w:r>
    </w:p>
    <w:p>
      <w:pPr>
        <w:pStyle w:val="3"/>
        <w:pageBreakBefore/>
        <w:spacing w:before="381" w:after="381"/>
        <w:rPr>
          <w:rFonts w:hint="eastAsia"/>
        </w:rPr>
        <w:sectPr>
          <w:footerReference r:id="rId12" w:type="default"/>
          <w:type w:val="continuous"/>
          <w:pgSz w:w="11906" w:h="16838"/>
          <w:pgMar w:top="1440" w:right="1797" w:bottom="1440" w:left="1797" w:header="851" w:footer="992" w:gutter="0"/>
          <w:pgNumType w:start="1"/>
          <w:cols w:space="425" w:num="1"/>
          <w:docGrid w:type="lines" w:linePitch="381" w:charSpace="0"/>
        </w:sectPr>
      </w:pPr>
      <w:bookmarkStart w:id="31" w:name="_Toc7529"/>
    </w:p>
    <w:p>
      <w:pPr>
        <w:pStyle w:val="3"/>
        <w:pageBreakBefore/>
        <w:spacing w:before="381" w:after="381"/>
      </w:pPr>
      <w:bookmarkStart w:id="32" w:name="_Toc5297"/>
      <w:r>
        <w:rPr>
          <w:rFonts w:hint="eastAsia"/>
        </w:rPr>
        <w:t>第二章 区域概况</w:t>
      </w:r>
      <w:bookmarkEnd w:id="31"/>
      <w:bookmarkEnd w:id="32"/>
    </w:p>
    <w:p>
      <w:pPr>
        <w:pStyle w:val="4"/>
        <w:spacing w:before="190" w:after="190"/>
      </w:pPr>
      <w:bookmarkStart w:id="33" w:name="_Toc473"/>
      <w:bookmarkStart w:id="34" w:name="_Toc31803"/>
      <w:r>
        <w:rPr>
          <w:rFonts w:hint="eastAsia"/>
        </w:rPr>
        <w:t>2.1 自然气候条件</w:t>
      </w:r>
      <w:bookmarkEnd w:id="33"/>
      <w:bookmarkEnd w:id="34"/>
    </w:p>
    <w:p>
      <w:pPr>
        <w:pStyle w:val="2"/>
        <w:spacing w:line="360" w:lineRule="auto"/>
      </w:pPr>
      <w:bookmarkStart w:id="35" w:name="_Toc2419"/>
      <w:bookmarkStart w:id="36" w:name="_Toc3172"/>
      <w:r>
        <w:rPr>
          <w:rFonts w:hint="eastAsia"/>
        </w:rPr>
        <w:t>2.1.1 地形地貌及地质特征</w:t>
      </w:r>
      <w:bookmarkEnd w:id="35"/>
      <w:bookmarkEnd w:id="36"/>
    </w:p>
    <w:p>
      <w:pPr>
        <w:ind w:firstLine="560" w:firstLineChars="200"/>
        <w:rPr>
          <w:color w:val="333333"/>
          <w:shd w:val="clear" w:color="auto" w:fill="FFFFFF"/>
        </w:rPr>
      </w:pPr>
      <w:r>
        <w:rPr>
          <w:rFonts w:hint="eastAsia"/>
          <w:color w:val="333333"/>
          <w:shd w:val="clear" w:color="auto" w:fill="FFFFFF"/>
          <w:lang w:eastAsia="zh-CN"/>
        </w:rPr>
        <w:t>巴州区</w:t>
      </w:r>
      <w:r>
        <w:rPr>
          <w:rFonts w:hint="eastAsia"/>
          <w:color w:val="333333"/>
          <w:shd w:val="clear" w:color="auto" w:fill="FFFFFF"/>
          <w:lang w:val="en-US" w:eastAsia="zh-CN"/>
        </w:rPr>
        <w:t>2000</w:t>
      </w:r>
      <w:r>
        <w:rPr>
          <w:rFonts w:hint="eastAsia"/>
          <w:color w:val="333333"/>
          <w:shd w:val="clear" w:color="auto" w:fill="FFFFFF"/>
        </w:rPr>
        <w:t>年建区，地处</w:t>
      </w:r>
      <w:r>
        <w:rPr>
          <w:rFonts w:hint="eastAsia"/>
          <w:color w:val="333333"/>
          <w:shd w:val="clear" w:color="auto" w:fill="FFFFFF"/>
          <w:lang w:eastAsia="zh-CN"/>
        </w:rPr>
        <w:t>四川省东北部</w:t>
      </w:r>
      <w:r>
        <w:rPr>
          <w:rFonts w:hint="eastAsia"/>
          <w:color w:val="333333"/>
          <w:shd w:val="clear" w:color="auto" w:fill="FFFFFF"/>
        </w:rPr>
        <w:t>，介于北纬31°31′～32°4′，东经106°21′～107°7′之间，东接</w:t>
      </w:r>
      <w:r>
        <w:rPr>
          <w:rFonts w:hint="eastAsia"/>
          <w:color w:val="333333"/>
          <w:shd w:val="clear" w:color="auto" w:fill="FFFFFF"/>
        </w:rPr>
        <w:fldChar w:fldCharType="begin"/>
      </w:r>
      <w:r>
        <w:rPr>
          <w:rFonts w:hint="eastAsia"/>
          <w:color w:val="333333"/>
          <w:shd w:val="clear" w:color="auto" w:fill="FFFFFF"/>
        </w:rPr>
        <w:instrText xml:space="preserve"> HYPERLINK "https://baike.baidu.com/item/%E9%80%9A%E6%B1%9F%E5%8E%BF/5113683" \t "https://baike.baidu.com/item/%E5%B7%B4%E5%B7%9E%E5%8C%BA/_blank" </w:instrText>
      </w:r>
      <w:r>
        <w:rPr>
          <w:rFonts w:hint="eastAsia"/>
          <w:color w:val="333333"/>
          <w:shd w:val="clear" w:color="auto" w:fill="FFFFFF"/>
        </w:rPr>
        <w:fldChar w:fldCharType="separate"/>
      </w:r>
      <w:r>
        <w:rPr>
          <w:rFonts w:hint="eastAsia"/>
          <w:color w:val="333333"/>
          <w:shd w:val="clear" w:color="auto" w:fill="FFFFFF"/>
        </w:rPr>
        <w:t>通江县</w:t>
      </w:r>
      <w:r>
        <w:rPr>
          <w:rFonts w:hint="eastAsia"/>
          <w:color w:val="333333"/>
          <w:shd w:val="clear" w:color="auto" w:fill="FFFFFF"/>
        </w:rPr>
        <w:fldChar w:fldCharType="end"/>
      </w:r>
      <w:r>
        <w:rPr>
          <w:rFonts w:hint="eastAsia"/>
          <w:color w:val="333333"/>
          <w:shd w:val="clear" w:color="auto" w:fill="FFFFFF"/>
        </w:rPr>
        <w:t>、</w:t>
      </w:r>
      <w:r>
        <w:rPr>
          <w:rFonts w:hint="eastAsia"/>
          <w:color w:val="333333"/>
          <w:shd w:val="clear" w:color="auto" w:fill="FFFFFF"/>
        </w:rPr>
        <w:fldChar w:fldCharType="begin"/>
      </w:r>
      <w:r>
        <w:rPr>
          <w:rFonts w:hint="eastAsia"/>
          <w:color w:val="333333"/>
          <w:shd w:val="clear" w:color="auto" w:fill="FFFFFF"/>
        </w:rPr>
        <w:instrText xml:space="preserve"> HYPERLINK "https://baike.baidu.com/item/%E5%B9%B3%E6%98%8C%E5%8E%BF/82635" \t "https://baike.baidu.com/item/%E5%B7%B4%E5%B7%9E%E5%8C%BA/_blank" </w:instrText>
      </w:r>
      <w:r>
        <w:rPr>
          <w:rFonts w:hint="eastAsia"/>
          <w:color w:val="333333"/>
          <w:shd w:val="clear" w:color="auto" w:fill="FFFFFF"/>
        </w:rPr>
        <w:fldChar w:fldCharType="separate"/>
      </w:r>
      <w:r>
        <w:rPr>
          <w:rFonts w:hint="eastAsia"/>
          <w:color w:val="333333"/>
          <w:shd w:val="clear" w:color="auto" w:fill="FFFFFF"/>
        </w:rPr>
        <w:t>平昌县</w:t>
      </w:r>
      <w:r>
        <w:rPr>
          <w:rFonts w:hint="eastAsia"/>
          <w:color w:val="333333"/>
          <w:shd w:val="clear" w:color="auto" w:fill="FFFFFF"/>
        </w:rPr>
        <w:fldChar w:fldCharType="end"/>
      </w:r>
      <w:r>
        <w:rPr>
          <w:rFonts w:hint="eastAsia"/>
          <w:color w:val="333333"/>
          <w:shd w:val="clear" w:color="auto" w:fill="FFFFFF"/>
        </w:rPr>
        <w:t>，南邻</w:t>
      </w:r>
      <w:r>
        <w:rPr>
          <w:rFonts w:hint="eastAsia"/>
          <w:color w:val="333333"/>
          <w:shd w:val="clear" w:color="auto" w:fill="FFFFFF"/>
        </w:rPr>
        <w:fldChar w:fldCharType="begin"/>
      </w:r>
      <w:r>
        <w:rPr>
          <w:rFonts w:hint="eastAsia"/>
          <w:color w:val="333333"/>
          <w:shd w:val="clear" w:color="auto" w:fill="FFFFFF"/>
        </w:rPr>
        <w:instrText xml:space="preserve"> HYPERLINK "https://baike.baidu.com/item/%E5%8D%97%E5%85%85/399166" \t "https://baike.baidu.com/item/%E5%B7%B4%E5%B7%9E%E5%8C%BA/_blank" </w:instrText>
      </w:r>
      <w:r>
        <w:rPr>
          <w:rFonts w:hint="eastAsia"/>
          <w:color w:val="333333"/>
          <w:shd w:val="clear" w:color="auto" w:fill="FFFFFF"/>
        </w:rPr>
        <w:fldChar w:fldCharType="separate"/>
      </w:r>
      <w:r>
        <w:rPr>
          <w:rFonts w:hint="eastAsia"/>
          <w:color w:val="333333"/>
          <w:shd w:val="clear" w:color="auto" w:fill="FFFFFF"/>
        </w:rPr>
        <w:t>南充</w:t>
      </w:r>
      <w:r>
        <w:rPr>
          <w:rFonts w:hint="eastAsia"/>
          <w:color w:val="333333"/>
          <w:shd w:val="clear" w:color="auto" w:fill="FFFFFF"/>
        </w:rPr>
        <w:fldChar w:fldCharType="end"/>
      </w:r>
      <w:r>
        <w:rPr>
          <w:rFonts w:hint="eastAsia"/>
          <w:color w:val="333333"/>
          <w:shd w:val="clear" w:color="auto" w:fill="FFFFFF"/>
        </w:rPr>
        <w:t>市</w:t>
      </w:r>
      <w:r>
        <w:rPr>
          <w:rFonts w:hint="eastAsia"/>
          <w:color w:val="333333"/>
          <w:shd w:val="clear" w:color="auto" w:fill="FFFFFF"/>
        </w:rPr>
        <w:fldChar w:fldCharType="begin"/>
      </w:r>
      <w:r>
        <w:rPr>
          <w:rFonts w:hint="eastAsia"/>
          <w:color w:val="333333"/>
          <w:shd w:val="clear" w:color="auto" w:fill="FFFFFF"/>
        </w:rPr>
        <w:instrText xml:space="preserve"> HYPERLINK "https://baike.baidu.com/item/%E4%BB%AA%E9%99%87%E5%8E%BF/4964629" \t "https://baike.baidu.com/item/%E5%B7%B4%E5%B7%9E%E5%8C%BA/_blank" </w:instrText>
      </w:r>
      <w:r>
        <w:rPr>
          <w:rFonts w:hint="eastAsia"/>
          <w:color w:val="333333"/>
          <w:shd w:val="clear" w:color="auto" w:fill="FFFFFF"/>
        </w:rPr>
        <w:fldChar w:fldCharType="separate"/>
      </w:r>
      <w:r>
        <w:rPr>
          <w:rFonts w:hint="eastAsia"/>
          <w:color w:val="333333"/>
          <w:shd w:val="clear" w:color="auto" w:fill="FFFFFF"/>
        </w:rPr>
        <w:t>仪陇县</w:t>
      </w:r>
      <w:r>
        <w:rPr>
          <w:rFonts w:hint="eastAsia"/>
          <w:color w:val="333333"/>
          <w:shd w:val="clear" w:color="auto" w:fill="FFFFFF"/>
        </w:rPr>
        <w:fldChar w:fldCharType="end"/>
      </w:r>
      <w:r>
        <w:rPr>
          <w:rFonts w:hint="eastAsia"/>
          <w:color w:val="333333"/>
          <w:shd w:val="clear" w:color="auto" w:fill="FFFFFF"/>
        </w:rPr>
        <w:t>，西连</w:t>
      </w:r>
      <w:r>
        <w:rPr>
          <w:rFonts w:hint="eastAsia"/>
          <w:color w:val="333333"/>
          <w:shd w:val="clear" w:color="auto" w:fill="FFFFFF"/>
        </w:rPr>
        <w:fldChar w:fldCharType="begin"/>
      </w:r>
      <w:r>
        <w:rPr>
          <w:rFonts w:hint="eastAsia"/>
          <w:color w:val="333333"/>
          <w:shd w:val="clear" w:color="auto" w:fill="FFFFFF"/>
        </w:rPr>
        <w:instrText xml:space="preserve"> HYPERLINK "https://baike.baidu.com/item/%E6%81%A9%E9%98%B3%E5%8C%BA/5041474" \t "https://baike.baidu.com/item/%E5%B7%B4%E5%B7%9E%E5%8C%BA/_blank" </w:instrText>
      </w:r>
      <w:r>
        <w:rPr>
          <w:rFonts w:hint="eastAsia"/>
          <w:color w:val="333333"/>
          <w:shd w:val="clear" w:color="auto" w:fill="FFFFFF"/>
        </w:rPr>
        <w:fldChar w:fldCharType="separate"/>
      </w:r>
      <w:r>
        <w:rPr>
          <w:rFonts w:hint="eastAsia"/>
          <w:color w:val="333333"/>
          <w:shd w:val="clear" w:color="auto" w:fill="FFFFFF"/>
        </w:rPr>
        <w:t>恩阳区</w:t>
      </w:r>
      <w:r>
        <w:rPr>
          <w:rFonts w:hint="eastAsia"/>
          <w:color w:val="333333"/>
          <w:shd w:val="clear" w:color="auto" w:fill="FFFFFF"/>
        </w:rPr>
        <w:fldChar w:fldCharType="end"/>
      </w:r>
      <w:r>
        <w:rPr>
          <w:rFonts w:hint="eastAsia"/>
          <w:color w:val="333333"/>
          <w:shd w:val="clear" w:color="auto" w:fill="FFFFFF"/>
        </w:rPr>
        <w:t>，北界南江县。</w:t>
      </w:r>
      <w:r>
        <w:rPr>
          <w:rFonts w:hint="eastAsia"/>
          <w:color w:val="333333"/>
          <w:highlight w:val="none"/>
          <w:shd w:val="clear" w:color="auto" w:fill="FFFFFF"/>
        </w:rPr>
        <w:t>区地理条件优越，区经成（成都）巴（中）高速（途经G42成南高速）到成都约308km；还可由成都经G5高速公路或G108国道约287km至广元市，广元市经广巴高速公路约142km；至巴中市北距西安650公里，距重庆498公里，与相邻的达州、南充、汉中及宝成铁路、襄渝铁路距离都在200公里左右</w:t>
      </w:r>
      <w:r>
        <w:rPr>
          <w:rFonts w:hint="eastAsia"/>
          <w:color w:val="333333"/>
          <w:highlight w:val="none"/>
          <w:shd w:val="clear" w:color="auto" w:fill="FFFFFF"/>
          <w:lang w:eastAsia="zh-CN"/>
        </w:rPr>
        <w:t>。</w:t>
      </w:r>
      <w:r>
        <w:rPr>
          <w:rFonts w:hint="eastAsia"/>
          <w:color w:val="333333"/>
          <w:shd w:val="clear" w:color="auto" w:fill="FFFFFF"/>
        </w:rPr>
        <w:t>区总面积</w:t>
      </w:r>
      <w:r>
        <w:rPr>
          <w:rFonts w:hint="eastAsia"/>
          <w:color w:val="333333"/>
          <w:shd w:val="clear" w:color="auto" w:fill="FFFFFF"/>
          <w:lang w:val="en-US" w:eastAsia="zh-CN"/>
        </w:rPr>
        <w:t>1406.13</w:t>
      </w:r>
      <w:r>
        <w:rPr>
          <w:rFonts w:hint="eastAsia"/>
          <w:color w:val="333333"/>
          <w:shd w:val="clear" w:color="auto" w:fill="FFFFFF"/>
        </w:rPr>
        <w:t>平方公里，总人口</w:t>
      </w:r>
      <w:r>
        <w:rPr>
          <w:rFonts w:hint="eastAsia"/>
          <w:color w:val="333333"/>
          <w:shd w:val="clear" w:color="auto" w:fill="FFFFFF"/>
          <w:lang w:val="en-US" w:eastAsia="zh-CN"/>
        </w:rPr>
        <w:t>77.17</w:t>
      </w:r>
      <w:r>
        <w:rPr>
          <w:rFonts w:hint="eastAsia"/>
          <w:color w:val="333333"/>
          <w:shd w:val="clear" w:color="auto" w:fill="FFFFFF"/>
        </w:rPr>
        <w:t>万，其中农业人口</w:t>
      </w:r>
      <w:r>
        <w:rPr>
          <w:rFonts w:hint="eastAsia"/>
          <w:color w:val="333333"/>
          <w:shd w:val="clear" w:color="auto" w:fill="FFFFFF"/>
          <w:lang w:val="en-US" w:eastAsia="zh-CN"/>
        </w:rPr>
        <w:t>45.40</w:t>
      </w:r>
      <w:r>
        <w:rPr>
          <w:rFonts w:hint="eastAsia"/>
          <w:color w:val="333333"/>
          <w:shd w:val="clear" w:color="auto" w:fill="FFFFFF"/>
        </w:rPr>
        <w:t>万。辖6个</w:t>
      </w:r>
      <w:r>
        <w:rPr>
          <w:rFonts w:hint="eastAsia"/>
          <w:color w:val="333333"/>
          <w:shd w:val="clear" w:color="auto" w:fill="FFFFFF"/>
          <w:lang w:eastAsia="zh-CN"/>
        </w:rPr>
        <w:t>街道</w:t>
      </w:r>
      <w:r>
        <w:rPr>
          <w:rFonts w:hint="eastAsia"/>
          <w:color w:val="333333"/>
          <w:shd w:val="clear" w:color="auto" w:fill="FFFFFF"/>
        </w:rPr>
        <w:t>、</w:t>
      </w:r>
      <w:r>
        <w:rPr>
          <w:rFonts w:hint="eastAsia"/>
          <w:color w:val="333333"/>
          <w:shd w:val="clear" w:color="auto" w:fill="FFFFFF"/>
          <w:lang w:val="en-US" w:eastAsia="zh-CN"/>
        </w:rPr>
        <w:t>14</w:t>
      </w:r>
      <w:r>
        <w:rPr>
          <w:rFonts w:hint="eastAsia"/>
          <w:color w:val="333333"/>
          <w:shd w:val="clear" w:color="auto" w:fill="FFFFFF"/>
        </w:rPr>
        <w:t>个</w:t>
      </w:r>
      <w:r>
        <w:rPr>
          <w:rFonts w:hint="eastAsia"/>
          <w:color w:val="333333"/>
          <w:shd w:val="clear" w:color="auto" w:fill="FFFFFF"/>
          <w:lang w:eastAsia="zh-CN"/>
        </w:rPr>
        <w:t>镇</w:t>
      </w:r>
      <w:r>
        <w:rPr>
          <w:rFonts w:hint="eastAsia"/>
          <w:color w:val="333333"/>
          <w:shd w:val="clear" w:color="auto" w:fill="FFFFFF"/>
        </w:rPr>
        <w:t>、</w:t>
      </w:r>
      <w:r>
        <w:rPr>
          <w:rFonts w:hint="eastAsia"/>
          <w:color w:val="333333"/>
          <w:shd w:val="clear" w:color="auto" w:fill="FFFFFF"/>
          <w:lang w:val="en-US" w:eastAsia="zh-CN"/>
        </w:rPr>
        <w:t>2个乡、76</w:t>
      </w:r>
      <w:r>
        <w:rPr>
          <w:rFonts w:hint="eastAsia"/>
          <w:color w:val="333333"/>
          <w:shd w:val="clear" w:color="auto" w:fill="FFFFFF"/>
        </w:rPr>
        <w:t>个社区、</w:t>
      </w:r>
      <w:r>
        <w:rPr>
          <w:rFonts w:hint="eastAsia"/>
          <w:color w:val="333333"/>
          <w:shd w:val="clear" w:color="auto" w:fill="FFFFFF"/>
          <w:lang w:val="en-US" w:eastAsia="zh-CN"/>
        </w:rPr>
        <w:t>220</w:t>
      </w:r>
      <w:r>
        <w:rPr>
          <w:rFonts w:hint="eastAsia"/>
          <w:color w:val="333333"/>
          <w:shd w:val="clear" w:color="auto" w:fill="FFFFFF"/>
        </w:rPr>
        <w:t>个行政村。</w:t>
      </w:r>
    </w:p>
    <w:p>
      <w:pPr>
        <w:ind w:firstLine="560" w:firstLineChars="200"/>
        <w:rPr>
          <w:color w:val="333333"/>
          <w:shd w:val="clear" w:color="auto" w:fill="FFFFFF"/>
        </w:rPr>
      </w:pPr>
      <w:r>
        <w:rPr>
          <w:rFonts w:hint="eastAsia"/>
          <w:color w:val="333333"/>
          <w:shd w:val="clear" w:color="auto" w:fill="FFFFFF"/>
        </w:rPr>
        <w:t>巴州区属盆北低山区，地势北高南低。北及西北向南及西南倾斜。北部受大巴山构造影响，形成东北—西南走向，山脊标高一般在海拔900米左右，多窄谷陡坡。东部、东南部和西部，山脊标高一般500～700米，多构成台坎状低山和长梁高丘地貌，多中谷、窄谷。中部、西南部地势开阔，为平缓坡台状丘陵地貌，多连绵起伏的陇岗状低山和长菱状、馒头状浅丘，海拔高度350～600米。全部山脉来源于大巴山西段与米仓山复合部分。其走向多由北而南，逶迤蜿蜒。</w:t>
      </w:r>
    </w:p>
    <w:p>
      <w:pPr>
        <w:pStyle w:val="2"/>
        <w:spacing w:line="360" w:lineRule="auto"/>
      </w:pPr>
      <w:bookmarkStart w:id="37" w:name="_Toc633"/>
      <w:bookmarkStart w:id="38" w:name="_Toc12449"/>
      <w:r>
        <w:rPr>
          <w:rFonts w:hint="eastAsia"/>
        </w:rPr>
        <w:t>2.1.</w:t>
      </w:r>
      <w:r>
        <w:t>2</w:t>
      </w:r>
      <w:r>
        <w:rPr>
          <w:rFonts w:hint="eastAsia"/>
        </w:rPr>
        <w:t xml:space="preserve"> 气候特征</w:t>
      </w:r>
      <w:bookmarkEnd w:id="37"/>
      <w:bookmarkEnd w:id="38"/>
    </w:p>
    <w:p>
      <w:pPr>
        <w:ind w:firstLine="560" w:firstLineChars="200"/>
        <w:rPr>
          <w:color w:val="333333"/>
          <w:shd w:val="clear" w:color="auto" w:fill="FFFFFF"/>
        </w:rPr>
      </w:pPr>
      <w:r>
        <w:rPr>
          <w:rFonts w:hint="eastAsia"/>
          <w:color w:val="333333"/>
          <w:shd w:val="clear" w:color="auto" w:fill="FFFFFF"/>
          <w:lang w:eastAsia="zh-CN"/>
        </w:rPr>
        <w:t>巴州</w:t>
      </w:r>
      <w:r>
        <w:rPr>
          <w:rFonts w:hint="eastAsia"/>
          <w:color w:val="333333"/>
          <w:shd w:val="clear" w:color="auto" w:fill="FFFFFF"/>
        </w:rPr>
        <w:t>区属</w:t>
      </w:r>
      <w:r>
        <w:rPr>
          <w:rFonts w:hint="eastAsia"/>
          <w:color w:val="333333"/>
          <w:shd w:val="clear" w:color="auto" w:fill="FFFFFF"/>
          <w:lang w:eastAsia="zh-CN"/>
        </w:rPr>
        <w:t>亚热带湿润性季风气候</w:t>
      </w:r>
      <w:r>
        <w:rPr>
          <w:rFonts w:hint="eastAsia"/>
          <w:color w:val="333333"/>
          <w:shd w:val="clear" w:color="auto" w:fill="FFFFFF"/>
        </w:rPr>
        <w:t>。特点是：春早、夏热、秋凉、冬暖，四季分明， 雨热同季，光照同步；无霜期长，光照适宜，雨量充沛，气候温和，适宜于农、林、牧、渔业的发展；秋季多雨，冬季多雾，霜、雪较少，降水时空分布差异较大，常有夏伏旱、秋霪雨及风、雹等灾害性天气发生。年均无霜期</w:t>
      </w:r>
      <w:r>
        <w:rPr>
          <w:rFonts w:hint="eastAsia"/>
          <w:color w:val="333333"/>
          <w:shd w:val="clear" w:color="auto" w:fill="FFFFFF"/>
          <w:lang w:val="en-US" w:eastAsia="zh-CN"/>
        </w:rPr>
        <w:t>281</w:t>
      </w:r>
      <w:r>
        <w:rPr>
          <w:rFonts w:hint="eastAsia"/>
          <w:color w:val="333333"/>
          <w:shd w:val="clear" w:color="auto" w:fill="FFFFFF"/>
        </w:rPr>
        <w:t>天左右</w:t>
      </w:r>
      <w:r>
        <w:rPr>
          <w:rFonts w:hint="eastAsia"/>
          <w:color w:val="333333"/>
          <w:shd w:val="clear" w:color="auto" w:fill="FFFFFF"/>
          <w:lang w:eastAsia="zh-CN"/>
        </w:rPr>
        <w:t>，年</w:t>
      </w:r>
      <w:r>
        <w:rPr>
          <w:rFonts w:hint="eastAsia"/>
          <w:color w:val="333333"/>
          <w:shd w:val="clear" w:color="auto" w:fill="FFFFFF"/>
        </w:rPr>
        <w:t>平均风</w:t>
      </w:r>
      <w:r>
        <w:rPr>
          <w:rFonts w:hint="eastAsia"/>
          <w:color w:val="333333"/>
          <w:shd w:val="clear" w:color="auto" w:fill="FFFFFF"/>
          <w:lang w:eastAsia="zh-CN"/>
        </w:rPr>
        <w:t>速</w:t>
      </w:r>
      <w:r>
        <w:rPr>
          <w:rFonts w:hint="eastAsia"/>
          <w:color w:val="333333"/>
          <w:shd w:val="clear" w:color="auto" w:fill="FFFFFF"/>
          <w:lang w:val="en-US" w:eastAsia="zh-CN"/>
        </w:rPr>
        <w:t>2.0m/s</w:t>
      </w:r>
      <w:r>
        <w:rPr>
          <w:rFonts w:hint="eastAsia"/>
          <w:color w:val="333333"/>
          <w:shd w:val="clear" w:color="auto" w:fill="FFFFFF"/>
        </w:rPr>
        <w:t>。</w:t>
      </w:r>
      <w:r>
        <w:rPr>
          <w:rFonts w:hint="eastAsia"/>
          <w:color w:val="333333"/>
          <w:shd w:val="clear" w:color="auto" w:fill="FFFFFF"/>
          <w:lang w:eastAsia="zh-CN"/>
        </w:rPr>
        <w:t>多</w:t>
      </w:r>
      <w:r>
        <w:rPr>
          <w:rFonts w:hint="eastAsia"/>
          <w:color w:val="333333"/>
          <w:shd w:val="clear" w:color="auto" w:fill="FFFFFF"/>
        </w:rPr>
        <w:t>年平均气温为</w:t>
      </w:r>
      <w:r>
        <w:rPr>
          <w:rFonts w:hint="eastAsia"/>
          <w:color w:val="333333"/>
          <w:shd w:val="clear" w:color="auto" w:fill="FFFFFF"/>
          <w:lang w:val="en-US" w:eastAsia="zh-CN"/>
        </w:rPr>
        <w:t>16.9~17.4</w:t>
      </w:r>
      <w:r>
        <w:rPr>
          <w:rFonts w:hint="eastAsia"/>
          <w:color w:val="333333"/>
          <w:shd w:val="clear" w:color="auto" w:fill="FFFFFF"/>
        </w:rPr>
        <w:t>℃</w:t>
      </w:r>
      <w:r>
        <w:rPr>
          <w:rFonts w:hint="eastAsia"/>
        </w:rPr>
        <w:t>，年极端最</w:t>
      </w:r>
      <w:r>
        <w:rPr>
          <w:rFonts w:hint="eastAsia"/>
          <w:color w:val="333333"/>
          <w:shd w:val="clear" w:color="auto" w:fill="FFFFFF"/>
        </w:rPr>
        <w:t>高温度为</w:t>
      </w:r>
      <w:r>
        <w:rPr>
          <w:rFonts w:hint="eastAsia"/>
          <w:color w:val="333333"/>
          <w:shd w:val="clear" w:color="auto" w:fill="FFFFFF"/>
          <w:lang w:val="en-US" w:eastAsia="zh-CN"/>
        </w:rPr>
        <w:t>40.3</w:t>
      </w:r>
      <w:r>
        <w:rPr>
          <w:rFonts w:hint="eastAsia"/>
          <w:color w:val="333333"/>
          <w:shd w:val="clear" w:color="auto" w:fill="FFFFFF"/>
        </w:rPr>
        <w:t>℃，年极端最低温度是</w:t>
      </w:r>
      <w:r>
        <w:rPr>
          <w:rFonts w:hint="eastAsia"/>
          <w:color w:val="333333"/>
          <w:shd w:val="clear" w:color="auto" w:fill="FFFFFF"/>
          <w:lang w:eastAsia="zh-CN"/>
        </w:rPr>
        <w:t>－</w:t>
      </w:r>
      <w:r>
        <w:rPr>
          <w:rFonts w:hint="eastAsia"/>
          <w:color w:val="333333"/>
          <w:shd w:val="clear" w:color="auto" w:fill="FFFFFF"/>
          <w:lang w:val="en-US" w:eastAsia="zh-CN"/>
        </w:rPr>
        <w:t>5.3</w:t>
      </w:r>
      <w:r>
        <w:rPr>
          <w:rFonts w:hint="eastAsia"/>
          <w:color w:val="333333"/>
          <w:shd w:val="clear" w:color="auto" w:fill="FFFFFF"/>
        </w:rPr>
        <w:t>℃。降水量历年平均值为</w:t>
      </w:r>
      <w:r>
        <w:rPr>
          <w:rFonts w:hint="eastAsia"/>
          <w:color w:val="333333"/>
          <w:shd w:val="clear" w:color="auto" w:fill="FFFFFF"/>
          <w:lang w:val="en-US" w:eastAsia="zh-CN"/>
        </w:rPr>
        <w:t>1104</w:t>
      </w:r>
      <w:r>
        <w:rPr>
          <w:rFonts w:hint="eastAsia"/>
          <w:color w:val="333333"/>
          <w:shd w:val="clear" w:color="auto" w:fill="FFFFFF"/>
        </w:rPr>
        <w:t>毫米左右。</w:t>
      </w:r>
    </w:p>
    <w:p>
      <w:pPr>
        <w:pStyle w:val="2"/>
        <w:spacing w:line="360" w:lineRule="auto"/>
      </w:pPr>
      <w:bookmarkStart w:id="39" w:name="_Toc26429"/>
      <w:bookmarkStart w:id="40" w:name="_Toc16273"/>
      <w:r>
        <w:rPr>
          <w:rFonts w:hint="eastAsia"/>
        </w:rPr>
        <w:t>2.1.3 水系分布</w:t>
      </w:r>
      <w:bookmarkEnd w:id="39"/>
      <w:bookmarkEnd w:id="40"/>
    </w:p>
    <w:p>
      <w:pPr>
        <w:ind w:firstLine="560" w:firstLineChars="200"/>
      </w:pPr>
      <w:r>
        <w:rPr>
          <w:rFonts w:hint="eastAsia"/>
          <w:color w:val="333333"/>
          <w:highlight w:val="none"/>
          <w:shd w:val="clear" w:color="auto" w:fill="FFFFFF"/>
          <w:lang w:val="en-US" w:eastAsia="zh-CN"/>
        </w:rPr>
        <w:t>南江河：巴中站（枣林）年径流总量14.68亿立方米，比上年减少41.28%，比1988年以来多年平均减少9.94%；枯期平均流量11.57立方米每秒，比上年同期增加2.58%，比1988年以来多年平均减少9.61%。</w:t>
      </w:r>
    </w:p>
    <w:p>
      <w:pPr>
        <w:ind w:firstLine="560" w:firstLineChars="200"/>
        <w:rPr>
          <w:color w:val="333333"/>
          <w:highlight w:val="none"/>
          <w:shd w:val="clear" w:color="auto" w:fill="FFFFFF"/>
        </w:rPr>
      </w:pPr>
      <w:r>
        <w:rPr>
          <w:rFonts w:hint="eastAsia"/>
          <w:color w:val="333333"/>
          <w:highlight w:val="none"/>
          <w:shd w:val="clear" w:color="auto" w:fill="FFFFFF"/>
          <w:lang w:eastAsia="zh-CN"/>
        </w:rPr>
        <w:t>巴州</w:t>
      </w:r>
      <w:r>
        <w:rPr>
          <w:rFonts w:hint="eastAsia"/>
          <w:color w:val="333333"/>
          <w:highlight w:val="none"/>
          <w:shd w:val="clear" w:color="auto" w:fill="FFFFFF"/>
        </w:rPr>
        <w:t>区河流示意图见图2-1-1。</w:t>
      </w:r>
    </w:p>
    <w:p>
      <w:pPr>
        <w:ind w:firstLine="560" w:firstLineChars="200"/>
        <w:jc w:val="center"/>
      </w:pPr>
      <w:r>
        <w:drawing>
          <wp:inline distT="0" distB="0" distL="114300" distR="114300">
            <wp:extent cx="3154680" cy="4526915"/>
            <wp:effectExtent l="0" t="0" r="7620" b="698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3154680" cy="4526915"/>
                    </a:xfrm>
                    <a:prstGeom prst="rect">
                      <a:avLst/>
                    </a:prstGeom>
                    <a:noFill/>
                    <a:ln>
                      <a:noFill/>
                    </a:ln>
                  </pic:spPr>
                </pic:pic>
              </a:graphicData>
            </a:graphic>
          </wp:inline>
        </w:drawing>
      </w:r>
    </w:p>
    <w:p>
      <w:pPr>
        <w:pStyle w:val="47"/>
      </w:pPr>
      <w:r>
        <w:t>图</w:t>
      </w:r>
      <w:r>
        <w:rPr>
          <w:rFonts w:hint="eastAsia"/>
        </w:rPr>
        <w:t>2-1-1</w:t>
      </w:r>
      <w:r>
        <w:rPr>
          <w:rFonts w:hint="eastAsia"/>
          <w:lang w:eastAsia="zh-CN"/>
        </w:rPr>
        <w:t>区</w:t>
      </w:r>
      <w:r>
        <w:rPr>
          <w:rFonts w:hint="eastAsia"/>
        </w:rPr>
        <w:t>河流示意</w:t>
      </w:r>
      <w:r>
        <w:t>图</w:t>
      </w:r>
    </w:p>
    <w:p>
      <w:pPr>
        <w:pStyle w:val="2"/>
      </w:pPr>
      <w:bookmarkStart w:id="41" w:name="_Toc29655"/>
      <w:bookmarkStart w:id="42" w:name="_Toc2567"/>
      <w:r>
        <w:rPr>
          <w:rFonts w:hint="eastAsia"/>
        </w:rPr>
        <w:t>2.1.4 自然资源</w:t>
      </w:r>
      <w:bookmarkEnd w:id="41"/>
      <w:bookmarkEnd w:id="42"/>
    </w:p>
    <w:p>
      <w:pPr>
        <w:ind w:firstLine="562" w:firstLineChars="200"/>
        <w:rPr>
          <w:b/>
        </w:rPr>
      </w:pPr>
      <w:r>
        <w:rPr>
          <w:rFonts w:hint="eastAsia"/>
          <w:b/>
        </w:rPr>
        <w:t>一、</w:t>
      </w:r>
      <w:r>
        <w:rPr>
          <w:b/>
        </w:rPr>
        <w:t>土地资源</w:t>
      </w:r>
    </w:p>
    <w:p>
      <w:pPr>
        <w:ind w:firstLine="560" w:firstLineChars="200"/>
        <w:rPr>
          <w:rFonts w:cs="Times New Roman"/>
          <w:highlight w:val="yellow"/>
        </w:rPr>
      </w:pPr>
      <w:r>
        <w:rPr>
          <w:rFonts w:hint="eastAsia" w:cs="Times New Roman"/>
          <w:lang w:eastAsia="zh-CN"/>
        </w:rPr>
        <w:t>巴州区</w:t>
      </w:r>
      <w:r>
        <w:rPr>
          <w:rFonts w:cs="Times New Roman"/>
        </w:rPr>
        <w:t>总土地面积</w:t>
      </w:r>
      <w:r>
        <w:rPr>
          <w:rFonts w:hint="eastAsia" w:cs="Times New Roman"/>
          <w:color w:val="333333"/>
          <w:shd w:val="clear" w:color="auto" w:fill="FFFFFF"/>
          <w:lang w:val="en-US" w:eastAsia="zh-CN"/>
        </w:rPr>
        <w:t>1406.13</w:t>
      </w:r>
      <w:r>
        <w:rPr>
          <w:rFonts w:cs="Times New Roman"/>
          <w:color w:val="333333"/>
          <w:shd w:val="clear" w:color="auto" w:fill="FFFFFF"/>
        </w:rPr>
        <w:t>平方公里</w:t>
      </w:r>
      <w:r>
        <w:rPr>
          <w:rFonts w:cs="Times New Roman"/>
        </w:rPr>
        <w:t>，</w:t>
      </w:r>
      <w:r>
        <w:rPr>
          <w:rFonts w:hint="eastAsia" w:cs="Times New Roman"/>
          <w:lang w:eastAsia="zh-CN"/>
        </w:rPr>
        <w:t>全</w:t>
      </w:r>
      <w:r>
        <w:rPr>
          <w:rFonts w:hint="eastAsia" w:cs="Times New Roman"/>
        </w:rPr>
        <w:t>区</w:t>
      </w:r>
      <w:r>
        <w:rPr>
          <w:rFonts w:hint="eastAsia" w:cs="Times New Roman"/>
          <w:lang w:eastAsia="zh-CN"/>
        </w:rPr>
        <w:t>土壤类型</w:t>
      </w:r>
      <w:r>
        <w:rPr>
          <w:rFonts w:hint="eastAsia" w:cs="Times New Roman"/>
        </w:rPr>
        <w:t>分4个土类、7个亚类、8个土属、42个土种、66个变种；</w:t>
      </w:r>
      <w:r>
        <w:rPr>
          <w:rFonts w:hint="eastAsia" w:ascii="仿宋" w:hAnsi="仿宋" w:cs="仿宋"/>
          <w:lang w:val="en-US" w:eastAsia="zh-CN"/>
        </w:rPr>
        <w:t>2020年农作物播种面积132.21万亩</w:t>
      </w:r>
      <w:r>
        <w:rPr>
          <w:rFonts w:cs="Times New Roman"/>
          <w:color w:val="333333"/>
          <w:shd w:val="clear" w:color="auto" w:fill="FFFFFF"/>
        </w:rPr>
        <w:t>，</w:t>
      </w:r>
      <w:r>
        <w:rPr>
          <w:rFonts w:cs="Times New Roman"/>
        </w:rPr>
        <w:t>其中粮食</w:t>
      </w:r>
      <w:r>
        <w:rPr>
          <w:rFonts w:hint="eastAsia" w:cs="Times New Roman"/>
          <w:lang w:eastAsia="zh-CN"/>
        </w:rPr>
        <w:t>播种</w:t>
      </w:r>
      <w:r>
        <w:rPr>
          <w:rFonts w:cs="Times New Roman"/>
        </w:rPr>
        <w:t>面积</w:t>
      </w:r>
      <w:r>
        <w:rPr>
          <w:rFonts w:hint="eastAsia" w:cs="Times New Roman"/>
          <w:lang w:val="en-US" w:eastAsia="zh-CN"/>
        </w:rPr>
        <w:t>89.5</w:t>
      </w:r>
      <w:r>
        <w:rPr>
          <w:rFonts w:cs="Times New Roman"/>
        </w:rPr>
        <w:t>万亩，蔬菜面积1.5万亩</w:t>
      </w:r>
      <w:r>
        <w:rPr>
          <w:rFonts w:hint="eastAsia" w:cs="Times New Roman"/>
          <w:lang w:eastAsia="zh-CN"/>
        </w:rPr>
        <w:t>。</w:t>
      </w:r>
    </w:p>
    <w:p>
      <w:pPr>
        <w:ind w:firstLine="562" w:firstLineChars="200"/>
        <w:rPr>
          <w:b/>
        </w:rPr>
      </w:pPr>
      <w:r>
        <w:rPr>
          <w:rFonts w:hint="eastAsia"/>
          <w:b/>
        </w:rPr>
        <w:t>二、</w:t>
      </w:r>
      <w:r>
        <w:rPr>
          <w:b/>
        </w:rPr>
        <w:t>水资源</w:t>
      </w:r>
    </w:p>
    <w:p>
      <w:pPr>
        <w:ind w:firstLine="560" w:firstLineChars="200"/>
        <w:rPr>
          <w:rFonts w:hint="eastAsia"/>
          <w:lang w:eastAsia="zh-CN"/>
        </w:rPr>
      </w:pPr>
      <w:r>
        <w:rPr>
          <w:rFonts w:hint="eastAsia"/>
          <w:lang w:eastAsia="zh-CN"/>
        </w:rPr>
        <w:t>巴州区河流主要属</w:t>
      </w:r>
      <w:r>
        <w:rPr>
          <w:rFonts w:hint="eastAsia"/>
          <w:lang w:eastAsia="zh-CN"/>
        </w:rPr>
        <w:fldChar w:fldCharType="begin"/>
      </w:r>
      <w:r>
        <w:rPr>
          <w:rFonts w:hint="eastAsia"/>
          <w:lang w:eastAsia="zh-CN"/>
        </w:rPr>
        <w:instrText xml:space="preserve"> HYPERLINK "https://baike.baidu.com/item/%E6%B8%A0%E6%B1%9F/13006741?fromModule=lemma_inlink" \t "https://baike.baidu.com/item/%E5%B7%B4%E5%B7%9E%E5%8C%BA/_blank" </w:instrText>
      </w:r>
      <w:r>
        <w:rPr>
          <w:rFonts w:hint="eastAsia"/>
          <w:lang w:eastAsia="zh-CN"/>
        </w:rPr>
        <w:fldChar w:fldCharType="separate"/>
      </w:r>
      <w:r>
        <w:rPr>
          <w:rFonts w:hint="eastAsia"/>
          <w:lang w:eastAsia="zh-CN"/>
        </w:rPr>
        <w:t>渠江</w:t>
      </w:r>
      <w:r>
        <w:rPr>
          <w:rFonts w:hint="eastAsia"/>
          <w:lang w:eastAsia="zh-CN"/>
        </w:rPr>
        <w:fldChar w:fldCharType="end"/>
      </w:r>
      <w:r>
        <w:rPr>
          <w:rFonts w:hint="eastAsia"/>
          <w:lang w:eastAsia="zh-CN"/>
        </w:rPr>
        <w:t>水系，有</w:t>
      </w:r>
      <w:r>
        <w:rPr>
          <w:rFonts w:hint="eastAsia"/>
          <w:lang w:eastAsia="zh-CN"/>
        </w:rPr>
        <w:fldChar w:fldCharType="begin"/>
      </w:r>
      <w:r>
        <w:rPr>
          <w:rFonts w:hint="eastAsia"/>
          <w:lang w:eastAsia="zh-CN"/>
        </w:rPr>
        <w:instrText xml:space="preserve"> HYPERLINK "https://baike.baidu.com/item/%E5%B7%B4%E6%B2%B3/11016535?fromModule=lemma_inlink" \t "https://baike.baidu.com/item/%E5%B7%B4%E5%B7%9E%E5%8C%BA/_blank" </w:instrText>
      </w:r>
      <w:r>
        <w:rPr>
          <w:rFonts w:hint="eastAsia"/>
          <w:lang w:eastAsia="zh-CN"/>
        </w:rPr>
        <w:fldChar w:fldCharType="separate"/>
      </w:r>
      <w:r>
        <w:rPr>
          <w:rFonts w:hint="eastAsia"/>
          <w:lang w:eastAsia="zh-CN"/>
        </w:rPr>
        <w:t>巴河</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HYPERLINK "https://baike.baidu.com/item/%E9%B3%8C%E6%BA%AA%E6%B2%B3/12620000?fromModule=lemma_inlink" \t "https://baike.baidu.com/item/%E5%B7%B4%E5%B7%9E%E5%8C%BA/_blank" </w:instrText>
      </w:r>
      <w:r>
        <w:rPr>
          <w:rFonts w:hint="eastAsia"/>
          <w:lang w:eastAsia="zh-CN"/>
        </w:rPr>
        <w:fldChar w:fldCharType="separate"/>
      </w:r>
      <w:r>
        <w:rPr>
          <w:rFonts w:hint="eastAsia"/>
          <w:lang w:eastAsia="zh-CN"/>
        </w:rPr>
        <w:t>鳌溪河</w:t>
      </w:r>
      <w:r>
        <w:rPr>
          <w:rFonts w:hint="eastAsia"/>
          <w:lang w:eastAsia="zh-CN"/>
        </w:rPr>
        <w:fldChar w:fldCharType="end"/>
      </w:r>
      <w:r>
        <w:rPr>
          <w:rFonts w:hint="eastAsia"/>
          <w:lang w:eastAsia="zh-CN"/>
        </w:rPr>
        <w:t>、双桥河等4条主流，南江发源于铁船山，至巴州区接纳恩阳河后改称巴河。</w:t>
      </w:r>
      <w:r>
        <w:rPr>
          <w:rFonts w:hint="eastAsia"/>
          <w:lang w:eastAsia="zh-CN"/>
        </w:rPr>
        <w:fldChar w:fldCharType="begin"/>
      </w:r>
      <w:r>
        <w:rPr>
          <w:rFonts w:hint="eastAsia"/>
          <w:lang w:eastAsia="zh-CN"/>
        </w:rPr>
        <w:instrText xml:space="preserve"> HYPERLINK "https://baike.baidu.com/item/%E9%80%9A%E6%B1%9F/5304684?fromModule=lemma_inlink" \t "https://baike.baidu.com/item/%E5%B7%B4%E5%B7%9E%E5%8C%BA/_blank" </w:instrText>
      </w:r>
      <w:r>
        <w:rPr>
          <w:rFonts w:hint="eastAsia"/>
          <w:lang w:eastAsia="zh-CN"/>
        </w:rPr>
        <w:fldChar w:fldCharType="separate"/>
      </w:r>
      <w:r>
        <w:rPr>
          <w:rFonts w:hint="eastAsia"/>
          <w:lang w:eastAsia="zh-CN"/>
        </w:rPr>
        <w:t>通江</w:t>
      </w:r>
      <w:r>
        <w:rPr>
          <w:rFonts w:hint="eastAsia"/>
          <w:lang w:eastAsia="zh-CN"/>
        </w:rPr>
        <w:fldChar w:fldCharType="end"/>
      </w:r>
      <w:r>
        <w:rPr>
          <w:rFonts w:hint="eastAsia"/>
          <w:lang w:eastAsia="zh-CN"/>
        </w:rPr>
        <w:t>，由大通江与小通江汇合后得名，至平昌注入巴河，</w:t>
      </w:r>
      <w:r>
        <w:rPr>
          <w:rFonts w:hint="eastAsia"/>
          <w:lang w:val="en-US" w:eastAsia="zh-CN"/>
        </w:rPr>
        <w:t>巴州区</w:t>
      </w:r>
      <w:r>
        <w:rPr>
          <w:rFonts w:hint="eastAsia"/>
          <w:lang w:eastAsia="zh-CN"/>
        </w:rPr>
        <w:t>境内流域面积在1000平方公里以上的河流2条，水力资源蕴藏量7.71万千瓦，可开发量为2.64万千瓦。</w:t>
      </w:r>
    </w:p>
    <w:p>
      <w:pPr>
        <w:ind w:firstLine="562" w:firstLineChars="200"/>
        <w:rPr>
          <w:b/>
        </w:rPr>
      </w:pPr>
      <w:r>
        <w:rPr>
          <w:rFonts w:hint="eastAsia"/>
          <w:b/>
        </w:rPr>
        <w:t>三、</w:t>
      </w:r>
      <w:r>
        <w:rPr>
          <w:b/>
        </w:rPr>
        <w:t>矿产资源</w:t>
      </w:r>
    </w:p>
    <w:p>
      <w:pPr>
        <w:ind w:firstLine="560" w:firstLineChars="200"/>
      </w:pPr>
      <w:r>
        <w:rPr>
          <w:rFonts w:hint="eastAsia"/>
        </w:rPr>
        <w:t>巴中地区主要优势金属矿产资源有磁铁矿，潜在优势矿产资源有铅、锌、金、钼、钒等</w:t>
      </w:r>
      <w:r>
        <w:rPr>
          <w:rFonts w:hint="eastAsia"/>
          <w:lang w:eastAsia="zh-CN"/>
        </w:rPr>
        <w:t>；</w:t>
      </w:r>
      <w:r>
        <w:rPr>
          <w:rFonts w:hint="eastAsia"/>
        </w:rPr>
        <w:t>优势非金属矿产资源主要有晶质石墨、霞石铝矿、钾长石等</w:t>
      </w:r>
      <w:r>
        <w:rPr>
          <w:rFonts w:hint="eastAsia"/>
          <w:lang w:eastAsia="zh-CN"/>
        </w:rPr>
        <w:t>；</w:t>
      </w:r>
      <w:r>
        <w:rPr>
          <w:rFonts w:hint="eastAsia"/>
        </w:rPr>
        <w:t>优势能源矿产主要有天然气、页岩气资源，具有找矿潜力。</w:t>
      </w:r>
    </w:p>
    <w:p>
      <w:pPr>
        <w:pStyle w:val="2"/>
        <w:spacing w:line="360" w:lineRule="auto"/>
      </w:pPr>
      <w:bookmarkStart w:id="43" w:name="_Toc30409"/>
      <w:bookmarkStart w:id="44" w:name="_Toc11654"/>
      <w:r>
        <w:rPr>
          <w:rFonts w:hint="eastAsia"/>
        </w:rPr>
        <w:t>2.1.</w:t>
      </w:r>
      <w:r>
        <w:t>5</w:t>
      </w:r>
      <w:r>
        <w:rPr>
          <w:rFonts w:hint="eastAsia"/>
        </w:rPr>
        <w:t xml:space="preserve"> 土壤特征</w:t>
      </w:r>
      <w:bookmarkEnd w:id="43"/>
      <w:bookmarkEnd w:id="44"/>
    </w:p>
    <w:p>
      <w:pPr>
        <w:ind w:firstLine="562" w:firstLineChars="200"/>
        <w:rPr>
          <w:b/>
        </w:rPr>
      </w:pPr>
      <w:r>
        <w:rPr>
          <w:rFonts w:hint="eastAsia"/>
          <w:b/>
          <w:lang w:eastAsia="zh-CN"/>
        </w:rPr>
        <w:t>一、</w:t>
      </w:r>
      <w:r>
        <w:rPr>
          <w:b/>
        </w:rPr>
        <w:t>土壤特征</w:t>
      </w:r>
    </w:p>
    <w:p>
      <w:pPr>
        <w:ind w:firstLine="560" w:firstLineChars="200"/>
        <w:rPr>
          <w:rFonts w:hint="eastAsia"/>
        </w:rPr>
      </w:pPr>
      <w:r>
        <w:rPr>
          <w:rFonts w:hint="eastAsia"/>
          <w:lang w:val="en-US" w:eastAsia="zh-CN"/>
        </w:rPr>
        <w:t>巴中市</w:t>
      </w:r>
      <w:r>
        <w:rPr>
          <w:rFonts w:hint="eastAsia"/>
        </w:rPr>
        <w:t>土壤普查中共划分和归并出6个土类、10个亚类、22个土属、61个土种。由于山区成土</w:t>
      </w:r>
      <w:r>
        <w:rPr>
          <w:rFonts w:hint="eastAsia"/>
          <w:lang w:eastAsia="zh-CN"/>
        </w:rPr>
        <w:t>条件</w:t>
      </w:r>
      <w:r>
        <w:rPr>
          <w:rFonts w:hint="eastAsia"/>
        </w:rPr>
        <w:t>复杂，各县土属、土种不尽一致。其中，巴中县分4个土类、7个亚类、8个土属、42个土种、66个变种。</w:t>
      </w:r>
    </w:p>
    <w:p>
      <w:pPr>
        <w:pStyle w:val="2"/>
        <w:spacing w:line="360" w:lineRule="auto"/>
      </w:pPr>
      <w:bookmarkStart w:id="45" w:name="_Toc30277"/>
      <w:bookmarkStart w:id="46" w:name="_Toc29043"/>
      <w:r>
        <w:rPr>
          <w:rFonts w:hint="eastAsia"/>
        </w:rPr>
        <w:t>2.1.</w:t>
      </w:r>
      <w:r>
        <w:t>6</w:t>
      </w:r>
      <w:r>
        <w:rPr>
          <w:rFonts w:hint="eastAsia"/>
        </w:rPr>
        <w:t xml:space="preserve"> 耕地质量</w:t>
      </w:r>
      <w:bookmarkEnd w:id="45"/>
      <w:bookmarkEnd w:id="46"/>
    </w:p>
    <w:p>
      <w:pPr>
        <w:ind w:firstLine="560" w:firstLineChars="200"/>
        <w:rPr>
          <w:rFonts w:cs="Times New Roman"/>
        </w:rPr>
      </w:pPr>
      <w:r>
        <w:rPr>
          <w:rFonts w:hint="eastAsia" w:cs="Times New Roman"/>
        </w:rPr>
        <w:t>2020年，</w:t>
      </w:r>
      <w:r>
        <w:rPr>
          <w:rFonts w:hint="eastAsia" w:cs="Times New Roman"/>
          <w:lang w:eastAsia="zh-CN"/>
        </w:rPr>
        <w:t>巴中</w:t>
      </w:r>
      <w:r>
        <w:rPr>
          <w:rFonts w:hint="eastAsia" w:cs="Times New Roman"/>
        </w:rPr>
        <w:t>市根据土壤类型、生产条件、耕作制度、环境状况、管理水平、城市建设规划等因素，建立耕地质量长期定位监测点50个、变更调查点986个，对全市耕地质量进行监测。结果表明，全市耕地质量稳定提升。</w:t>
      </w:r>
    </w:p>
    <w:p>
      <w:pPr>
        <w:ind w:firstLine="560" w:firstLineChars="200"/>
        <w:rPr>
          <w:rFonts w:cs="Times New Roman"/>
        </w:rPr>
      </w:pPr>
      <w:r>
        <w:rPr>
          <w:rFonts w:hint="eastAsia" w:cs="Times New Roman"/>
        </w:rPr>
        <w:t> 一是土壤有机质稳中有升。全市土壤有机质平均值为20.35g/kg，大于20g/kg点位达到46.45%。二是土壤全氮、碱解氮、有效磷、速效钾养分含量明显增加。全市土壤全氮平均值为1.28g/kg，比上年增加124.56%，全氮含量水平中等以上的点位占74.35%</w:t>
      </w:r>
      <w:r>
        <w:rPr>
          <w:rFonts w:hint="eastAsia" w:cs="Times New Roman"/>
          <w:lang w:eastAsia="zh-CN"/>
        </w:rPr>
        <w:t>，</w:t>
      </w:r>
      <w:r>
        <w:rPr>
          <w:rFonts w:hint="eastAsia" w:cs="Times New Roman"/>
        </w:rPr>
        <w:t>比上年增加248%；全市土壤碱解氮平均值为102.22 mg/kg，大于90 mg/kg的点位占62.05%，比上年增加15.23%；土壤有效磷平均值为17.59 mg/kg，其中有效磷大于10 mg/kg的点位占43.82%；土壤速效钾平均值为127.9mg/kg，比上年增加10.93%，其中土壤速效钾大于150mg/kg的点位占29.21%，比上年增加8.39%；土壤交换性钙、有效铁、有效硫含量较上年度明显提高。三是土壤健康状态总体良好。根据耕地质量例行监测点、变更监测点和农产品产地环境长期定位监测点重金属及重金属污染来源情况监测数据表明，全市土壤及农产品无重金属污染情况</w:t>
      </w:r>
      <w:r>
        <w:rPr>
          <w:rFonts w:cs="Times New Roman"/>
        </w:rPr>
        <w:t>。</w:t>
      </w:r>
    </w:p>
    <w:p>
      <w:pPr>
        <w:pStyle w:val="4"/>
        <w:spacing w:before="190" w:after="190"/>
      </w:pPr>
      <w:bookmarkStart w:id="47" w:name="_Toc26620"/>
      <w:bookmarkStart w:id="48" w:name="_Toc25715"/>
      <w:r>
        <w:rPr>
          <w:rFonts w:hint="eastAsia"/>
        </w:rPr>
        <w:t>2.2 社会经济状况</w:t>
      </w:r>
      <w:bookmarkEnd w:id="47"/>
      <w:bookmarkEnd w:id="48"/>
    </w:p>
    <w:p>
      <w:pPr>
        <w:pStyle w:val="2"/>
        <w:spacing w:line="360" w:lineRule="auto"/>
      </w:pPr>
      <w:bookmarkStart w:id="49" w:name="_Toc15876"/>
      <w:bookmarkStart w:id="50" w:name="_Toc23056"/>
      <w:r>
        <w:rPr>
          <w:rFonts w:hint="eastAsia"/>
        </w:rPr>
        <w:t>2.2.1 行政区和人口分布</w:t>
      </w:r>
      <w:bookmarkEnd w:id="49"/>
      <w:bookmarkEnd w:id="50"/>
    </w:p>
    <w:p>
      <w:pPr>
        <w:ind w:firstLine="560" w:firstLineChars="200"/>
        <w:rPr>
          <w:color w:val="333333"/>
          <w:shd w:val="clear" w:color="auto" w:fill="FFFFFF"/>
        </w:rPr>
      </w:pPr>
      <w:r>
        <w:rPr>
          <w:rFonts w:hint="eastAsia"/>
          <w:color w:val="333333"/>
          <w:shd w:val="clear" w:color="auto" w:fill="FFFFFF"/>
        </w:rPr>
        <w:t>2020年末，巴州区户籍人口71.38万人，常住人口65.15万人，其中城镇常住人口41.99万人，乡村常住人口23.17万人。辖</w:t>
      </w:r>
      <w:r>
        <w:rPr>
          <w:rFonts w:hint="eastAsia" w:cs="Times New Roman"/>
          <w:lang w:val="en-US" w:eastAsia="zh-CN"/>
        </w:rPr>
        <w:t>6</w:t>
      </w:r>
      <w:r>
        <w:rPr>
          <w:rFonts w:hint="eastAsia" w:cs="Times New Roman"/>
        </w:rPr>
        <w:t>个街道（</w:t>
      </w:r>
      <w:r>
        <w:rPr>
          <w:rFonts w:hint="eastAsia" w:cs="Times New Roman"/>
          <w:lang w:eastAsia="zh-CN"/>
        </w:rPr>
        <w:t>回风街道、东城街道、西城街道、玉堂街道、宕梁街道、江北街道</w:t>
      </w:r>
      <w:r>
        <w:rPr>
          <w:rFonts w:hint="eastAsia" w:cs="Times New Roman"/>
        </w:rPr>
        <w:t>）、</w:t>
      </w:r>
      <w:r>
        <w:rPr>
          <w:rFonts w:hint="eastAsia" w:cs="Times New Roman"/>
          <w:lang w:val="en-US" w:eastAsia="zh-CN"/>
        </w:rPr>
        <w:t>14</w:t>
      </w:r>
      <w:r>
        <w:rPr>
          <w:rFonts w:hint="eastAsia" w:cs="Times New Roman"/>
        </w:rPr>
        <w:t>个镇（</w:t>
      </w:r>
      <w:r>
        <w:rPr>
          <w:rFonts w:hint="eastAsia" w:cs="Times New Roman"/>
          <w:lang w:eastAsia="zh-CN"/>
        </w:rPr>
        <w:t>化成镇、光辉镇、凤溪镇、天马山镇、枣林镇、清江镇、三江镇、大罗镇、平梁镇、水宁寺镇、梁永镇、鼎山镇、曾口镇、大茅坪镇</w:t>
      </w:r>
      <w:r>
        <w:rPr>
          <w:rFonts w:hint="eastAsia" w:cs="Times New Roman"/>
        </w:rPr>
        <w:t>）、</w:t>
      </w:r>
      <w:r>
        <w:rPr>
          <w:rFonts w:hint="eastAsia" w:cs="Times New Roman"/>
          <w:lang w:val="en-US" w:eastAsia="zh-CN"/>
        </w:rPr>
        <w:t>2个乡（大和乡、白庙乡）、76</w:t>
      </w:r>
      <w:r>
        <w:rPr>
          <w:rFonts w:hint="eastAsia" w:cs="Times New Roman"/>
        </w:rPr>
        <w:t>个社区、</w:t>
      </w:r>
      <w:r>
        <w:rPr>
          <w:rFonts w:hint="eastAsia" w:cs="Times New Roman"/>
          <w:lang w:val="en-US" w:eastAsia="zh-CN"/>
        </w:rPr>
        <w:t>220</w:t>
      </w:r>
      <w:r>
        <w:rPr>
          <w:rFonts w:hint="eastAsia" w:cs="Times New Roman"/>
        </w:rPr>
        <w:t>个行政村</w:t>
      </w:r>
      <w:r>
        <w:rPr>
          <w:rFonts w:hint="eastAsia"/>
          <w:color w:val="333333"/>
          <w:shd w:val="clear" w:color="auto" w:fill="FFFFFF"/>
        </w:rPr>
        <w:t>。</w:t>
      </w:r>
    </w:p>
    <w:p>
      <w:pPr>
        <w:pStyle w:val="2"/>
      </w:pPr>
      <w:bookmarkStart w:id="51" w:name="_Toc1874"/>
      <w:bookmarkStart w:id="52" w:name="_Toc11405"/>
      <w:r>
        <w:rPr>
          <w:rFonts w:hint="eastAsia"/>
        </w:rPr>
        <w:t>2.2.2 国民经济</w:t>
      </w:r>
      <w:r>
        <w:t>和社会发展</w:t>
      </w:r>
      <w:bookmarkEnd w:id="51"/>
      <w:bookmarkEnd w:id="52"/>
    </w:p>
    <w:p>
      <w:pPr>
        <w:ind w:firstLine="560" w:firstLineChars="200"/>
        <w:rPr>
          <w:rFonts w:cs="Times New Roman"/>
          <w:color w:val="333333"/>
          <w:shd w:val="clear" w:color="auto" w:fill="FFFFFF"/>
        </w:rPr>
      </w:pPr>
      <w:r>
        <w:rPr>
          <w:rFonts w:cs="Times New Roman"/>
          <w:color w:val="333333"/>
          <w:shd w:val="clear" w:color="auto" w:fill="FFFFFF"/>
        </w:rPr>
        <w:t>2020年，地区生产总值实现</w:t>
      </w:r>
      <w:r>
        <w:rPr>
          <w:rFonts w:hint="eastAsia" w:cs="Times New Roman"/>
          <w:color w:val="333333"/>
          <w:shd w:val="clear" w:color="auto" w:fill="FFFFFF"/>
          <w:lang w:val="en-US" w:eastAsia="zh-CN"/>
        </w:rPr>
        <w:t>200.1</w:t>
      </w:r>
      <w:r>
        <w:rPr>
          <w:rFonts w:cs="Times New Roman"/>
          <w:color w:val="333333"/>
          <w:shd w:val="clear" w:color="auto" w:fill="FFFFFF"/>
        </w:rPr>
        <w:t>亿元</w:t>
      </w:r>
      <w:r>
        <w:rPr>
          <w:rFonts w:hint="eastAsia" w:cs="Times New Roman"/>
          <w:color w:val="333333"/>
          <w:shd w:val="clear" w:color="auto" w:fill="FFFFFF"/>
          <w:lang w:eastAsia="zh-CN"/>
        </w:rPr>
        <w:t>，</w:t>
      </w:r>
      <w:r>
        <w:rPr>
          <w:rFonts w:cs="Times New Roman"/>
          <w:color w:val="333333"/>
          <w:shd w:val="clear" w:color="auto" w:fill="FFFFFF"/>
        </w:rPr>
        <w:t>固定资产投资实现</w:t>
      </w:r>
      <w:r>
        <w:rPr>
          <w:rFonts w:hint="eastAsia" w:cs="Times New Roman"/>
          <w:color w:val="333333"/>
          <w:shd w:val="clear" w:color="auto" w:fill="FFFFFF"/>
          <w:lang w:val="en-US" w:eastAsia="zh-CN"/>
        </w:rPr>
        <w:t>184.14</w:t>
      </w:r>
      <w:r>
        <w:rPr>
          <w:rFonts w:cs="Times New Roman"/>
          <w:color w:val="333333"/>
          <w:shd w:val="clear" w:color="auto" w:fill="FFFFFF"/>
        </w:rPr>
        <w:t>亿元、增长</w:t>
      </w:r>
      <w:r>
        <w:rPr>
          <w:rFonts w:hint="eastAsia" w:cs="Times New Roman"/>
          <w:color w:val="333333"/>
          <w:shd w:val="clear" w:color="auto" w:fill="FFFFFF"/>
          <w:lang w:val="en-US" w:eastAsia="zh-CN"/>
        </w:rPr>
        <w:t>5.3</w:t>
      </w:r>
      <w:r>
        <w:rPr>
          <w:rFonts w:cs="Times New Roman"/>
          <w:color w:val="333333"/>
          <w:shd w:val="clear" w:color="auto" w:fill="FFFFFF"/>
        </w:rPr>
        <w:t>%。</w:t>
      </w:r>
      <w:r>
        <w:rPr>
          <w:rFonts w:hint="eastAsia" w:cs="Times New Roman"/>
          <w:color w:val="333333"/>
          <w:shd w:val="clear" w:color="auto" w:fill="FFFFFF"/>
          <w:lang w:eastAsia="zh-CN"/>
        </w:rPr>
        <w:t>全部</w:t>
      </w:r>
      <w:r>
        <w:rPr>
          <w:rFonts w:cs="Times New Roman"/>
          <w:color w:val="333333"/>
          <w:shd w:val="clear" w:color="auto" w:fill="FFFFFF"/>
        </w:rPr>
        <w:t>工业增加值实现</w:t>
      </w:r>
      <w:r>
        <w:rPr>
          <w:rFonts w:hint="eastAsia" w:cs="Times New Roman"/>
          <w:color w:val="333333"/>
          <w:shd w:val="clear" w:color="auto" w:fill="FFFFFF"/>
          <w:lang w:val="en-US" w:eastAsia="zh-CN"/>
        </w:rPr>
        <w:t>21.47</w:t>
      </w:r>
      <w:r>
        <w:rPr>
          <w:rFonts w:cs="Times New Roman"/>
          <w:color w:val="333333"/>
          <w:shd w:val="clear" w:color="auto" w:fill="FFFFFF"/>
        </w:rPr>
        <w:t>亿元、增长</w:t>
      </w:r>
      <w:r>
        <w:rPr>
          <w:rFonts w:hint="eastAsia" w:cs="Times New Roman"/>
          <w:color w:val="333333"/>
          <w:shd w:val="clear" w:color="auto" w:fill="FFFFFF"/>
          <w:lang w:val="en-US" w:eastAsia="zh-CN"/>
        </w:rPr>
        <w:t>0.1</w:t>
      </w:r>
      <w:r>
        <w:rPr>
          <w:rFonts w:cs="Times New Roman"/>
          <w:color w:val="333333"/>
          <w:shd w:val="clear" w:color="auto" w:fill="FFFFFF"/>
        </w:rPr>
        <w:t>%；社会消费品零售总额实现</w:t>
      </w:r>
      <w:r>
        <w:rPr>
          <w:rFonts w:hint="eastAsia" w:cs="Times New Roman"/>
          <w:color w:val="333333"/>
          <w:shd w:val="clear" w:color="auto" w:fill="FFFFFF"/>
          <w:lang w:val="en-US" w:eastAsia="zh-CN"/>
        </w:rPr>
        <w:t>131.63</w:t>
      </w:r>
      <w:r>
        <w:rPr>
          <w:rFonts w:cs="Times New Roman"/>
          <w:color w:val="333333"/>
          <w:shd w:val="clear" w:color="auto" w:fill="FFFFFF"/>
        </w:rPr>
        <w:t>亿元、增长</w:t>
      </w:r>
      <w:r>
        <w:rPr>
          <w:rFonts w:hint="eastAsia" w:cs="Times New Roman"/>
          <w:color w:val="333333"/>
          <w:shd w:val="clear" w:color="auto" w:fill="FFFFFF"/>
          <w:lang w:val="en-US" w:eastAsia="zh-CN"/>
        </w:rPr>
        <w:t>57.2</w:t>
      </w:r>
      <w:r>
        <w:rPr>
          <w:rFonts w:cs="Times New Roman"/>
          <w:color w:val="333333"/>
          <w:shd w:val="clear" w:color="auto" w:fill="FFFFFF"/>
        </w:rPr>
        <w:t>%；城镇和农村常住居民人均可支配收入分别实现</w:t>
      </w:r>
      <w:r>
        <w:rPr>
          <w:rFonts w:hint="eastAsia" w:cs="Times New Roman"/>
          <w:color w:val="333333"/>
          <w:shd w:val="clear" w:color="auto" w:fill="FFFFFF"/>
          <w:lang w:val="en-US" w:eastAsia="zh-CN"/>
        </w:rPr>
        <w:t>36244</w:t>
      </w:r>
      <w:r>
        <w:rPr>
          <w:rFonts w:cs="Times New Roman"/>
          <w:color w:val="333333"/>
          <w:shd w:val="clear" w:color="auto" w:fill="FFFFFF"/>
        </w:rPr>
        <w:t>元、</w:t>
      </w:r>
      <w:r>
        <w:rPr>
          <w:rFonts w:hint="eastAsia" w:cs="Times New Roman"/>
          <w:color w:val="333333"/>
          <w:shd w:val="clear" w:color="auto" w:fill="FFFFFF"/>
          <w:lang w:val="en-US" w:eastAsia="zh-CN"/>
        </w:rPr>
        <w:t>14523</w:t>
      </w:r>
      <w:r>
        <w:rPr>
          <w:rFonts w:cs="Times New Roman"/>
          <w:color w:val="333333"/>
          <w:shd w:val="clear" w:color="auto" w:fill="FFFFFF"/>
        </w:rPr>
        <w:t>元，分别增长</w:t>
      </w:r>
      <w:r>
        <w:rPr>
          <w:rFonts w:hint="eastAsia" w:cs="Times New Roman"/>
          <w:color w:val="333333"/>
          <w:shd w:val="clear" w:color="auto" w:fill="FFFFFF"/>
          <w:lang w:val="en-US" w:eastAsia="zh-CN"/>
        </w:rPr>
        <w:t>50.2</w:t>
      </w:r>
      <w:r>
        <w:rPr>
          <w:rFonts w:cs="Times New Roman"/>
          <w:color w:val="333333"/>
          <w:shd w:val="clear" w:color="auto" w:fill="FFFFFF"/>
        </w:rPr>
        <w:t>%、</w:t>
      </w:r>
      <w:r>
        <w:rPr>
          <w:rFonts w:hint="eastAsia" w:cs="Times New Roman"/>
          <w:color w:val="333333"/>
          <w:shd w:val="clear" w:color="auto" w:fill="FFFFFF"/>
          <w:lang w:val="en-US" w:eastAsia="zh-CN"/>
        </w:rPr>
        <w:t>58.8</w:t>
      </w:r>
      <w:r>
        <w:rPr>
          <w:rFonts w:cs="Times New Roman"/>
          <w:color w:val="333333"/>
          <w:shd w:val="clear" w:color="auto" w:fill="FFFFFF"/>
        </w:rPr>
        <w:t>%。</w:t>
      </w:r>
    </w:p>
    <w:p>
      <w:pPr>
        <w:pStyle w:val="4"/>
        <w:spacing w:before="190" w:after="190"/>
      </w:pPr>
      <w:bookmarkStart w:id="53" w:name="_Toc8811"/>
      <w:bookmarkStart w:id="54" w:name="_Toc32134"/>
      <w:r>
        <w:rPr>
          <w:rFonts w:hint="eastAsia"/>
        </w:rPr>
        <w:t>2.3 生态环境概况</w:t>
      </w:r>
      <w:bookmarkEnd w:id="53"/>
      <w:bookmarkEnd w:id="54"/>
    </w:p>
    <w:p>
      <w:pPr>
        <w:pStyle w:val="2"/>
        <w:spacing w:line="360" w:lineRule="auto"/>
      </w:pPr>
      <w:bookmarkStart w:id="55" w:name="_Toc8328"/>
      <w:bookmarkStart w:id="56" w:name="_Toc18944"/>
      <w:r>
        <w:rPr>
          <w:rFonts w:hint="eastAsia"/>
        </w:rPr>
        <w:t>2.3.1 空气环境质量</w:t>
      </w:r>
      <w:bookmarkEnd w:id="55"/>
      <w:bookmarkEnd w:id="56"/>
    </w:p>
    <w:p>
      <w:pPr>
        <w:ind w:firstLine="560" w:firstLineChars="200"/>
        <w:rPr>
          <w:rFonts w:cs="Times New Roman"/>
        </w:rPr>
      </w:pPr>
      <w:r>
        <w:rPr>
          <w:rFonts w:cs="Times New Roman"/>
          <w:color w:val="333333"/>
          <w:shd w:val="clear" w:color="auto" w:fill="FFFFFF"/>
        </w:rPr>
        <w:t>2020年，</w:t>
      </w:r>
      <w:r>
        <w:rPr>
          <w:rFonts w:hint="eastAsia" w:cs="Times New Roman"/>
          <w:color w:val="333333"/>
          <w:shd w:val="clear" w:color="auto" w:fill="FFFFFF"/>
          <w:lang w:eastAsia="zh-CN"/>
        </w:rPr>
        <w:t>巴州</w:t>
      </w:r>
      <w:r>
        <w:rPr>
          <w:rFonts w:hint="eastAsia" w:cs="Times New Roman"/>
          <w:color w:val="333333"/>
          <w:shd w:val="clear" w:color="auto" w:fill="FFFFFF"/>
          <w:lang w:val="en-US" w:eastAsia="zh-CN"/>
        </w:rPr>
        <w:t>区</w:t>
      </w:r>
      <w:r>
        <w:rPr>
          <w:rFonts w:cs="Times New Roman"/>
          <w:color w:val="333333"/>
          <w:shd w:val="clear" w:color="auto" w:fill="FFFFFF"/>
        </w:rPr>
        <w:t>环境空气质量优良天数比例为</w:t>
      </w:r>
      <w:r>
        <w:rPr>
          <w:rFonts w:hint="eastAsia" w:cs="Times New Roman"/>
          <w:color w:val="333333"/>
          <w:shd w:val="clear" w:color="auto" w:fill="FFFFFF"/>
          <w:lang w:val="en-US" w:eastAsia="zh-CN"/>
        </w:rPr>
        <w:t>96.7</w:t>
      </w:r>
      <w:r>
        <w:rPr>
          <w:rFonts w:cs="Times New Roman"/>
          <w:color w:val="333333"/>
          <w:shd w:val="clear" w:color="auto" w:fill="FFFFFF"/>
        </w:rPr>
        <w:t>%，天数为</w:t>
      </w:r>
      <w:r>
        <w:rPr>
          <w:rFonts w:hint="eastAsia" w:cs="Times New Roman"/>
          <w:color w:val="333333"/>
          <w:shd w:val="clear" w:color="auto" w:fill="FFFFFF"/>
          <w:lang w:val="en-US" w:eastAsia="zh-CN"/>
        </w:rPr>
        <w:t>354</w:t>
      </w:r>
      <w:r>
        <w:rPr>
          <w:rFonts w:cs="Times New Roman"/>
          <w:color w:val="333333"/>
          <w:shd w:val="clear" w:color="auto" w:fill="FFFFFF"/>
        </w:rPr>
        <w:t>天，较2019年</w:t>
      </w:r>
      <w:r>
        <w:rPr>
          <w:rFonts w:hint="eastAsia" w:cs="Times New Roman"/>
          <w:color w:val="333333"/>
          <w:shd w:val="clear" w:color="auto" w:fill="FFFFFF"/>
          <w:lang w:eastAsia="zh-CN"/>
        </w:rPr>
        <w:t>同期相比上升了</w:t>
      </w:r>
      <w:r>
        <w:rPr>
          <w:rFonts w:hint="eastAsia" w:cs="Times New Roman"/>
          <w:color w:val="333333"/>
          <w:shd w:val="clear" w:color="auto" w:fill="FFFFFF"/>
          <w:lang w:val="en-US" w:eastAsia="zh-CN"/>
        </w:rPr>
        <w:t>1.9%</w:t>
      </w:r>
      <w:r>
        <w:rPr>
          <w:rFonts w:cs="Times New Roman"/>
          <w:color w:val="333333"/>
          <w:shd w:val="clear" w:color="auto" w:fill="FFFFFF"/>
        </w:rPr>
        <w:t>；细颗粒物（PM2.5）年均浓度</w:t>
      </w:r>
      <w:r>
        <w:rPr>
          <w:rFonts w:hint="eastAsia" w:cs="Times New Roman"/>
          <w:color w:val="333333"/>
          <w:shd w:val="clear" w:color="auto" w:fill="FFFFFF"/>
          <w:lang w:val="en-US" w:eastAsia="zh-CN"/>
        </w:rPr>
        <w:t>35</w:t>
      </w:r>
      <w:r>
        <w:rPr>
          <w:rFonts w:cs="Times New Roman"/>
          <w:color w:val="333333"/>
          <w:shd w:val="clear" w:color="auto" w:fill="FFFFFF"/>
        </w:rPr>
        <w:t>微克/立方米，较2019年下降</w:t>
      </w:r>
      <w:r>
        <w:rPr>
          <w:rFonts w:hint="eastAsia" w:cs="Times New Roman"/>
          <w:color w:val="333333"/>
          <w:shd w:val="clear" w:color="auto" w:fill="FFFFFF"/>
          <w:lang w:val="en-US" w:eastAsia="zh-CN"/>
        </w:rPr>
        <w:t>12.5%</w:t>
      </w:r>
      <w:r>
        <w:rPr>
          <w:rFonts w:cs="Times New Roman"/>
          <w:color w:val="333333"/>
          <w:shd w:val="clear" w:color="auto" w:fill="FFFFFF"/>
        </w:rPr>
        <w:t>，细颗粒物（PM</w:t>
      </w:r>
      <w:r>
        <w:rPr>
          <w:rFonts w:hint="eastAsia" w:cs="Times New Roman"/>
          <w:color w:val="333333"/>
          <w:shd w:val="clear" w:color="auto" w:fill="FFFFFF"/>
          <w:lang w:val="en-US" w:eastAsia="zh-CN"/>
        </w:rPr>
        <w:t>10</w:t>
      </w:r>
      <w:r>
        <w:rPr>
          <w:rFonts w:cs="Times New Roman"/>
          <w:color w:val="333333"/>
          <w:shd w:val="clear" w:color="auto" w:fill="FFFFFF"/>
        </w:rPr>
        <w:t>）年均浓度</w:t>
      </w:r>
      <w:r>
        <w:rPr>
          <w:rFonts w:hint="eastAsia" w:cs="Times New Roman"/>
          <w:color w:val="333333"/>
          <w:shd w:val="clear" w:color="auto" w:fill="FFFFFF"/>
          <w:lang w:val="en-US" w:eastAsia="zh-CN"/>
        </w:rPr>
        <w:t>59</w:t>
      </w:r>
      <w:r>
        <w:rPr>
          <w:rFonts w:cs="Times New Roman"/>
          <w:color w:val="333333"/>
          <w:shd w:val="clear" w:color="auto" w:fill="FFFFFF"/>
        </w:rPr>
        <w:t>微克/立方米，较2019年下降</w:t>
      </w:r>
      <w:r>
        <w:rPr>
          <w:rFonts w:hint="eastAsia" w:cs="Times New Roman"/>
          <w:color w:val="333333"/>
          <w:shd w:val="clear" w:color="auto" w:fill="FFFFFF"/>
          <w:lang w:val="en-US" w:eastAsia="zh-CN"/>
        </w:rPr>
        <w:t>11.5%</w:t>
      </w:r>
      <w:r>
        <w:rPr>
          <w:rFonts w:cs="Times New Roman"/>
          <w:color w:val="333333"/>
          <w:shd w:val="clear" w:color="auto" w:fill="FFFFFF"/>
        </w:rPr>
        <w:t>，</w:t>
      </w:r>
    </w:p>
    <w:p>
      <w:pPr>
        <w:pStyle w:val="2"/>
        <w:spacing w:line="360" w:lineRule="auto"/>
      </w:pPr>
      <w:bookmarkStart w:id="57" w:name="_Toc7250"/>
      <w:bookmarkStart w:id="58" w:name="_Toc23204"/>
      <w:r>
        <w:rPr>
          <w:rFonts w:hint="eastAsia"/>
        </w:rPr>
        <w:t>2.3.</w:t>
      </w:r>
      <w:r>
        <w:t>2</w:t>
      </w:r>
      <w:r>
        <w:rPr>
          <w:rFonts w:hint="eastAsia"/>
        </w:rPr>
        <w:t xml:space="preserve"> 水环境</w:t>
      </w:r>
      <w:r>
        <w:t>质量</w:t>
      </w:r>
      <w:bookmarkEnd w:id="57"/>
      <w:bookmarkEnd w:id="58"/>
    </w:p>
    <w:p>
      <w:pPr>
        <w:ind w:firstLine="562" w:firstLineChars="200"/>
        <w:rPr>
          <w:b/>
          <w:highlight w:val="none"/>
        </w:rPr>
      </w:pPr>
      <w:r>
        <w:rPr>
          <w:rFonts w:hint="eastAsia"/>
          <w:b/>
        </w:rPr>
        <w:t>一、地表水</w:t>
      </w:r>
    </w:p>
    <w:p>
      <w:pPr>
        <w:ind w:firstLine="560" w:firstLineChars="200"/>
        <w:rPr>
          <w:rFonts w:cs="Times New Roman"/>
        </w:rPr>
      </w:pPr>
      <w:r>
        <w:rPr>
          <w:rFonts w:hint="eastAsia" w:cs="Times New Roman"/>
          <w:color w:val="333333"/>
          <w:highlight w:val="none"/>
          <w:shd w:val="clear" w:color="auto" w:fill="FFFFFF"/>
        </w:rPr>
        <w:t>1-12月，国控断面巴河控制断面手傍岩和巴河</w:t>
      </w:r>
      <w:r>
        <w:rPr>
          <w:rFonts w:hint="eastAsia" w:cs="Times New Roman"/>
          <w:color w:val="333333"/>
          <w:highlight w:val="none"/>
          <w:shd w:val="clear" w:color="auto" w:fill="FFFFFF"/>
          <w:lang w:eastAsia="zh-CN"/>
        </w:rPr>
        <w:t>巴州区</w:t>
      </w:r>
      <w:r>
        <w:rPr>
          <w:rFonts w:hint="eastAsia" w:cs="Times New Roman"/>
          <w:color w:val="333333"/>
          <w:highlight w:val="none"/>
          <w:shd w:val="clear" w:color="auto" w:fill="FFFFFF"/>
        </w:rPr>
        <w:t>出境断面</w:t>
      </w:r>
      <w:r>
        <w:rPr>
          <w:rFonts w:hint="eastAsia" w:cs="Times New Roman"/>
          <w:color w:val="333333"/>
          <w:highlight w:val="none"/>
          <w:shd w:val="clear" w:color="auto" w:fill="FFFFFF"/>
          <w:lang w:eastAsia="zh-CN"/>
        </w:rPr>
        <w:t>金碑</w:t>
      </w:r>
      <w:r>
        <w:rPr>
          <w:rFonts w:hint="eastAsia" w:cs="Times New Roman"/>
          <w:color w:val="333333"/>
          <w:highlight w:val="none"/>
          <w:shd w:val="clear" w:color="auto" w:fill="FFFFFF"/>
        </w:rPr>
        <w:t>水质</w:t>
      </w:r>
      <w:r>
        <w:rPr>
          <w:rFonts w:hint="eastAsia" w:cs="Times New Roman"/>
          <w:color w:val="333333"/>
          <w:shd w:val="clear" w:color="auto" w:fill="FFFFFF"/>
        </w:rPr>
        <w:t>均为Ⅱ类水质，优于省政府下达的水质目标。手傍岩断面同比水质有所变好</w:t>
      </w:r>
      <w:r>
        <w:rPr>
          <w:rFonts w:hint="eastAsia" w:cs="Times New Roman"/>
        </w:rPr>
        <w:t>。</w:t>
      </w:r>
    </w:p>
    <w:p>
      <w:pPr>
        <w:ind w:firstLine="562" w:firstLineChars="200"/>
        <w:rPr>
          <w:b/>
        </w:rPr>
      </w:pPr>
      <w:r>
        <w:rPr>
          <w:rFonts w:hint="eastAsia"/>
          <w:b/>
        </w:rPr>
        <w:t>二、水源地</w:t>
      </w:r>
    </w:p>
    <w:p>
      <w:pPr>
        <w:ind w:firstLine="560" w:firstLineChars="200"/>
        <w:rPr>
          <w:rFonts w:hint="eastAsia" w:eastAsia="仿宋" w:cs="Times New Roman"/>
          <w:lang w:eastAsia="zh-CN"/>
        </w:rPr>
      </w:pPr>
      <w:r>
        <w:rPr>
          <w:rFonts w:hint="eastAsia" w:cs="Times New Roman"/>
        </w:rPr>
        <w:t>1-12月，全</w:t>
      </w:r>
      <w:r>
        <w:rPr>
          <w:rFonts w:hint="eastAsia" w:cs="Times New Roman"/>
          <w:lang w:eastAsia="zh-CN"/>
        </w:rPr>
        <w:t>区</w:t>
      </w:r>
      <w:r>
        <w:rPr>
          <w:rFonts w:hint="eastAsia" w:cs="Times New Roman"/>
          <w:lang w:val="en-US" w:eastAsia="zh-CN"/>
        </w:rPr>
        <w:t>2</w:t>
      </w:r>
      <w:r>
        <w:rPr>
          <w:rFonts w:hint="eastAsia" w:cs="Times New Roman"/>
        </w:rPr>
        <w:t>个城市</w:t>
      </w:r>
      <w:r>
        <w:rPr>
          <w:rFonts w:hint="eastAsia" w:cs="Times New Roman"/>
          <w:lang w:eastAsia="zh-CN"/>
        </w:rPr>
        <w:t>和</w:t>
      </w:r>
      <w:r>
        <w:rPr>
          <w:rFonts w:hint="eastAsia" w:cs="Times New Roman"/>
          <w:lang w:val="en-US" w:eastAsia="zh-CN"/>
        </w:rPr>
        <w:t>51个乡镇及以下</w:t>
      </w:r>
      <w:r>
        <w:rPr>
          <w:rFonts w:hint="eastAsia" w:cs="Times New Roman"/>
        </w:rPr>
        <w:t>集中式饮用水水源地水质达标率为100%，水质类别均达到或优于《地表水环境质量标准》Ⅲ类水质标准，各水源地同比水质均为无明显变化</w:t>
      </w:r>
      <w:r>
        <w:rPr>
          <w:rFonts w:cs="Times New Roman"/>
        </w:rPr>
        <w:t>。</w:t>
      </w:r>
    </w:p>
    <w:p>
      <w:pPr>
        <w:pStyle w:val="2"/>
      </w:pPr>
      <w:bookmarkStart w:id="59" w:name="_Toc26337"/>
      <w:bookmarkStart w:id="60" w:name="_Toc23623"/>
      <w:r>
        <w:rPr>
          <w:rFonts w:hint="eastAsia"/>
        </w:rPr>
        <w:t>2.3.3 土壤环境</w:t>
      </w:r>
      <w:r>
        <w:t>质量</w:t>
      </w:r>
      <w:bookmarkEnd w:id="59"/>
      <w:bookmarkEnd w:id="60"/>
    </w:p>
    <w:p>
      <w:pPr>
        <w:ind w:firstLine="560" w:firstLineChars="200"/>
        <w:rPr>
          <w:rFonts w:hint="default" w:eastAsia="仿宋" w:cs="Times New Roman"/>
          <w:lang w:val="en-US" w:eastAsia="zh-CN"/>
        </w:rPr>
      </w:pPr>
      <w:r>
        <w:rPr>
          <w:rFonts w:hint="eastAsia" w:cs="Times New Roman"/>
          <w:lang w:eastAsia="zh-CN"/>
        </w:rPr>
        <w:t>巴州区基本农田土壤中阳离子交换量含量在</w:t>
      </w:r>
      <w:r>
        <w:rPr>
          <w:rFonts w:hint="eastAsia" w:cs="Times New Roman"/>
          <w:lang w:val="en-US" w:eastAsia="zh-CN"/>
        </w:rPr>
        <w:t>12.6~18.1cmol/kg之间，有机质含量在17.9～32.0mg/kg之间，土壤肥力水平、保肥能力和缓冲能力较好，且土壤重金属污染物和有机农药单因子评价值均小于1，属于清洁无污染土壤。</w:t>
      </w:r>
    </w:p>
    <w:p>
      <w:pPr>
        <w:pStyle w:val="2"/>
      </w:pPr>
      <w:bookmarkStart w:id="61" w:name="_Toc19115"/>
      <w:bookmarkStart w:id="62" w:name="_Toc7450"/>
      <w:r>
        <w:rPr>
          <w:rFonts w:hint="eastAsia"/>
        </w:rPr>
        <w:t>2.3.4 现存环境问题分析</w:t>
      </w:r>
      <w:bookmarkEnd w:id="61"/>
      <w:bookmarkEnd w:id="62"/>
    </w:p>
    <w:p>
      <w:pPr>
        <w:ind w:firstLine="560" w:firstLineChars="200"/>
        <w:rPr>
          <w:rFonts w:ascii="仿宋" w:hAnsi="仿宋"/>
        </w:rPr>
      </w:pPr>
      <w:r>
        <w:rPr>
          <w:rFonts w:hint="eastAsia" w:ascii="仿宋" w:hAnsi="仿宋"/>
          <w:lang w:eastAsia="zh-CN"/>
        </w:rPr>
        <w:t>巴州</w:t>
      </w:r>
      <w:r>
        <w:rPr>
          <w:rFonts w:hint="eastAsia" w:ascii="仿宋" w:hAnsi="仿宋"/>
        </w:rPr>
        <w:t>区土地生态安全程度总体处于上升趋势，土地生态环境不断恢复，土地生态安全状况向着更加有利的方向发展。耕地总体农药施用量不大，但仍然呈递</w:t>
      </w:r>
      <w:r>
        <w:rPr>
          <w:rFonts w:hint="eastAsia" w:ascii="仿宋" w:hAnsi="仿宋"/>
          <w:lang w:eastAsia="zh-CN"/>
        </w:rPr>
        <w:t>增</w:t>
      </w:r>
      <w:r>
        <w:rPr>
          <w:rFonts w:hint="eastAsia" w:ascii="仿宋" w:hAnsi="仿宋"/>
        </w:rPr>
        <w:t>的趋势，需要注意的是过度施用化肥、农药等化学品会导致</w:t>
      </w:r>
      <w:r>
        <w:rPr>
          <w:rFonts w:hint="eastAsia" w:ascii="仿宋" w:hAnsi="仿宋"/>
          <w:lang w:eastAsia="zh-CN"/>
        </w:rPr>
        <w:t>土壤污染</w:t>
      </w:r>
      <w:r>
        <w:rPr>
          <w:rFonts w:hint="eastAsia" w:ascii="仿宋" w:hAnsi="仿宋"/>
        </w:rPr>
        <w:t>，使</w:t>
      </w:r>
      <w:r>
        <w:rPr>
          <w:rFonts w:hint="eastAsia" w:ascii="仿宋" w:hAnsi="仿宋"/>
          <w:szCs w:val="28"/>
        </w:rPr>
        <w:t>部分农用地调查结果高于农用地土壤污染风险筛选值，</w:t>
      </w:r>
      <w:r>
        <w:rPr>
          <w:rFonts w:hint="eastAsia" w:ascii="仿宋" w:hAnsi="仿宋"/>
        </w:rPr>
        <w:t>同时有可能威胁粮食、食品安全状况。</w:t>
      </w:r>
    </w:p>
    <w:p>
      <w:pPr>
        <w:ind w:firstLine="560" w:firstLineChars="200"/>
        <w:rPr>
          <w:rFonts w:cs="Times New Roman"/>
          <w:color w:val="333333"/>
          <w:shd w:val="clear" w:color="auto" w:fill="FFFFFF"/>
        </w:rPr>
      </w:pPr>
      <w:r>
        <w:rPr>
          <w:rFonts w:hint="eastAsia" w:cs="Times New Roman"/>
          <w:color w:val="333333"/>
          <w:shd w:val="clear" w:color="auto" w:fill="FFFFFF"/>
        </w:rPr>
        <w:t>环境空气质量主要受工业、交通运输的影响。</w:t>
      </w:r>
      <w:r>
        <w:rPr>
          <w:rFonts w:hint="eastAsia" w:cs="Times New Roman"/>
          <w:color w:val="333333"/>
          <w:shd w:val="clear" w:color="auto" w:fill="FFFFFF"/>
          <w:lang w:eastAsia="zh-CN"/>
        </w:rPr>
        <w:t>巴州</w:t>
      </w:r>
      <w:r>
        <w:rPr>
          <w:rFonts w:hint="eastAsia" w:cs="Times New Roman"/>
          <w:color w:val="333333"/>
          <w:shd w:val="clear" w:color="auto" w:fill="FFFFFF"/>
        </w:rPr>
        <w:t>区植被覆盖率较高，一定程度上对净化环境空气具有良好的作用。全区严格落实扬尘污染防治长效机制，开展建筑施工、交通运输、城市清扫等扬尘专项整治；严控秸秆焚烧。</w:t>
      </w:r>
    </w:p>
    <w:p>
      <w:pPr>
        <w:ind w:firstLine="560" w:firstLineChars="200"/>
        <w:rPr>
          <w:rFonts w:cs="Times New Roman"/>
          <w:color w:val="333333"/>
          <w:shd w:val="clear" w:color="auto" w:fill="FFFFFF"/>
        </w:rPr>
      </w:pPr>
      <w:r>
        <w:rPr>
          <w:rFonts w:hint="eastAsia" w:cs="Times New Roman"/>
          <w:color w:val="333333"/>
          <w:shd w:val="clear" w:color="auto" w:fill="FFFFFF"/>
        </w:rPr>
        <w:t>水环境主要受农村生活污水、工业废水以及畜禽养殖废水影响。全区范围内部分畜禽粪污在未经有效处理情况下排放，粪污资源浪费严重；养殖业数量多、规模化比重较小，畜禽粪污处理能力弱，增加了粪污治理及资源化利用的难度。</w:t>
      </w:r>
    </w:p>
    <w:p>
      <w:pPr>
        <w:pStyle w:val="4"/>
        <w:spacing w:before="190" w:after="190"/>
      </w:pPr>
      <w:bookmarkStart w:id="63" w:name="_Toc7488"/>
      <w:bookmarkStart w:id="64" w:name="_Toc10303"/>
      <w:r>
        <w:rPr>
          <w:rFonts w:hint="eastAsia"/>
        </w:rPr>
        <w:t>2.4 养殖污染防治现状</w:t>
      </w:r>
      <w:bookmarkEnd w:id="63"/>
      <w:bookmarkEnd w:id="64"/>
    </w:p>
    <w:p>
      <w:pPr>
        <w:pStyle w:val="2"/>
        <w:spacing w:line="360" w:lineRule="auto"/>
      </w:pPr>
      <w:bookmarkStart w:id="65" w:name="_Toc9559"/>
      <w:bookmarkStart w:id="66" w:name="_Toc28386"/>
      <w:r>
        <w:rPr>
          <w:rFonts w:hint="eastAsia"/>
        </w:rPr>
        <w:t>2.4.1 养殖业现状</w:t>
      </w:r>
      <w:bookmarkEnd w:id="65"/>
      <w:bookmarkEnd w:id="66"/>
    </w:p>
    <w:p>
      <w:pPr>
        <w:pStyle w:val="51"/>
      </w:pPr>
      <w:r>
        <w:rPr>
          <w:rFonts w:hint="eastAsia"/>
        </w:rPr>
        <w:t>2.4.1.1 养殖业</w:t>
      </w:r>
      <w:r>
        <w:t>总体情况</w:t>
      </w:r>
    </w:p>
    <w:p>
      <w:pPr>
        <w:pStyle w:val="51"/>
        <w:ind w:firstLine="560" w:firstLineChars="200"/>
      </w:pPr>
      <w:r>
        <w:rPr>
          <w:rFonts w:hint="eastAsia"/>
          <w:b w:val="0"/>
          <w:lang w:eastAsia="zh-CN"/>
        </w:rPr>
        <w:t>巴州</w:t>
      </w:r>
      <w:r>
        <w:rPr>
          <w:rFonts w:hint="eastAsia"/>
          <w:b w:val="0"/>
        </w:rPr>
        <w:t>区畜禽养殖种类主要有生猪、肉牛、奶牛、羊、蛋鸡、肉鸡等。按照《畜禽养殖防治规划编制指南（试行）》（环办土壤函〔2021〕465号），各畜禽存栏量以出栏量折算，猪当量折算按表2-4-1折算。</w:t>
      </w:r>
      <w:r>
        <w:rPr>
          <w:rFonts w:hint="eastAsia"/>
          <w:b w:val="0"/>
          <w:lang w:eastAsia="zh-CN"/>
        </w:rPr>
        <w:t>巴州</w:t>
      </w:r>
      <w:r>
        <w:rPr>
          <w:rFonts w:hint="eastAsia"/>
          <w:b w:val="0"/>
        </w:rPr>
        <w:t>区2020年畜禽总养殖量见表2-4-2。由表2-4-2可知，2020年</w:t>
      </w:r>
      <w:r>
        <w:rPr>
          <w:rFonts w:hint="eastAsia"/>
          <w:b w:val="0"/>
          <w:lang w:eastAsia="zh-CN"/>
        </w:rPr>
        <w:t>巴州</w:t>
      </w:r>
      <w:r>
        <w:rPr>
          <w:rFonts w:hint="eastAsia"/>
          <w:b w:val="0"/>
        </w:rPr>
        <w:t>区畜禽养殖总量为</w:t>
      </w:r>
      <w:r>
        <w:rPr>
          <w:rFonts w:hint="eastAsia"/>
          <w:b w:val="0"/>
          <w:lang w:val="en-US" w:eastAsia="zh-CN"/>
        </w:rPr>
        <w:t>568430</w:t>
      </w:r>
      <w:r>
        <w:rPr>
          <w:rFonts w:hint="eastAsia"/>
          <w:b w:val="0"/>
        </w:rPr>
        <w:t>猪当量，其中生猪占有养殖优势，接近</w:t>
      </w:r>
      <w:r>
        <w:rPr>
          <w:rFonts w:hint="eastAsia"/>
          <w:b w:val="0"/>
          <w:lang w:val="en-US" w:eastAsia="zh-CN"/>
        </w:rPr>
        <w:t>35</w:t>
      </w:r>
      <w:r>
        <w:rPr>
          <w:rFonts w:hint="eastAsia"/>
          <w:b w:val="0"/>
        </w:rPr>
        <w:t>万头，其次为</w:t>
      </w:r>
      <w:r>
        <w:rPr>
          <w:rFonts w:hint="eastAsia"/>
          <w:b w:val="0"/>
          <w:lang w:eastAsia="zh-CN"/>
        </w:rPr>
        <w:t>牛</w:t>
      </w:r>
      <w:r>
        <w:rPr>
          <w:rFonts w:hint="eastAsia"/>
          <w:b w:val="0"/>
        </w:rPr>
        <w:t>类，养殖总量为</w:t>
      </w:r>
      <w:r>
        <w:rPr>
          <w:rFonts w:hint="eastAsia"/>
          <w:b w:val="0"/>
          <w:lang w:val="en-US" w:eastAsia="zh-CN"/>
        </w:rPr>
        <w:t>14</w:t>
      </w:r>
      <w:r>
        <w:rPr>
          <w:rFonts w:hint="eastAsia"/>
          <w:b w:val="0"/>
        </w:rPr>
        <w:t>万头猪当量。</w:t>
      </w:r>
    </w:p>
    <w:p>
      <w:pPr>
        <w:pStyle w:val="50"/>
      </w:pPr>
      <w:r>
        <w:rPr>
          <w:rFonts w:hint="eastAsia"/>
        </w:rPr>
        <w:t>表</w:t>
      </w:r>
      <w:r>
        <w:t>2-</w:t>
      </w:r>
      <w:r>
        <w:rPr>
          <w:rFonts w:hint="eastAsia"/>
        </w:rPr>
        <w:t>4-</w:t>
      </w:r>
      <w:r>
        <w:t xml:space="preserve">1 </w:t>
      </w:r>
      <w:r>
        <w:rPr>
          <w:rFonts w:hint="eastAsia"/>
        </w:rPr>
        <w:t>畜禽数量折算猪当量数量表</w:t>
      </w:r>
    </w:p>
    <w:tbl>
      <w:tblPr>
        <w:tblStyle w:val="23"/>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2952"/>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dxa"/>
          </w:tcPr>
          <w:p>
            <w:pPr>
              <w:pStyle w:val="51"/>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畜禽种类</w:t>
            </w:r>
          </w:p>
        </w:tc>
        <w:tc>
          <w:tcPr>
            <w:tcW w:w="2952" w:type="dxa"/>
          </w:tcPr>
          <w:p>
            <w:pPr>
              <w:pStyle w:val="51"/>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畜禽数量</w:t>
            </w:r>
          </w:p>
        </w:tc>
        <w:tc>
          <w:tcPr>
            <w:tcW w:w="2958" w:type="dxa"/>
          </w:tcPr>
          <w:p>
            <w:pPr>
              <w:pStyle w:val="51"/>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猪当量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生猪</w:t>
            </w:r>
          </w:p>
        </w:tc>
        <w:tc>
          <w:tcPr>
            <w:tcW w:w="2952"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eastAsia"/>
                <w:b w:val="0"/>
                <w:sz w:val="24"/>
                <w:szCs w:val="24"/>
              </w:rPr>
              <w:t>1</w:t>
            </w:r>
            <w:r>
              <w:rPr>
                <w:rFonts w:hint="default"/>
                <w:b w:val="0"/>
                <w:sz w:val="24"/>
                <w:szCs w:val="24"/>
              </w:rPr>
              <w:t>头</w:t>
            </w:r>
          </w:p>
        </w:tc>
        <w:tc>
          <w:tcPr>
            <w:tcW w:w="2958"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eastAsia"/>
                <w:b w:val="0"/>
                <w:sz w:val="24"/>
                <w:szCs w:val="24"/>
              </w:rPr>
              <w:t>1</w:t>
            </w:r>
            <w:r>
              <w:rPr>
                <w:rFonts w:hint="default"/>
                <w:b w:val="0"/>
                <w:sz w:val="24"/>
                <w:szCs w:val="24"/>
              </w:rPr>
              <w:t>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奶牛</w:t>
            </w:r>
          </w:p>
        </w:tc>
        <w:tc>
          <w:tcPr>
            <w:tcW w:w="2952"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15头奶牛</w:t>
            </w:r>
          </w:p>
        </w:tc>
        <w:tc>
          <w:tcPr>
            <w:tcW w:w="2958"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100头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61"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肉牛</w:t>
            </w:r>
          </w:p>
        </w:tc>
        <w:tc>
          <w:tcPr>
            <w:tcW w:w="2952"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30头肉牛</w:t>
            </w:r>
          </w:p>
        </w:tc>
        <w:tc>
          <w:tcPr>
            <w:tcW w:w="2958" w:type="dxa"/>
          </w:tcPr>
          <w:p>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100头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羊</w:t>
            </w:r>
          </w:p>
        </w:tc>
        <w:tc>
          <w:tcPr>
            <w:tcW w:w="2952"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250只羊</w:t>
            </w:r>
          </w:p>
        </w:tc>
        <w:tc>
          <w:tcPr>
            <w:tcW w:w="2958" w:type="dxa"/>
          </w:tcPr>
          <w:p>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100头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家禽</w:t>
            </w:r>
          </w:p>
        </w:tc>
        <w:tc>
          <w:tcPr>
            <w:tcW w:w="2952" w:type="dxa"/>
          </w:tcPr>
          <w:p>
            <w:pPr>
              <w:pStyle w:val="51"/>
              <w:keepNext w:val="0"/>
              <w:keepLines w:val="0"/>
              <w:suppressLineNumbers w:val="0"/>
              <w:spacing w:before="0" w:beforeAutospacing="0" w:after="0" w:afterAutospacing="0"/>
              <w:ind w:left="0" w:right="0"/>
              <w:jc w:val="center"/>
              <w:rPr>
                <w:rFonts w:hint="default"/>
                <w:b w:val="0"/>
                <w:sz w:val="24"/>
                <w:szCs w:val="24"/>
              </w:rPr>
            </w:pPr>
            <w:r>
              <w:rPr>
                <w:rFonts w:hint="default"/>
                <w:b w:val="0"/>
                <w:sz w:val="24"/>
                <w:szCs w:val="24"/>
              </w:rPr>
              <w:t>2500只家禽</w:t>
            </w:r>
          </w:p>
        </w:tc>
        <w:tc>
          <w:tcPr>
            <w:tcW w:w="2958" w:type="dxa"/>
          </w:tcPr>
          <w:p>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100头</w:t>
            </w:r>
          </w:p>
        </w:tc>
      </w:tr>
    </w:tbl>
    <w:p>
      <w:pPr>
        <w:pStyle w:val="50"/>
      </w:pPr>
      <w:r>
        <w:rPr>
          <w:rFonts w:hint="eastAsia"/>
        </w:rPr>
        <w:t>表2-4-2 区2020年畜禽养殖总量</w:t>
      </w:r>
    </w:p>
    <w:tbl>
      <w:tblPr>
        <w:tblStyle w:val="23"/>
        <w:tblW w:w="8720" w:type="dxa"/>
        <w:jc w:val="center"/>
        <w:tblLayout w:type="fixed"/>
        <w:tblCellMar>
          <w:top w:w="0" w:type="dxa"/>
          <w:left w:w="108" w:type="dxa"/>
          <w:bottom w:w="0" w:type="dxa"/>
          <w:right w:w="108" w:type="dxa"/>
        </w:tblCellMar>
      </w:tblPr>
      <w:tblGrid>
        <w:gridCol w:w="2750"/>
        <w:gridCol w:w="2160"/>
        <w:gridCol w:w="2280"/>
        <w:gridCol w:w="1530"/>
      </w:tblGrid>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畜禽名称</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2020年出栏数</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（头/只/羽）</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期末</w:t>
            </w:r>
            <w:r>
              <w:rPr>
                <w:rFonts w:hint="default" w:cs="Times New Roman"/>
                <w:b/>
                <w:color w:val="000000" w:themeColor="text1"/>
                <w:sz w:val="24"/>
                <w:szCs w:val="24"/>
                <w14:textFill>
                  <w14:solidFill>
                    <w14:schemeClr w14:val="tx1"/>
                  </w14:solidFill>
                </w14:textFill>
              </w:rPr>
              <w:t>存栏量</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（头/只/羽）</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猪当量</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（头）</w:t>
            </w:r>
          </w:p>
        </w:tc>
      </w:tr>
      <w:tr>
        <w:tblPrEx>
          <w:tblCellMar>
            <w:top w:w="0" w:type="dxa"/>
            <w:left w:w="108" w:type="dxa"/>
            <w:bottom w:w="0" w:type="dxa"/>
            <w:right w:w="108" w:type="dxa"/>
          </w:tblCellMar>
        </w:tblPrEx>
        <w:trPr>
          <w:trHeight w:val="270"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b/>
                <w:bCs/>
                <w:color w:val="000000"/>
                <w:sz w:val="24"/>
                <w:szCs w:val="24"/>
              </w:rPr>
            </w:pPr>
            <w:r>
              <w:rPr>
                <w:rFonts w:hint="default" w:cs="Times New Roman"/>
                <w:b/>
                <w:bCs/>
                <w:color w:val="000000"/>
                <w:kern w:val="0"/>
                <w:sz w:val="24"/>
                <w:szCs w:val="24"/>
              </w:rPr>
              <w:t>一、大牲畜当年出栏数</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bCs/>
                <w:color w:val="000000"/>
                <w:sz w:val="21"/>
                <w:szCs w:val="21"/>
                <w:lang w:val="en-US" w:eastAsia="zh-CN"/>
              </w:rPr>
            </w:pPr>
            <w:r>
              <w:rPr>
                <w:rFonts w:hint="eastAsia" w:eastAsia="宋体" w:cs="Times New Roman"/>
                <w:color w:val="000000"/>
                <w:kern w:val="0"/>
                <w:sz w:val="21"/>
                <w:szCs w:val="21"/>
                <w:lang w:val="en-US" w:eastAsia="zh-CN"/>
              </w:rPr>
              <w:t>23796</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54326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181086</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牛</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23796</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54326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color w:val="000000"/>
                <w:sz w:val="21"/>
                <w:szCs w:val="21"/>
              </w:rPr>
            </w:pPr>
            <w:r>
              <w:rPr>
                <w:rFonts w:hint="eastAsia" w:cs="Times New Roman"/>
                <w:color w:val="000000"/>
                <w:sz w:val="21"/>
                <w:szCs w:val="21"/>
                <w:lang w:val="en-US" w:eastAsia="zh-CN"/>
              </w:rPr>
              <w:t>181086</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Style w:val="69"/>
                <w:rFonts w:hint="default" w:ascii="Times New Roman" w:hAnsi="Times New Roman" w:eastAsia="仿宋" w:cs="Times New Roman"/>
                <w:sz w:val="24"/>
                <w:szCs w:val="24"/>
              </w:rPr>
              <w:t>（</w:t>
            </w:r>
            <w:r>
              <w:rPr>
                <w:rFonts w:hint="default" w:cs="Times New Roman"/>
                <w:color w:val="000000"/>
                <w:kern w:val="0"/>
                <w:sz w:val="24"/>
                <w:szCs w:val="24"/>
              </w:rPr>
              <w:t>1）黄牛</w:t>
            </w:r>
            <w:r>
              <w:rPr>
                <w:rFonts w:hint="eastAsia" w:cs="Times New Roman"/>
                <w:color w:val="000000"/>
                <w:kern w:val="0"/>
                <w:sz w:val="24"/>
                <w:szCs w:val="24"/>
                <w:lang w:val="en-US" w:eastAsia="zh-CN"/>
              </w:rPr>
              <w:t>/水牛</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eastAsia="宋体" w:cs="Times New Roman"/>
                <w:color w:val="000000"/>
                <w:kern w:val="0"/>
                <w:sz w:val="21"/>
                <w:szCs w:val="21"/>
                <w:lang w:val="en-US" w:eastAsia="zh-CN"/>
              </w:rPr>
              <w:t>23796</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54326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rPr>
            </w:pPr>
            <w:r>
              <w:rPr>
                <w:rFonts w:hint="eastAsia" w:cs="Times New Roman"/>
                <w:color w:val="000000"/>
                <w:sz w:val="21"/>
                <w:szCs w:val="21"/>
                <w:lang w:val="en-US" w:eastAsia="zh-CN"/>
              </w:rPr>
              <w:t>181086</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Style w:val="69"/>
                <w:rFonts w:hint="default" w:ascii="Times New Roman" w:hAnsi="Times New Roman" w:eastAsia="仿宋" w:cs="Times New Roman"/>
                <w:sz w:val="24"/>
                <w:szCs w:val="24"/>
              </w:rPr>
              <w:t>（</w:t>
            </w:r>
            <w:r>
              <w:rPr>
                <w:rFonts w:hint="default" w:cs="Times New Roman"/>
                <w:color w:val="000000"/>
                <w:kern w:val="0"/>
                <w:sz w:val="24"/>
                <w:szCs w:val="24"/>
              </w:rPr>
              <w:t>2）奶牛</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eastAsia="zh-CN"/>
              </w:rPr>
            </w:pPr>
            <w:r>
              <w:rPr>
                <w:rFonts w:hint="eastAsia" w:eastAsia="宋体" w:cs="Times New Roman"/>
                <w:color w:val="000000"/>
                <w:kern w:val="0"/>
                <w:sz w:val="21"/>
                <w:szCs w:val="21"/>
                <w:lang w:val="en-US" w:eastAsia="zh-CN"/>
              </w:rPr>
              <w:t>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eastAsia="zh-CN"/>
              </w:rPr>
            </w:pPr>
            <w:r>
              <w:rPr>
                <w:rFonts w:hint="eastAsia" w:eastAsia="宋体" w:cs="Times New Roman"/>
                <w:color w:val="000000"/>
                <w:kern w:val="0"/>
                <w:sz w:val="21"/>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eastAsia="zh-CN"/>
              </w:rPr>
            </w:pPr>
            <w:r>
              <w:rPr>
                <w:rFonts w:hint="eastAsia" w:eastAsia="宋体" w:cs="Times New Roman"/>
                <w:color w:val="000000"/>
                <w:kern w:val="0"/>
                <w:sz w:val="21"/>
                <w:szCs w:val="21"/>
                <w:lang w:val="en-US" w:eastAsia="zh-CN"/>
              </w:rPr>
              <w:t>0</w:t>
            </w:r>
          </w:p>
        </w:tc>
      </w:tr>
      <w:tr>
        <w:tblPrEx>
          <w:tblCellMar>
            <w:top w:w="0" w:type="dxa"/>
            <w:left w:w="108" w:type="dxa"/>
            <w:bottom w:w="0" w:type="dxa"/>
            <w:right w:w="108" w:type="dxa"/>
          </w:tblCellMar>
        </w:tblPrEx>
        <w:trPr>
          <w:trHeight w:val="270"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b/>
                <w:bCs/>
                <w:color w:val="000000"/>
                <w:sz w:val="24"/>
                <w:szCs w:val="24"/>
              </w:rPr>
            </w:pPr>
            <w:r>
              <w:rPr>
                <w:rFonts w:hint="default" w:cs="Times New Roman"/>
                <w:b/>
                <w:bCs/>
                <w:color w:val="000000"/>
                <w:kern w:val="0"/>
                <w:sz w:val="24"/>
                <w:szCs w:val="24"/>
              </w:rPr>
              <w:t>二、</w:t>
            </w:r>
            <w:r>
              <w:rPr>
                <w:rFonts w:hint="eastAsia" w:cs="Times New Roman"/>
                <w:b/>
                <w:bCs/>
                <w:color w:val="000000"/>
                <w:kern w:val="0"/>
                <w:sz w:val="24"/>
                <w:szCs w:val="24"/>
              </w:rPr>
              <w:t>生</w:t>
            </w:r>
            <w:r>
              <w:rPr>
                <w:rFonts w:hint="default" w:cs="Times New Roman"/>
                <w:b/>
                <w:bCs/>
                <w:color w:val="000000"/>
                <w:kern w:val="0"/>
                <w:sz w:val="24"/>
                <w:szCs w:val="24"/>
              </w:rPr>
              <w:t>猪</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bCs/>
                <w:color w:val="000000"/>
                <w:sz w:val="21"/>
                <w:szCs w:val="21"/>
                <w:lang w:val="en-US" w:eastAsia="zh-CN"/>
              </w:rPr>
            </w:pPr>
            <w:r>
              <w:rPr>
                <w:rFonts w:hint="eastAsia" w:cs="Times New Roman"/>
                <w:b w:val="0"/>
                <w:bCs w:val="0"/>
                <w:color w:val="000000"/>
                <w:sz w:val="21"/>
                <w:szCs w:val="21"/>
                <w:lang w:val="en-US" w:eastAsia="zh-CN"/>
              </w:rPr>
              <w:t>501410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bCs/>
                <w:color w:val="000000"/>
                <w:sz w:val="21"/>
                <w:szCs w:val="21"/>
                <w:lang w:val="en-US" w:eastAsia="zh-CN"/>
              </w:rPr>
            </w:pPr>
            <w:r>
              <w:rPr>
                <w:rFonts w:hint="eastAsia" w:eastAsia="宋体" w:cs="Times New Roman"/>
                <w:color w:val="000000"/>
                <w:kern w:val="0"/>
                <w:sz w:val="21"/>
                <w:szCs w:val="21"/>
                <w:lang w:val="en-US" w:eastAsia="zh-CN"/>
              </w:rPr>
              <w:t>381606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bCs/>
                <w:color w:val="000000"/>
                <w:sz w:val="21"/>
                <w:szCs w:val="21"/>
                <w:lang w:val="en-US" w:eastAsia="zh-CN"/>
              </w:rPr>
            </w:pPr>
            <w:r>
              <w:rPr>
                <w:rFonts w:hint="eastAsia" w:eastAsia="宋体" w:cs="Times New Roman"/>
                <w:color w:val="000000"/>
                <w:kern w:val="0"/>
                <w:sz w:val="21"/>
                <w:szCs w:val="21"/>
                <w:lang w:val="en-US" w:eastAsia="zh-CN"/>
              </w:rPr>
              <w:t>381606</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b/>
                <w:bCs/>
                <w:color w:val="000000"/>
                <w:sz w:val="24"/>
                <w:szCs w:val="24"/>
              </w:rPr>
            </w:pPr>
            <w:r>
              <w:rPr>
                <w:rFonts w:hint="default" w:cs="Times New Roman"/>
                <w:b/>
                <w:bCs/>
                <w:color w:val="000000"/>
                <w:kern w:val="0"/>
                <w:sz w:val="24"/>
                <w:szCs w:val="24"/>
              </w:rPr>
              <w:t>三、羊</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bCs/>
                <w:color w:val="000000"/>
                <w:sz w:val="21"/>
                <w:szCs w:val="21"/>
                <w:lang w:val="en-US" w:eastAsia="zh-CN"/>
              </w:rPr>
            </w:pPr>
            <w:r>
              <w:rPr>
                <w:rFonts w:hint="eastAsia" w:eastAsia="宋体" w:cs="Times New Roman"/>
                <w:color w:val="000000"/>
                <w:kern w:val="0"/>
                <w:sz w:val="21"/>
                <w:szCs w:val="21"/>
                <w:lang w:val="en-US" w:eastAsia="zh-CN"/>
              </w:rPr>
              <w:t>61352</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bCs/>
                <w:color w:val="000000"/>
                <w:sz w:val="21"/>
                <w:szCs w:val="21"/>
                <w:lang w:val="en-US" w:eastAsia="zh-CN"/>
              </w:rPr>
            </w:pPr>
            <w:r>
              <w:rPr>
                <w:rFonts w:hint="eastAsia" w:eastAsia="宋体" w:cs="Times New Roman"/>
                <w:color w:val="000000"/>
                <w:kern w:val="0"/>
                <w:sz w:val="21"/>
                <w:szCs w:val="21"/>
                <w:lang w:val="en-US" w:eastAsia="zh-CN"/>
              </w:rPr>
              <w:t>61352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val="0"/>
                <w:bCs w:val="0"/>
                <w:color w:val="000000"/>
                <w:sz w:val="21"/>
                <w:szCs w:val="21"/>
                <w:lang w:val="en-US" w:eastAsia="zh-CN"/>
              </w:rPr>
            </w:pPr>
            <w:r>
              <w:rPr>
                <w:rFonts w:hint="eastAsia" w:cs="Times New Roman"/>
                <w:b w:val="0"/>
                <w:bCs w:val="0"/>
                <w:color w:val="000000"/>
                <w:sz w:val="21"/>
                <w:szCs w:val="21"/>
                <w:lang w:val="en-US" w:eastAsia="zh-CN"/>
              </w:rPr>
              <w:t>24540</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b/>
                <w:bCs/>
                <w:color w:val="000000"/>
                <w:sz w:val="24"/>
                <w:szCs w:val="24"/>
              </w:rPr>
            </w:pPr>
            <w:r>
              <w:rPr>
                <w:rFonts w:hint="default" w:cs="Times New Roman"/>
                <w:b/>
                <w:bCs/>
                <w:color w:val="000000"/>
                <w:kern w:val="0"/>
                <w:sz w:val="24"/>
                <w:szCs w:val="24"/>
              </w:rPr>
              <w:t>四、家禽</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val="0"/>
                <w:bCs w:val="0"/>
                <w:color w:val="000000"/>
                <w:sz w:val="21"/>
                <w:szCs w:val="21"/>
                <w:lang w:val="en-US" w:eastAsia="zh-CN"/>
              </w:rPr>
            </w:pPr>
            <w:r>
              <w:rPr>
                <w:rFonts w:hint="eastAsia" w:cs="Times New Roman"/>
                <w:b w:val="0"/>
                <w:bCs w:val="0"/>
                <w:color w:val="000000"/>
                <w:sz w:val="21"/>
                <w:szCs w:val="21"/>
                <w:lang w:val="en-US" w:eastAsia="zh-CN"/>
              </w:rPr>
              <w:t>1947290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val="0"/>
                <w:bCs w:val="0"/>
                <w:color w:val="000000"/>
                <w:sz w:val="21"/>
                <w:szCs w:val="21"/>
                <w:lang w:val="en-US" w:eastAsia="zh-CN"/>
              </w:rPr>
            </w:pPr>
            <w:r>
              <w:rPr>
                <w:rFonts w:hint="eastAsia" w:cs="Times New Roman"/>
                <w:b w:val="0"/>
                <w:bCs w:val="0"/>
                <w:color w:val="000000"/>
                <w:sz w:val="21"/>
                <w:szCs w:val="21"/>
                <w:lang w:val="en-US" w:eastAsia="zh-CN"/>
              </w:rPr>
              <w:t>1067448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b w:val="0"/>
                <w:bCs w:val="0"/>
                <w:color w:val="000000"/>
                <w:sz w:val="21"/>
                <w:szCs w:val="21"/>
                <w:lang w:val="en-US" w:eastAsia="zh-CN"/>
              </w:rPr>
            </w:pPr>
            <w:r>
              <w:rPr>
                <w:rFonts w:hint="eastAsia" w:cs="Times New Roman"/>
                <w:b w:val="0"/>
                <w:bCs w:val="0"/>
                <w:color w:val="000000"/>
                <w:sz w:val="21"/>
                <w:szCs w:val="21"/>
                <w:lang w:val="en-US" w:eastAsia="zh-CN"/>
              </w:rPr>
              <w:t>42698</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鸡</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1573795</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883250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35330</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Style w:val="69"/>
                <w:rFonts w:hint="default" w:ascii="Times New Roman" w:hAnsi="Times New Roman" w:eastAsia="仿宋" w:cs="Times New Roman"/>
                <w:sz w:val="24"/>
                <w:szCs w:val="24"/>
              </w:rPr>
              <w:t>（</w:t>
            </w:r>
            <w:r>
              <w:rPr>
                <w:rFonts w:hint="default" w:cs="Times New Roman"/>
                <w:color w:val="000000"/>
                <w:kern w:val="0"/>
                <w:sz w:val="24"/>
                <w:szCs w:val="24"/>
              </w:rPr>
              <w:t>1）蛋鸡</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eastAsia="宋体" w:cs="Times New Roman"/>
                <w:color w:val="000000"/>
                <w:kern w:val="0"/>
                <w:sz w:val="21"/>
                <w:szCs w:val="21"/>
                <w:lang w:val="en-US" w:eastAsia="zh-CN"/>
              </w:rPr>
              <w:t>142540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5701</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Style w:val="69"/>
                <w:rFonts w:hint="default" w:ascii="Times New Roman" w:hAnsi="Times New Roman" w:eastAsia="仿宋" w:cs="Times New Roman"/>
                <w:sz w:val="24"/>
                <w:szCs w:val="24"/>
              </w:rPr>
              <w:t>（</w:t>
            </w:r>
            <w:r>
              <w:rPr>
                <w:rFonts w:hint="default" w:cs="Times New Roman"/>
                <w:color w:val="000000"/>
                <w:kern w:val="0"/>
                <w:sz w:val="24"/>
                <w:szCs w:val="24"/>
              </w:rPr>
              <w:t>2）</w:t>
            </w:r>
            <w:r>
              <w:rPr>
                <w:rFonts w:hint="eastAsia" w:cs="Times New Roman"/>
                <w:color w:val="000000"/>
                <w:kern w:val="0"/>
                <w:sz w:val="24"/>
                <w:szCs w:val="24"/>
                <w:lang w:eastAsia="zh-CN"/>
              </w:rPr>
              <w:t>兼用型鸡</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eastAsia="宋体" w:cs="Times New Roman"/>
                <w:color w:val="000000"/>
                <w:kern w:val="0"/>
                <w:sz w:val="21"/>
                <w:szCs w:val="21"/>
                <w:lang w:val="en-US" w:eastAsia="zh-CN"/>
              </w:rPr>
              <w:t>1573795</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rPr>
            </w:pPr>
            <w:r>
              <w:rPr>
                <w:rFonts w:hint="eastAsia" w:eastAsia="宋体" w:cs="Times New Roman"/>
                <w:color w:val="000000"/>
                <w:kern w:val="0"/>
                <w:sz w:val="21"/>
                <w:szCs w:val="21"/>
                <w:lang w:val="en-US" w:eastAsia="zh-CN"/>
              </w:rPr>
              <w:t>740710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29628</w:t>
            </w:r>
          </w:p>
        </w:tc>
      </w:tr>
      <w:tr>
        <w:tblPrEx>
          <w:tblCellMar>
            <w:top w:w="0" w:type="dxa"/>
            <w:left w:w="108" w:type="dxa"/>
            <w:bottom w:w="0" w:type="dxa"/>
            <w:right w:w="108" w:type="dxa"/>
          </w:tblCellMar>
        </w:tblPrEx>
        <w:trPr>
          <w:trHeight w:val="285"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Style w:val="69"/>
                <w:rFonts w:hint="eastAsia" w:ascii="Times New Roman" w:hAnsi="Times New Roman" w:eastAsia="仿宋" w:cs="Times New Roman"/>
                <w:sz w:val="24"/>
                <w:szCs w:val="24"/>
                <w:lang w:eastAsia="zh-CN"/>
              </w:rPr>
            </w:pPr>
            <w:r>
              <w:rPr>
                <w:rFonts w:hint="eastAsia" w:cs="Times New Roman"/>
                <w:color w:val="000000"/>
                <w:kern w:val="0"/>
                <w:sz w:val="24"/>
                <w:szCs w:val="24"/>
                <w:lang w:eastAsia="zh-CN"/>
              </w:rPr>
              <w:t>兔</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373495</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184198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7368</w:t>
            </w:r>
          </w:p>
        </w:tc>
      </w:tr>
      <w:tr>
        <w:tblPrEx>
          <w:tblCellMar>
            <w:top w:w="0" w:type="dxa"/>
            <w:left w:w="108" w:type="dxa"/>
            <w:bottom w:w="0" w:type="dxa"/>
            <w:right w:w="108" w:type="dxa"/>
          </w:tblCellMar>
        </w:tblPrEx>
        <w:trPr>
          <w:trHeight w:val="270" w:hRule="atLeast"/>
          <w:jc w:val="center"/>
        </w:trPr>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合计</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2533848</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1564732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629930</w:t>
            </w:r>
          </w:p>
        </w:tc>
      </w:tr>
    </w:tbl>
    <w:p>
      <w:pPr>
        <w:pStyle w:val="51"/>
        <w:ind w:firstLine="564"/>
      </w:pPr>
      <w:r>
        <w:t>一、规模养殖场</w:t>
      </w:r>
    </w:p>
    <w:p>
      <w:pPr>
        <w:pStyle w:val="51"/>
        <w:ind w:firstLine="560" w:firstLineChars="200"/>
        <w:rPr>
          <w:b w:val="0"/>
        </w:rPr>
      </w:pPr>
      <w:r>
        <w:rPr>
          <w:rFonts w:hint="eastAsia"/>
          <w:b w:val="0"/>
        </w:rPr>
        <w:t>我省目前执行的规模养殖场标准为：生猪</w:t>
      </w:r>
      <w:r>
        <w:rPr>
          <w:rFonts w:hint="eastAsia"/>
          <w:b w:val="0"/>
          <w:lang w:eastAsia="zh-CN"/>
        </w:rPr>
        <w:t>常年出栏</w:t>
      </w:r>
      <w:r>
        <w:rPr>
          <w:rFonts w:hint="eastAsia"/>
          <w:b w:val="0"/>
        </w:rPr>
        <w:t>量500头以上；</w:t>
      </w:r>
      <w:r>
        <w:rPr>
          <w:rFonts w:hint="eastAsia"/>
          <w:b w:val="0"/>
          <w:lang w:eastAsia="zh-CN"/>
        </w:rPr>
        <w:t>奶牛常年数量（头）存栏量</w:t>
      </w:r>
      <w:r>
        <w:rPr>
          <w:rFonts w:hint="eastAsia"/>
          <w:b w:val="0"/>
          <w:lang w:val="en-US" w:eastAsia="zh-CN"/>
        </w:rPr>
        <w:t>100头以上；</w:t>
      </w:r>
      <w:r>
        <w:rPr>
          <w:rFonts w:hint="eastAsia"/>
          <w:b w:val="0"/>
          <w:lang w:eastAsia="zh-CN"/>
        </w:rPr>
        <w:t>肉牛常年</w:t>
      </w:r>
      <w:r>
        <w:rPr>
          <w:rFonts w:hint="eastAsia"/>
          <w:b w:val="0"/>
          <w:lang w:val="en-US" w:eastAsia="zh-CN"/>
        </w:rPr>
        <w:t>存栏</w:t>
      </w:r>
      <w:r>
        <w:rPr>
          <w:rFonts w:hint="eastAsia"/>
          <w:b w:val="0"/>
        </w:rPr>
        <w:t>量</w:t>
      </w:r>
      <w:r>
        <w:rPr>
          <w:rFonts w:hint="eastAsia"/>
          <w:b w:val="0"/>
          <w:lang w:val="en-US" w:eastAsia="zh-CN"/>
        </w:rPr>
        <w:t>100</w:t>
      </w:r>
      <w:r>
        <w:rPr>
          <w:rFonts w:hint="eastAsia"/>
          <w:b w:val="0"/>
        </w:rPr>
        <w:t>头以上；</w:t>
      </w:r>
      <w:r>
        <w:rPr>
          <w:rFonts w:hint="eastAsia"/>
          <w:b w:val="0"/>
          <w:lang w:eastAsia="zh-CN"/>
        </w:rPr>
        <w:t>蛋鸡常年存栏量</w:t>
      </w:r>
      <w:r>
        <w:rPr>
          <w:rFonts w:hint="eastAsia"/>
          <w:b w:val="0"/>
          <w:lang w:val="en-US" w:eastAsia="zh-CN"/>
        </w:rPr>
        <w:t>2.5万羽以上；肉鸡常年出栏量3.5万羽以上</w:t>
      </w:r>
      <w:r>
        <w:rPr>
          <w:rFonts w:hint="eastAsia"/>
          <w:b w:val="0"/>
        </w:rPr>
        <w:t>；</w:t>
      </w:r>
      <w:r>
        <w:rPr>
          <w:rFonts w:hint="eastAsia"/>
          <w:b w:val="0"/>
          <w:lang w:eastAsia="zh-CN"/>
        </w:rPr>
        <w:t>肉</w:t>
      </w:r>
      <w:r>
        <w:rPr>
          <w:rFonts w:hint="eastAsia"/>
          <w:b w:val="0"/>
        </w:rPr>
        <w:t>羊</w:t>
      </w:r>
      <w:r>
        <w:rPr>
          <w:rFonts w:hint="eastAsia"/>
          <w:b w:val="0"/>
          <w:lang w:eastAsia="zh-CN"/>
        </w:rPr>
        <w:t>常年</w:t>
      </w:r>
      <w:r>
        <w:rPr>
          <w:rFonts w:hint="eastAsia"/>
          <w:b w:val="0"/>
        </w:rPr>
        <w:t>存栏量</w:t>
      </w:r>
      <w:r>
        <w:rPr>
          <w:rFonts w:hint="eastAsia"/>
          <w:b w:val="0"/>
          <w:lang w:val="en-US" w:eastAsia="zh-CN"/>
        </w:rPr>
        <w:t>300</w:t>
      </w:r>
      <w:r>
        <w:rPr>
          <w:rFonts w:hint="eastAsia"/>
          <w:b w:val="0"/>
        </w:rPr>
        <w:t>只以上；兔</w:t>
      </w:r>
      <w:r>
        <w:rPr>
          <w:rFonts w:hint="eastAsia"/>
          <w:b w:val="0"/>
          <w:lang w:eastAsia="zh-CN"/>
        </w:rPr>
        <w:t>常年</w:t>
      </w:r>
      <w:r>
        <w:rPr>
          <w:rFonts w:hint="eastAsia"/>
          <w:b w:val="0"/>
        </w:rPr>
        <w:t>存栏量</w:t>
      </w:r>
      <w:r>
        <w:rPr>
          <w:rFonts w:hint="eastAsia"/>
          <w:b w:val="0"/>
          <w:lang w:val="en-US" w:eastAsia="zh-CN"/>
        </w:rPr>
        <w:t>400</w:t>
      </w:r>
      <w:r>
        <w:rPr>
          <w:rFonts w:hint="eastAsia"/>
          <w:b w:val="0"/>
        </w:rPr>
        <w:t>只以上。</w:t>
      </w:r>
    </w:p>
    <w:p>
      <w:pPr>
        <w:pStyle w:val="51"/>
        <w:ind w:firstLine="560" w:firstLineChars="200"/>
        <w:rPr>
          <w:b w:val="0"/>
        </w:rPr>
      </w:pPr>
      <w:r>
        <w:rPr>
          <w:rFonts w:hint="eastAsia"/>
          <w:b w:val="0"/>
          <w:lang w:eastAsia="zh-CN"/>
        </w:rPr>
        <w:t>巴州</w:t>
      </w:r>
      <w:r>
        <w:rPr>
          <w:rFonts w:hint="eastAsia"/>
          <w:b w:val="0"/>
        </w:rPr>
        <w:t>区规模养殖场总体情况如表2-4-3。由表2-4-3可见，规模养殖场数量最多的是生猪（</w:t>
      </w:r>
      <w:r>
        <w:rPr>
          <w:rFonts w:hint="eastAsia"/>
          <w:b w:val="0"/>
          <w:lang w:val="en-US" w:eastAsia="zh-CN"/>
        </w:rPr>
        <w:t>218</w:t>
      </w:r>
      <w:r>
        <w:rPr>
          <w:rFonts w:hint="eastAsia"/>
          <w:b w:val="0"/>
        </w:rPr>
        <w:t>家）、其次为肉牛（</w:t>
      </w:r>
      <w:r>
        <w:rPr>
          <w:rFonts w:hint="eastAsia"/>
          <w:b w:val="0"/>
          <w:lang w:val="en-US" w:eastAsia="zh-CN"/>
        </w:rPr>
        <w:t>37</w:t>
      </w:r>
      <w:r>
        <w:rPr>
          <w:rFonts w:hint="eastAsia"/>
          <w:b w:val="0"/>
        </w:rPr>
        <w:t>家），第三为</w:t>
      </w:r>
      <w:r>
        <w:rPr>
          <w:rFonts w:hint="eastAsia"/>
          <w:b w:val="0"/>
          <w:lang w:eastAsia="zh-CN"/>
        </w:rPr>
        <w:t>羊</w:t>
      </w:r>
      <w:r>
        <w:rPr>
          <w:rFonts w:hint="eastAsia"/>
          <w:b w:val="0"/>
        </w:rPr>
        <w:t>（12家）。规模养殖场养殖畜禽数量最多的是生猪，为</w:t>
      </w:r>
      <w:r>
        <w:rPr>
          <w:rFonts w:hint="eastAsia"/>
          <w:b w:val="0"/>
          <w:lang w:val="en-US" w:eastAsia="zh-CN"/>
        </w:rPr>
        <w:t>660762</w:t>
      </w:r>
      <w:r>
        <w:rPr>
          <w:rFonts w:hint="eastAsia"/>
          <w:b w:val="0"/>
        </w:rPr>
        <w:t>猪当量；其次是肉</w:t>
      </w:r>
      <w:r>
        <w:rPr>
          <w:rFonts w:hint="eastAsia"/>
          <w:b w:val="0"/>
          <w:lang w:eastAsia="zh-CN"/>
        </w:rPr>
        <w:t>牛</w:t>
      </w:r>
      <w:r>
        <w:rPr>
          <w:rFonts w:hint="eastAsia"/>
          <w:b w:val="0"/>
        </w:rPr>
        <w:t>，为</w:t>
      </w:r>
      <w:r>
        <w:rPr>
          <w:rFonts w:hint="eastAsia"/>
          <w:b w:val="0"/>
          <w:lang w:val="en-US" w:eastAsia="zh-CN"/>
        </w:rPr>
        <w:t>65077</w:t>
      </w:r>
      <w:r>
        <w:rPr>
          <w:rFonts w:hint="eastAsia"/>
          <w:b w:val="0"/>
        </w:rPr>
        <w:t>猪当量；第三为蛋鸡，为</w:t>
      </w:r>
      <w:r>
        <w:rPr>
          <w:rFonts w:hint="eastAsia"/>
          <w:b w:val="0"/>
          <w:lang w:val="en-US" w:eastAsia="zh-CN"/>
        </w:rPr>
        <w:t>21292</w:t>
      </w:r>
      <w:r>
        <w:rPr>
          <w:rFonts w:hint="eastAsia"/>
          <w:b w:val="0"/>
        </w:rPr>
        <w:t>猪当量。规模以上的养殖场主要集中在</w:t>
      </w:r>
      <w:r>
        <w:rPr>
          <w:rFonts w:hint="eastAsia"/>
          <w:b w:val="0"/>
          <w:lang w:eastAsia="zh-CN"/>
        </w:rPr>
        <w:t>鼎山镇、清江镇和曾口镇</w:t>
      </w:r>
      <w:r>
        <w:rPr>
          <w:rFonts w:hint="eastAsia"/>
          <w:b w:val="0"/>
        </w:rPr>
        <w:t>，分别为</w:t>
      </w:r>
      <w:r>
        <w:rPr>
          <w:rFonts w:hint="eastAsia"/>
          <w:b w:val="0"/>
          <w:lang w:val="en-US" w:eastAsia="zh-CN"/>
        </w:rPr>
        <w:t>50</w:t>
      </w:r>
      <w:r>
        <w:rPr>
          <w:rFonts w:hint="eastAsia"/>
          <w:b w:val="0"/>
        </w:rPr>
        <w:t>家</w:t>
      </w:r>
      <w:r>
        <w:rPr>
          <w:rFonts w:hint="eastAsia"/>
          <w:b w:val="0"/>
          <w:lang w:eastAsia="zh-CN"/>
        </w:rPr>
        <w:t>、</w:t>
      </w:r>
      <w:r>
        <w:rPr>
          <w:rFonts w:hint="eastAsia"/>
          <w:b w:val="0"/>
          <w:lang w:val="en-US" w:eastAsia="zh-CN"/>
        </w:rPr>
        <w:t>36家</w:t>
      </w:r>
      <w:r>
        <w:rPr>
          <w:rFonts w:hint="eastAsia"/>
          <w:b w:val="0"/>
        </w:rPr>
        <w:t>和</w:t>
      </w:r>
      <w:r>
        <w:rPr>
          <w:rFonts w:hint="eastAsia"/>
          <w:b w:val="0"/>
          <w:lang w:val="en-US" w:eastAsia="zh-CN"/>
        </w:rPr>
        <w:t>27</w:t>
      </w:r>
      <w:r>
        <w:rPr>
          <w:rFonts w:hint="eastAsia"/>
          <w:b w:val="0"/>
        </w:rPr>
        <w:t>家。</w:t>
      </w:r>
    </w:p>
    <w:p>
      <w:pPr>
        <w:pStyle w:val="50"/>
      </w:pPr>
      <w:r>
        <w:rPr>
          <w:rFonts w:hint="eastAsia"/>
        </w:rPr>
        <w:t>表2-4-3区畜禽</w:t>
      </w:r>
      <w:r>
        <w:t>规模养殖场总体情况</w:t>
      </w:r>
    </w:p>
    <w:tbl>
      <w:tblPr>
        <w:tblStyle w:val="23"/>
        <w:tblW w:w="9702" w:type="dxa"/>
        <w:jc w:val="center"/>
        <w:tblLayout w:type="fixed"/>
        <w:tblCellMar>
          <w:top w:w="0" w:type="dxa"/>
          <w:left w:w="108" w:type="dxa"/>
          <w:bottom w:w="0" w:type="dxa"/>
          <w:right w:w="108" w:type="dxa"/>
        </w:tblCellMar>
      </w:tblPr>
      <w:tblGrid>
        <w:gridCol w:w="1215"/>
        <w:gridCol w:w="594"/>
        <w:gridCol w:w="904"/>
        <w:gridCol w:w="486"/>
        <w:gridCol w:w="866"/>
        <w:gridCol w:w="462"/>
        <w:gridCol w:w="916"/>
        <w:gridCol w:w="504"/>
        <w:gridCol w:w="855"/>
        <w:gridCol w:w="578"/>
        <w:gridCol w:w="856"/>
        <w:gridCol w:w="589"/>
        <w:gridCol w:w="877"/>
      </w:tblGrid>
      <w:tr>
        <w:tblPrEx>
          <w:tblCellMar>
            <w:top w:w="0" w:type="dxa"/>
            <w:left w:w="108" w:type="dxa"/>
            <w:bottom w:w="0" w:type="dxa"/>
            <w:right w:w="108" w:type="dxa"/>
          </w:tblCellMar>
        </w:tblPrEx>
        <w:trPr>
          <w:trHeight w:val="330" w:hRule="atLeast"/>
          <w:tblHeader/>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镇</w:t>
            </w:r>
            <w:r>
              <w:rPr>
                <w:rFonts w:hint="eastAsia" w:cs="Times New Roman"/>
                <w:b/>
                <w:color w:val="000000" w:themeColor="text1"/>
                <w:sz w:val="24"/>
                <w:szCs w:val="24"/>
                <w14:textFill>
                  <w14:solidFill>
                    <w14:schemeClr w14:val="tx1"/>
                  </w14:solidFill>
                </w14:textFill>
              </w:rPr>
              <w:t>街</w:t>
            </w:r>
          </w:p>
        </w:tc>
        <w:tc>
          <w:tcPr>
            <w:tcW w:w="14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生猪</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蛋鸡</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兼用型</w:t>
            </w:r>
            <w:r>
              <w:rPr>
                <w:rFonts w:hint="default" w:cs="Times New Roman"/>
                <w:b/>
                <w:color w:val="000000" w:themeColor="text1"/>
                <w:sz w:val="24"/>
                <w:szCs w:val="24"/>
                <w14:textFill>
                  <w14:solidFill>
                    <w14:schemeClr w14:val="tx1"/>
                  </w14:solidFill>
                </w14:textFill>
              </w:rPr>
              <w:t>鸡</w:t>
            </w:r>
          </w:p>
        </w:tc>
        <w:tc>
          <w:tcPr>
            <w:tcW w:w="13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肉牛</w:t>
            </w:r>
          </w:p>
        </w:tc>
        <w:tc>
          <w:tcPr>
            <w:tcW w:w="14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羊</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兔</w:t>
            </w:r>
          </w:p>
        </w:tc>
      </w:tr>
      <w:tr>
        <w:tblPrEx>
          <w:tblCellMar>
            <w:top w:w="0" w:type="dxa"/>
            <w:left w:w="108" w:type="dxa"/>
            <w:bottom w:w="0" w:type="dxa"/>
            <w:right w:w="108" w:type="dxa"/>
          </w:tblCellMar>
        </w:tblPrEx>
        <w:trPr>
          <w:trHeight w:val="940" w:hRule="atLeast"/>
          <w:tblHeader/>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数量（头）</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数量（只）</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w:t>
            </w:r>
            <w:r>
              <w:rPr>
                <w:rFonts w:hint="eastAsia" w:cs="Times New Roman"/>
                <w:b/>
                <w:color w:val="000000" w:themeColor="text1"/>
                <w:sz w:val="24"/>
                <w:szCs w:val="24"/>
                <w14:textFill>
                  <w14:solidFill>
                    <w14:schemeClr w14:val="tx1"/>
                  </w14:solidFill>
                </w14:textFill>
              </w:rPr>
              <w:t>头</w:t>
            </w:r>
            <w:r>
              <w:rPr>
                <w:rFonts w:hint="default" w:cs="Times New Roman"/>
                <w:b/>
                <w:color w:val="000000" w:themeColor="text1"/>
                <w:sz w:val="24"/>
                <w:szCs w:val="24"/>
                <w14:textFill>
                  <w14:solidFill>
                    <w14:schemeClr w14:val="tx1"/>
                  </w14:solidFill>
                </w14:textFill>
              </w:rPr>
              <w:t>）</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w:t>
            </w:r>
            <w:r>
              <w:rPr>
                <w:rFonts w:hint="eastAsia" w:cs="Times New Roman"/>
                <w:b/>
                <w:color w:val="000000" w:themeColor="text1"/>
                <w:sz w:val="24"/>
                <w:szCs w:val="24"/>
                <w14:textFill>
                  <w14:solidFill>
                    <w14:schemeClr w14:val="tx1"/>
                  </w14:solidFill>
                </w14:textFill>
              </w:rPr>
              <w:t>头</w:t>
            </w:r>
            <w:r>
              <w:rPr>
                <w:rFonts w:hint="default" w:cs="Times New Roman"/>
                <w:b/>
                <w:color w:val="000000" w:themeColor="text1"/>
                <w:sz w:val="24"/>
                <w:szCs w:val="24"/>
                <w14:textFill>
                  <w14:solidFill>
                    <w14:schemeClr w14:val="tx1"/>
                  </w14:solidFill>
                </w14:textFill>
              </w:rPr>
              <w:t>）</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w:t>
            </w:r>
            <w:r>
              <w:rPr>
                <w:rFonts w:hint="eastAsia" w:cs="Times New Roman"/>
                <w:b/>
                <w:color w:val="000000" w:themeColor="text1"/>
                <w:sz w:val="24"/>
                <w:szCs w:val="24"/>
                <w14:textFill>
                  <w14:solidFill>
                    <w14:schemeClr w14:val="tx1"/>
                  </w14:solidFill>
                </w14:textFill>
              </w:rPr>
              <w:t>头</w:t>
            </w:r>
            <w:r>
              <w:rPr>
                <w:rFonts w:hint="default" w:cs="Times New Roman"/>
                <w:b/>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梁永镇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kern w:val="0"/>
                <w:sz w:val="21"/>
                <w:szCs w:val="21"/>
                <w:lang w:val="en-US" w:eastAsia="zh-CN"/>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kern w:val="0"/>
                <w:sz w:val="21"/>
                <w:szCs w:val="21"/>
                <w:lang w:val="en-US" w:eastAsia="zh-CN"/>
              </w:rPr>
              <w:t>44050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500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1</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1000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825"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eastAsia" w:cs="Times New Roman"/>
                <w:color w:val="000000"/>
                <w:kern w:val="0"/>
                <w:sz w:val="24"/>
                <w:szCs w:val="24"/>
                <w:lang w:eastAsia="zh-CN"/>
              </w:rPr>
              <w:t>清江镇</w:t>
            </w:r>
            <w:r>
              <w:rPr>
                <w:rFonts w:hint="default" w:cs="Times New Roman"/>
                <w:color w:val="000000"/>
                <w:kern w:val="0"/>
                <w:sz w:val="24"/>
                <w:szCs w:val="24"/>
              </w:rPr>
              <w:t xml:space="preserve"> </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24</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152700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25000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9</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1910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20000</w:t>
            </w:r>
          </w:p>
        </w:tc>
      </w:tr>
      <w:tr>
        <w:tblPrEx>
          <w:tblCellMar>
            <w:top w:w="0" w:type="dxa"/>
            <w:left w:w="108" w:type="dxa"/>
            <w:bottom w:w="0" w:type="dxa"/>
            <w:right w:w="108" w:type="dxa"/>
          </w:tblCellMar>
        </w:tblPrEx>
        <w:trPr>
          <w:trHeight w:val="690"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玉堂街道</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6</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13398</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52300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124000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3160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光辉镇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4</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8600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435"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大和乡</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13</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17650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220000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700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eastAsia" w:cs="Times New Roman"/>
                <w:color w:val="000000"/>
                <w:kern w:val="0"/>
                <w:sz w:val="24"/>
                <w:szCs w:val="24"/>
                <w:lang w:eastAsia="zh-CN"/>
              </w:rPr>
              <w:t>白庙乡</w:t>
            </w:r>
            <w:r>
              <w:rPr>
                <w:rFonts w:hint="default" w:cs="Times New Roman"/>
                <w:color w:val="000000"/>
                <w:kern w:val="0"/>
                <w:sz w:val="24"/>
                <w:szCs w:val="24"/>
              </w:rPr>
              <w:t xml:space="preserve"> </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10</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64600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330"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曾口镇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24</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161660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495</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大茅坪镇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17550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宕梁街道</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5800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鼎山镇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43</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71150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35000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10950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凤溪镇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16500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1000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化成镇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18160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30000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600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15000</w:t>
            </w:r>
          </w:p>
        </w:tc>
      </w:tr>
      <w:tr>
        <w:tblPrEx>
          <w:tblCellMar>
            <w:top w:w="0" w:type="dxa"/>
            <w:left w:w="108" w:type="dxa"/>
            <w:bottom w:w="0" w:type="dxa"/>
            <w:right w:w="108" w:type="dxa"/>
          </w:tblCellMar>
        </w:tblPrEx>
        <w:trPr>
          <w:trHeight w:val="441"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平梁镇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7300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200000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750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1500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三江镇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6000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天马山镇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12600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800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水宁寺镇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15544</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358</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枣林镇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8500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500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1500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江北街道</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8500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kern w:val="0"/>
                <w:sz w:val="21"/>
                <w:szCs w:val="21"/>
                <w:lang w:val="en-US" w:eastAsia="zh-CN"/>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kern w:val="0"/>
                <w:sz w:val="21"/>
                <w:szCs w:val="21"/>
                <w:lang w:val="en-US" w:eastAsia="zh-CN"/>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kern w:val="0"/>
                <w:sz w:val="21"/>
                <w:szCs w:val="21"/>
                <w:lang w:val="en-US" w:eastAsia="zh-CN"/>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kern w:val="0"/>
                <w:sz w:val="21"/>
                <w:szCs w:val="21"/>
                <w:lang w:val="en-US" w:eastAsia="zh-CN"/>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大罗镇</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19000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回风街道</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495"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合计</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218</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660762</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532300</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154000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37</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19523</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14</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6400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35000</w:t>
            </w:r>
          </w:p>
        </w:tc>
      </w:tr>
      <w:tr>
        <w:tblPrEx>
          <w:tblCellMar>
            <w:top w:w="0" w:type="dxa"/>
            <w:left w:w="108" w:type="dxa"/>
            <w:bottom w:w="0" w:type="dxa"/>
            <w:right w:w="108" w:type="dxa"/>
          </w:tblCellMar>
        </w:tblPrEx>
        <w:trPr>
          <w:trHeight w:val="1160"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以猪当量计</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660762</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21292</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6160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65077</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2560</w:t>
            </w:r>
          </w:p>
        </w:tc>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1400</w:t>
            </w:r>
          </w:p>
        </w:tc>
      </w:tr>
    </w:tbl>
    <w:p>
      <w:pPr>
        <w:pStyle w:val="51"/>
        <w:ind w:firstLine="564"/>
      </w:pPr>
      <w:r>
        <w:rPr>
          <w:rFonts w:hint="eastAsia"/>
        </w:rPr>
        <w:t>二</w:t>
      </w:r>
      <w:r>
        <w:t>、规模以下养殖户</w:t>
      </w:r>
    </w:p>
    <w:p>
      <w:pPr>
        <w:ind w:firstLine="560" w:firstLineChars="200"/>
      </w:pPr>
      <w:r>
        <w:rPr>
          <w:rFonts w:hint="eastAsia"/>
        </w:rPr>
        <w:t>未达到畜禽规模养殖场标准且养殖量生猪全年出栏≥50头、奶牛常年存栏≥5头、肉牛全年</w:t>
      </w:r>
      <w:r>
        <w:rPr>
          <w:rFonts w:hint="eastAsia"/>
          <w:lang w:val="en-US" w:eastAsia="zh-CN"/>
        </w:rPr>
        <w:t>存栏</w:t>
      </w:r>
      <w:r>
        <w:rPr>
          <w:rFonts w:hint="eastAsia"/>
        </w:rPr>
        <w:t>≥10头、蛋鸡常年存栏≥500羽、肉鸡全年出栏≥2000羽的单位或个体养殖户。</w:t>
      </w:r>
    </w:p>
    <w:p>
      <w:pPr>
        <w:ind w:firstLine="560" w:firstLineChars="200"/>
        <w:rPr>
          <w:szCs w:val="28"/>
        </w:rPr>
      </w:pPr>
      <w:r>
        <w:rPr>
          <w:rFonts w:hint="eastAsia"/>
          <w:lang w:eastAsia="zh-CN"/>
        </w:rPr>
        <w:t>巴州</w:t>
      </w:r>
      <w:r>
        <w:rPr>
          <w:rFonts w:hint="eastAsia"/>
        </w:rPr>
        <w:t>区规模以下养殖户总体情况如表2-4-4。由表2-4-4可见，规模以下养殖户数量最多的是生猪（</w:t>
      </w:r>
      <w:r>
        <w:rPr>
          <w:rFonts w:hint="eastAsia"/>
          <w:lang w:val="en-US" w:eastAsia="zh-CN"/>
        </w:rPr>
        <w:t>63</w:t>
      </w:r>
      <w:r>
        <w:rPr>
          <w:rFonts w:hint="eastAsia"/>
        </w:rPr>
        <w:t>家）、其次为肉牛（</w:t>
      </w:r>
      <w:r>
        <w:rPr>
          <w:rFonts w:hint="eastAsia"/>
          <w:lang w:val="en-US" w:eastAsia="zh-CN"/>
        </w:rPr>
        <w:t>35</w:t>
      </w:r>
      <w:r>
        <w:rPr>
          <w:rFonts w:hint="eastAsia"/>
        </w:rPr>
        <w:t>家），第三为</w:t>
      </w:r>
      <w:r>
        <w:rPr>
          <w:rFonts w:hint="eastAsia"/>
          <w:lang w:eastAsia="zh-CN"/>
        </w:rPr>
        <w:t>蛋鸡</w:t>
      </w:r>
      <w:r>
        <w:rPr>
          <w:rFonts w:hint="eastAsia"/>
        </w:rPr>
        <w:t>（</w:t>
      </w:r>
      <w:r>
        <w:rPr>
          <w:rFonts w:hint="eastAsia"/>
          <w:lang w:val="en-US" w:eastAsia="zh-CN"/>
        </w:rPr>
        <w:t>16</w:t>
      </w:r>
      <w:r>
        <w:rPr>
          <w:rFonts w:hint="eastAsia"/>
        </w:rPr>
        <w:t>家）。规模以下养殖户畜禽</w:t>
      </w:r>
      <w:r>
        <w:rPr>
          <w:rFonts w:hint="eastAsia"/>
          <w:szCs w:val="28"/>
        </w:rPr>
        <w:t>养殖数量最多的是生猪，为</w:t>
      </w:r>
      <w:r>
        <w:rPr>
          <w:rFonts w:hint="eastAsia" w:eastAsia="宋体" w:cs="Times New Roman"/>
          <w:color w:val="000000"/>
          <w:kern w:val="0"/>
          <w:szCs w:val="28"/>
          <w:lang w:val="en-US" w:eastAsia="zh-CN"/>
        </w:rPr>
        <w:t>208104</w:t>
      </w:r>
      <w:r>
        <w:rPr>
          <w:rFonts w:hint="eastAsia"/>
          <w:szCs w:val="28"/>
        </w:rPr>
        <w:t>猪当量；其次是肉牛，为</w:t>
      </w:r>
      <w:r>
        <w:rPr>
          <w:rFonts w:hint="eastAsia" w:eastAsia="宋体" w:cs="Times New Roman"/>
          <w:color w:val="000000"/>
          <w:kern w:val="0"/>
          <w:szCs w:val="28"/>
          <w:lang w:val="en-US" w:eastAsia="zh-CN"/>
        </w:rPr>
        <w:t>9887</w:t>
      </w:r>
      <w:r>
        <w:rPr>
          <w:rFonts w:hint="eastAsia"/>
          <w:szCs w:val="28"/>
        </w:rPr>
        <w:t>猪当量；第三是</w:t>
      </w:r>
      <w:r>
        <w:rPr>
          <w:rFonts w:hint="eastAsia"/>
          <w:szCs w:val="28"/>
          <w:lang w:eastAsia="zh-CN"/>
        </w:rPr>
        <w:t>兼用型鸡</w:t>
      </w:r>
      <w:r>
        <w:rPr>
          <w:rFonts w:hint="eastAsia"/>
          <w:szCs w:val="28"/>
        </w:rPr>
        <w:t>，为</w:t>
      </w:r>
      <w:r>
        <w:rPr>
          <w:rFonts w:hint="eastAsia" w:eastAsia="宋体" w:cs="Times New Roman"/>
          <w:color w:val="000000"/>
          <w:kern w:val="0"/>
          <w:szCs w:val="28"/>
          <w:lang w:val="en-US" w:eastAsia="zh-CN"/>
        </w:rPr>
        <w:t>9480</w:t>
      </w:r>
      <w:r>
        <w:rPr>
          <w:rFonts w:hint="eastAsia"/>
          <w:szCs w:val="28"/>
        </w:rPr>
        <w:t>猪当量。</w:t>
      </w:r>
    </w:p>
    <w:p>
      <w:pPr>
        <w:pStyle w:val="50"/>
        <w:rPr>
          <w:highlight w:val="yellow"/>
        </w:rPr>
      </w:pPr>
      <w:r>
        <w:rPr>
          <w:rFonts w:hint="eastAsia"/>
        </w:rPr>
        <w:t>表2-4-4 区畜禽</w:t>
      </w:r>
      <w:r>
        <w:t>规模</w:t>
      </w:r>
      <w:r>
        <w:rPr>
          <w:rFonts w:hint="eastAsia"/>
        </w:rPr>
        <w:t>以下养殖户</w:t>
      </w:r>
      <w:r>
        <w:t>总体情况</w:t>
      </w:r>
    </w:p>
    <w:tbl>
      <w:tblPr>
        <w:tblStyle w:val="23"/>
        <w:tblW w:w="9588" w:type="dxa"/>
        <w:jc w:val="center"/>
        <w:tblLayout w:type="fixed"/>
        <w:tblCellMar>
          <w:top w:w="0" w:type="dxa"/>
          <w:left w:w="108" w:type="dxa"/>
          <w:bottom w:w="0" w:type="dxa"/>
          <w:right w:w="108" w:type="dxa"/>
        </w:tblCellMar>
      </w:tblPr>
      <w:tblGrid>
        <w:gridCol w:w="1209"/>
        <w:gridCol w:w="596"/>
        <w:gridCol w:w="868"/>
        <w:gridCol w:w="510"/>
        <w:gridCol w:w="887"/>
        <w:gridCol w:w="478"/>
        <w:gridCol w:w="885"/>
        <w:gridCol w:w="465"/>
        <w:gridCol w:w="915"/>
        <w:gridCol w:w="512"/>
        <w:gridCol w:w="868"/>
        <w:gridCol w:w="510"/>
        <w:gridCol w:w="885"/>
      </w:tblGrid>
      <w:tr>
        <w:trPr>
          <w:trHeight w:val="318" w:hRule="atLeast"/>
          <w:tblHeader/>
          <w:jc w:val="center"/>
        </w:trPr>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镇</w:t>
            </w:r>
            <w:r>
              <w:rPr>
                <w:rFonts w:hint="eastAsia" w:cs="Times New Roman"/>
                <w:b/>
                <w:color w:val="000000" w:themeColor="text1"/>
                <w:sz w:val="24"/>
                <w:szCs w:val="24"/>
                <w14:textFill>
                  <w14:solidFill>
                    <w14:schemeClr w14:val="tx1"/>
                  </w14:solidFill>
                </w14:textFill>
              </w:rPr>
              <w:t>街</w:t>
            </w:r>
          </w:p>
        </w:tc>
        <w:tc>
          <w:tcPr>
            <w:tcW w:w="14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生猪</w:t>
            </w:r>
          </w:p>
        </w:tc>
        <w:tc>
          <w:tcPr>
            <w:tcW w:w="13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蛋鸡</w:t>
            </w:r>
          </w:p>
        </w:tc>
        <w:tc>
          <w:tcPr>
            <w:tcW w:w="1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兼用型</w:t>
            </w:r>
            <w:r>
              <w:rPr>
                <w:rFonts w:hint="default" w:cs="Times New Roman"/>
                <w:b/>
                <w:color w:val="000000" w:themeColor="text1"/>
                <w:sz w:val="24"/>
                <w:szCs w:val="24"/>
                <w14:textFill>
                  <w14:solidFill>
                    <w14:schemeClr w14:val="tx1"/>
                  </w14:solidFill>
                </w14:textFill>
              </w:rPr>
              <w:t>鸡</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肉牛</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羊</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兔</w:t>
            </w:r>
          </w:p>
        </w:tc>
      </w:tr>
      <w:tr>
        <w:tblPrEx>
          <w:tblCellMar>
            <w:top w:w="0" w:type="dxa"/>
            <w:left w:w="108" w:type="dxa"/>
            <w:bottom w:w="0" w:type="dxa"/>
            <w:right w:w="108" w:type="dxa"/>
          </w:tblCellMar>
        </w:tblPrEx>
        <w:trPr>
          <w:trHeight w:val="625" w:hRule="atLeast"/>
          <w:tblHeader/>
          <w:jc w:val="center"/>
        </w:trPr>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数量（头）</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数量（只）</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w:t>
            </w:r>
            <w:r>
              <w:rPr>
                <w:rFonts w:hint="eastAsia" w:cs="Times New Roman"/>
                <w:b/>
                <w:color w:val="000000" w:themeColor="text1"/>
                <w:sz w:val="24"/>
                <w:szCs w:val="24"/>
                <w14:textFill>
                  <w14:solidFill>
                    <w14:schemeClr w14:val="tx1"/>
                  </w14:solidFill>
                </w14:textFill>
              </w:rPr>
              <w:t>头</w:t>
            </w:r>
            <w:r>
              <w:rPr>
                <w:rFonts w:hint="default" w:cs="Times New Roman"/>
                <w:b/>
                <w:color w:val="000000" w:themeColor="text1"/>
                <w:sz w:val="24"/>
                <w:szCs w:val="24"/>
                <w14:textFill>
                  <w14:solidFill>
                    <w14:schemeClr w14:val="tx1"/>
                  </w14:solidFill>
                </w14:textFill>
              </w:rPr>
              <w:t>）</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w:t>
            </w:r>
            <w:r>
              <w:rPr>
                <w:rFonts w:hint="eastAsia" w:cs="Times New Roman"/>
                <w:b/>
                <w:color w:val="000000" w:themeColor="text1"/>
                <w:sz w:val="24"/>
                <w:szCs w:val="24"/>
                <w14:textFill>
                  <w14:solidFill>
                    <w14:schemeClr w14:val="tx1"/>
                  </w14:solidFill>
                </w14:textFill>
              </w:rPr>
              <w:t>头</w:t>
            </w:r>
            <w:r>
              <w:rPr>
                <w:rFonts w:hint="default" w:cs="Times New Roman"/>
                <w:b/>
                <w:color w:val="000000" w:themeColor="text1"/>
                <w:sz w:val="24"/>
                <w:szCs w:val="24"/>
                <w14:textFill>
                  <w14:solidFill>
                    <w14:schemeClr w14:val="tx1"/>
                  </w14:solidFill>
                </w14:textFill>
              </w:rPr>
              <w:t>）</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家数</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数量（</w:t>
            </w:r>
            <w:r>
              <w:rPr>
                <w:rFonts w:hint="eastAsia" w:cs="Times New Roman"/>
                <w:b/>
                <w:color w:val="000000" w:themeColor="text1"/>
                <w:sz w:val="24"/>
                <w:szCs w:val="24"/>
                <w14:textFill>
                  <w14:solidFill>
                    <w14:schemeClr w14:val="tx1"/>
                  </w14:solidFill>
                </w14:textFill>
              </w:rPr>
              <w:t>头</w:t>
            </w:r>
            <w:r>
              <w:rPr>
                <w:rFonts w:hint="default" w:cs="Times New Roman"/>
                <w:b/>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梁永镇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kern w:val="0"/>
                <w:sz w:val="21"/>
                <w:szCs w:val="21"/>
                <w:lang w:val="en-US" w:eastAsia="zh-CN"/>
              </w:rPr>
              <w:t>4</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kern w:val="0"/>
                <w:sz w:val="21"/>
                <w:szCs w:val="21"/>
                <w:lang w:val="en-US" w:eastAsia="zh-CN"/>
              </w:rPr>
              <w:t>3750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eastAsia" w:cs="Times New Roman"/>
                <w:color w:val="000000"/>
                <w:kern w:val="0"/>
                <w:sz w:val="24"/>
                <w:szCs w:val="24"/>
                <w:lang w:eastAsia="zh-CN"/>
              </w:rPr>
              <w:t>清江镇</w:t>
            </w:r>
            <w:r>
              <w:rPr>
                <w:rFonts w:hint="default" w:cs="Times New Roman"/>
                <w:color w:val="000000"/>
                <w:kern w:val="0"/>
                <w:sz w:val="24"/>
                <w:szCs w:val="24"/>
              </w:rPr>
              <w:t xml:space="preserve"> </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40000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3</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30000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7</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450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2</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400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玉堂街道</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124000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光辉镇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eastAsia="仿宋" w:cs="Times New Roman"/>
                <w:color w:val="000000"/>
                <w:sz w:val="24"/>
                <w:szCs w:val="24"/>
                <w:lang w:eastAsia="zh-CN"/>
              </w:rPr>
            </w:pPr>
            <w:r>
              <w:rPr>
                <w:rFonts w:hint="eastAsia" w:cs="Times New Roman"/>
                <w:color w:val="000000"/>
                <w:kern w:val="0"/>
                <w:sz w:val="24"/>
                <w:szCs w:val="24"/>
                <w:lang w:eastAsia="zh-CN"/>
              </w:rPr>
              <w:t>大和乡</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20000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eastAsia" w:cs="Times New Roman"/>
                <w:color w:val="000000"/>
                <w:kern w:val="0"/>
                <w:sz w:val="24"/>
                <w:szCs w:val="24"/>
                <w:lang w:eastAsia="zh-CN"/>
              </w:rPr>
              <w:t>白庙乡</w:t>
            </w:r>
            <w:r>
              <w:rPr>
                <w:rFonts w:hint="default" w:cs="Times New Roman"/>
                <w:color w:val="000000"/>
                <w:kern w:val="0"/>
                <w:sz w:val="24"/>
                <w:szCs w:val="24"/>
              </w:rPr>
              <w:t xml:space="preserve"> </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400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曾口镇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153400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355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大茅坪镇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3020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26000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宕梁街道</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鼎山镇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28020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50000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960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凤溪镇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化成镇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平梁镇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三江镇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620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天马山镇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50000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600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水宁寺镇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17394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22000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20000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851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285</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cs="Times New Roman"/>
                <w:color w:val="000000"/>
                <w:kern w:val="0"/>
                <w:sz w:val="24"/>
                <w:szCs w:val="24"/>
                <w:lang w:eastAsia="zh-CN"/>
              </w:rPr>
            </w:pPr>
            <w:r>
              <w:rPr>
                <w:rFonts w:hint="eastAsia" w:cs="Times New Roman"/>
                <w:color w:val="000000"/>
                <w:kern w:val="0"/>
                <w:sz w:val="24"/>
                <w:szCs w:val="24"/>
                <w:lang w:eastAsia="zh-CN"/>
              </w:rPr>
              <w:t>枣林镇</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10000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13000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kern w:val="0"/>
                <w:sz w:val="21"/>
                <w:szCs w:val="21"/>
                <w:lang w:val="en-US" w:eastAsia="zh-CN"/>
              </w:rPr>
            </w:pPr>
            <w:r>
              <w:rPr>
                <w:rFonts w:hint="eastAsia" w:cs="Times New Roman"/>
                <w:color w:val="000000"/>
                <w:kern w:val="0"/>
                <w:sz w:val="21"/>
                <w:szCs w:val="21"/>
                <w:lang w:val="en-US" w:eastAsia="zh-CN"/>
              </w:rPr>
              <w:t>900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kern w:val="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75"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合计</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63</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208104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168000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237000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54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2966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15</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2485</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sz w:val="21"/>
                <w:szCs w:val="21"/>
              </w:rPr>
            </w:pPr>
            <w:r>
              <w:rPr>
                <w:rFonts w:hint="eastAsia" w:cs="Times New Roman"/>
                <w:color w:val="000000"/>
                <w:sz w:val="21"/>
                <w:szCs w:val="21"/>
                <w:lang w:val="en-US" w:eastAsia="zh-CN"/>
              </w:rPr>
              <w:t>0</w:t>
            </w:r>
          </w:p>
        </w:tc>
      </w:tr>
      <w:tr>
        <w:tblPrEx>
          <w:tblCellMar>
            <w:top w:w="0" w:type="dxa"/>
            <w:left w:w="108" w:type="dxa"/>
            <w:bottom w:w="0" w:type="dxa"/>
            <w:right w:w="108" w:type="dxa"/>
          </w:tblCellMar>
        </w:tblPrEx>
        <w:trPr>
          <w:trHeight w:val="584" w:hRule="atLeast"/>
          <w:tblHeader/>
          <w:jc w:val="center"/>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sz w:val="24"/>
                <w:szCs w:val="24"/>
              </w:rPr>
            </w:pPr>
            <w:r>
              <w:rPr>
                <w:rFonts w:hint="default" w:cs="Times New Roman"/>
                <w:color w:val="000000"/>
                <w:kern w:val="0"/>
                <w:sz w:val="24"/>
                <w:szCs w:val="24"/>
              </w:rPr>
              <w:t>以猪当量计</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208104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6720</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9480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9887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eastAsia="仿宋" w:cs="Times New Roman"/>
                <w:color w:val="000000"/>
                <w:sz w:val="21"/>
                <w:szCs w:val="21"/>
                <w:lang w:val="en-US" w:eastAsia="zh-CN"/>
              </w:rPr>
            </w:pPr>
            <w:r>
              <w:rPr>
                <w:rFonts w:hint="eastAsia" w:cs="Times New Roman"/>
                <w:color w:val="000000"/>
                <w:sz w:val="21"/>
                <w:szCs w:val="21"/>
                <w:lang w:val="en-US" w:eastAsia="zh-CN"/>
              </w:rPr>
              <w:t>994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eastAsia="仿宋" w:cs="Times New Roman"/>
                <w:color w:val="000000"/>
                <w:sz w:val="21"/>
                <w:szCs w:val="21"/>
                <w:lang w:val="en-US" w:eastAsia="zh-CN"/>
              </w:rPr>
            </w:pPr>
            <w:r>
              <w:rPr>
                <w:rFonts w:hint="eastAsia" w:cs="Times New Roman"/>
                <w:color w:val="000000"/>
                <w:sz w:val="21"/>
                <w:szCs w:val="21"/>
                <w:lang w:val="en-US" w:eastAsia="zh-CN"/>
              </w:rPr>
              <w:t>0</w:t>
            </w:r>
          </w:p>
        </w:tc>
      </w:tr>
    </w:tbl>
    <w:p>
      <w:pPr>
        <w:ind w:firstLine="560" w:firstLineChars="200"/>
        <w:rPr>
          <w:bCs/>
          <w:highlight w:val="yellow"/>
        </w:rPr>
      </w:pPr>
      <w:r>
        <w:rPr>
          <w:rFonts w:hint="eastAsia"/>
          <w:bCs/>
          <w:lang w:eastAsia="zh-CN"/>
        </w:rPr>
        <w:t>巴州</w:t>
      </w:r>
      <w:r>
        <w:rPr>
          <w:rFonts w:hint="eastAsia"/>
          <w:bCs/>
        </w:rPr>
        <w:t>区畜禽养殖场分别为生猪</w:t>
      </w:r>
      <w:r>
        <w:rPr>
          <w:rFonts w:hint="eastAsia"/>
          <w:bCs/>
          <w:lang w:val="en-US" w:eastAsia="zh-CN"/>
        </w:rPr>
        <w:t>218</w:t>
      </w:r>
      <w:r>
        <w:rPr>
          <w:rFonts w:hint="eastAsia"/>
          <w:bCs/>
        </w:rPr>
        <w:t>家、</w:t>
      </w:r>
      <w:r>
        <w:rPr>
          <w:rFonts w:hint="eastAsia"/>
          <w:bCs/>
          <w:lang w:eastAsia="zh-CN"/>
        </w:rPr>
        <w:t>蛋鸡</w:t>
      </w:r>
      <w:r>
        <w:rPr>
          <w:rFonts w:hint="eastAsia"/>
          <w:bCs/>
          <w:lang w:val="en-US" w:eastAsia="zh-CN"/>
        </w:rPr>
        <w:t>11</w:t>
      </w:r>
      <w:r>
        <w:rPr>
          <w:rFonts w:hint="eastAsia"/>
          <w:bCs/>
        </w:rPr>
        <w:t>家、</w:t>
      </w:r>
      <w:r>
        <w:rPr>
          <w:rFonts w:hint="eastAsia"/>
          <w:bCs/>
          <w:lang w:eastAsia="zh-CN"/>
        </w:rPr>
        <w:t>兼用型鸡</w:t>
      </w:r>
      <w:r>
        <w:rPr>
          <w:rFonts w:hint="eastAsia"/>
          <w:bCs/>
          <w:lang w:val="en-US" w:eastAsia="zh-CN"/>
        </w:rPr>
        <w:t>5</w:t>
      </w:r>
      <w:r>
        <w:rPr>
          <w:rFonts w:hint="eastAsia"/>
          <w:bCs/>
        </w:rPr>
        <w:t>家、</w:t>
      </w:r>
      <w:r>
        <w:rPr>
          <w:rFonts w:hint="eastAsia"/>
          <w:bCs/>
          <w:lang w:eastAsia="zh-CN"/>
        </w:rPr>
        <w:t>肉牛</w:t>
      </w:r>
      <w:r>
        <w:rPr>
          <w:rFonts w:hint="eastAsia"/>
          <w:bCs/>
          <w:lang w:val="en-US" w:eastAsia="zh-CN"/>
        </w:rPr>
        <w:t>37</w:t>
      </w:r>
      <w:r>
        <w:rPr>
          <w:rFonts w:hint="eastAsia"/>
          <w:bCs/>
        </w:rPr>
        <w:t>家，</w:t>
      </w:r>
      <w:r>
        <w:rPr>
          <w:rFonts w:hint="eastAsia"/>
          <w:bCs/>
          <w:lang w:eastAsia="zh-CN"/>
        </w:rPr>
        <w:t>羊</w:t>
      </w:r>
      <w:r>
        <w:rPr>
          <w:rFonts w:hint="eastAsia"/>
          <w:bCs/>
          <w:lang w:val="en-US" w:eastAsia="zh-CN"/>
        </w:rPr>
        <w:t>14</w:t>
      </w:r>
      <w:r>
        <w:rPr>
          <w:rFonts w:hint="eastAsia"/>
          <w:bCs/>
        </w:rPr>
        <w:t>家，</w:t>
      </w:r>
      <w:r>
        <w:rPr>
          <w:rFonts w:hint="eastAsia"/>
          <w:bCs/>
          <w:lang w:eastAsia="zh-CN"/>
        </w:rPr>
        <w:t>兔</w:t>
      </w:r>
      <w:r>
        <w:rPr>
          <w:rFonts w:hint="eastAsia"/>
          <w:bCs/>
          <w:lang w:val="en-US" w:eastAsia="zh-CN"/>
        </w:rPr>
        <w:t>3家，</w:t>
      </w:r>
      <w:r>
        <w:rPr>
          <w:rFonts w:hint="eastAsia"/>
          <w:bCs/>
        </w:rPr>
        <w:t>养殖场总数</w:t>
      </w:r>
      <w:r>
        <w:rPr>
          <w:rFonts w:hint="eastAsia"/>
          <w:bCs/>
          <w:lang w:val="en-US" w:eastAsia="zh-CN"/>
        </w:rPr>
        <w:t>288</w:t>
      </w:r>
      <w:r>
        <w:rPr>
          <w:rFonts w:hint="eastAsia"/>
          <w:bCs/>
        </w:rPr>
        <w:t>家；规模以下养殖户生猪</w:t>
      </w:r>
      <w:r>
        <w:rPr>
          <w:rFonts w:hint="eastAsia"/>
          <w:bCs/>
          <w:lang w:val="en-US" w:eastAsia="zh-CN"/>
        </w:rPr>
        <w:t>63</w:t>
      </w:r>
      <w:r>
        <w:rPr>
          <w:rFonts w:hint="eastAsia"/>
          <w:bCs/>
        </w:rPr>
        <w:t>家、</w:t>
      </w:r>
      <w:r>
        <w:rPr>
          <w:rFonts w:hint="eastAsia"/>
          <w:bCs/>
          <w:lang w:eastAsia="zh-CN"/>
        </w:rPr>
        <w:t>蛋鸡</w:t>
      </w:r>
      <w:r>
        <w:rPr>
          <w:rFonts w:hint="eastAsia"/>
          <w:bCs/>
          <w:lang w:val="en-US" w:eastAsia="zh-CN"/>
        </w:rPr>
        <w:t>16</w:t>
      </w:r>
      <w:r>
        <w:rPr>
          <w:rFonts w:hint="eastAsia"/>
          <w:bCs/>
        </w:rPr>
        <w:t>家、</w:t>
      </w:r>
      <w:r>
        <w:rPr>
          <w:rFonts w:hint="eastAsia"/>
          <w:bCs/>
          <w:lang w:eastAsia="zh-CN"/>
        </w:rPr>
        <w:t>兼用型鸡</w:t>
      </w:r>
      <w:r>
        <w:rPr>
          <w:rFonts w:hint="eastAsia"/>
          <w:bCs/>
          <w:lang w:val="en-US" w:eastAsia="zh-CN"/>
        </w:rPr>
        <w:t>12</w:t>
      </w:r>
      <w:r>
        <w:rPr>
          <w:rFonts w:hint="eastAsia"/>
          <w:bCs/>
        </w:rPr>
        <w:t>家、</w:t>
      </w:r>
      <w:r>
        <w:rPr>
          <w:rFonts w:hint="eastAsia"/>
          <w:bCs/>
          <w:lang w:eastAsia="zh-CN"/>
        </w:rPr>
        <w:t>肉牛</w:t>
      </w:r>
      <w:r>
        <w:rPr>
          <w:rFonts w:hint="eastAsia"/>
          <w:bCs/>
        </w:rPr>
        <w:t>5</w:t>
      </w:r>
      <w:r>
        <w:rPr>
          <w:rFonts w:hint="eastAsia"/>
          <w:bCs/>
          <w:lang w:val="en-US" w:eastAsia="zh-CN"/>
        </w:rPr>
        <w:t>4</w:t>
      </w:r>
      <w:r>
        <w:rPr>
          <w:rFonts w:hint="eastAsia"/>
          <w:bCs/>
        </w:rPr>
        <w:t>家，</w:t>
      </w:r>
      <w:r>
        <w:rPr>
          <w:rFonts w:hint="eastAsia"/>
          <w:bCs/>
          <w:lang w:eastAsia="zh-CN"/>
        </w:rPr>
        <w:t>羊</w:t>
      </w:r>
      <w:r>
        <w:rPr>
          <w:rFonts w:hint="eastAsia"/>
          <w:bCs/>
          <w:lang w:val="en-US" w:eastAsia="zh-CN"/>
        </w:rPr>
        <w:t>15</w:t>
      </w:r>
      <w:r>
        <w:rPr>
          <w:rFonts w:hint="eastAsia"/>
          <w:bCs/>
        </w:rPr>
        <w:t>家，规模以下养殖户</w:t>
      </w:r>
      <w:r>
        <w:rPr>
          <w:rFonts w:hint="eastAsia"/>
          <w:bCs/>
          <w:lang w:val="en-US" w:eastAsia="zh-CN"/>
        </w:rPr>
        <w:t>160</w:t>
      </w:r>
      <w:r>
        <w:rPr>
          <w:rFonts w:hint="eastAsia"/>
          <w:bCs/>
        </w:rPr>
        <w:t>家。</w:t>
      </w:r>
    </w:p>
    <w:p>
      <w:pPr>
        <w:pStyle w:val="51"/>
      </w:pPr>
      <w:r>
        <w:rPr>
          <w:rFonts w:hint="eastAsia"/>
        </w:rPr>
        <w:t>2.4.</w:t>
      </w:r>
      <w:r>
        <w:t>1.</w:t>
      </w:r>
      <w:r>
        <w:rPr>
          <w:rFonts w:hint="eastAsia"/>
        </w:rPr>
        <w:t>2 养殖业污染物产排</w:t>
      </w:r>
    </w:p>
    <w:p>
      <w:pPr>
        <w:ind w:firstLine="560" w:firstLineChars="200"/>
      </w:pPr>
      <w:r>
        <w:rPr>
          <w:rFonts w:hint="eastAsia"/>
        </w:rPr>
        <w:t>根据《畜禽养殖污水贮存设施设计要求》（GB/T2</w:t>
      </w:r>
      <w:r>
        <w:t>6624-</w:t>
      </w:r>
      <w:r>
        <w:rPr>
          <w:rFonts w:hint="eastAsia"/>
        </w:rPr>
        <w:t>2011）中</w:t>
      </w:r>
      <w:r>
        <w:t>附录</w:t>
      </w:r>
      <w:r>
        <w:rPr>
          <w:rFonts w:hint="eastAsia"/>
        </w:rPr>
        <w:t>A（畜禽</w:t>
      </w:r>
      <w:r>
        <w:t>养殖业</w:t>
      </w:r>
      <w:r>
        <w:rPr>
          <w:rFonts w:hint="eastAsia"/>
        </w:rPr>
        <w:t>每日</w:t>
      </w:r>
      <w:r>
        <w:t>最高允许</w:t>
      </w:r>
      <w:r>
        <w:rPr>
          <w:rFonts w:hint="eastAsia"/>
        </w:rPr>
        <w:t>排水量）和《畜禽养殖业污染治理工程技术规范》（HJ497-2009）中</w:t>
      </w:r>
      <w:r>
        <w:t>附录</w:t>
      </w:r>
      <w:r>
        <w:rPr>
          <w:rFonts w:hint="eastAsia"/>
        </w:rPr>
        <w:t>A（畜禽</w:t>
      </w:r>
      <w:r>
        <w:t>养殖废水</w:t>
      </w:r>
      <w:r>
        <w:rPr>
          <w:rFonts w:hint="eastAsia"/>
        </w:rPr>
        <w:t>水质</w:t>
      </w:r>
      <w:r>
        <w:t>和粪污产生量</w:t>
      </w:r>
      <w:r>
        <w:rPr>
          <w:rFonts w:hint="eastAsia"/>
        </w:rPr>
        <w:t>），计算</w:t>
      </w:r>
      <w:r>
        <w:rPr>
          <w:rFonts w:hint="eastAsia"/>
          <w:lang w:eastAsia="zh-CN"/>
        </w:rPr>
        <w:t>巴州</w:t>
      </w:r>
      <w:r>
        <w:rPr>
          <w:rFonts w:hint="eastAsia"/>
        </w:rPr>
        <w:t>区养殖户和规模养殖场畜禽的粪污产生量以及COD、NH</w:t>
      </w:r>
      <w:r>
        <w:rPr>
          <w:rFonts w:hint="eastAsia"/>
          <w:vertAlign w:val="subscript"/>
        </w:rPr>
        <w:t>3</w:t>
      </w:r>
      <w:r>
        <w:rPr>
          <w:rFonts w:cs="Times New Roman"/>
        </w:rPr>
        <w:t>–</w:t>
      </w:r>
      <w:r>
        <w:rPr>
          <w:rFonts w:hint="eastAsia"/>
        </w:rPr>
        <w:t>N、TN、TP等主要污染物产生量。</w:t>
      </w:r>
    </w:p>
    <w:p>
      <w:pPr>
        <w:ind w:firstLine="560" w:firstLineChars="200"/>
      </w:pPr>
      <w:r>
        <w:rPr>
          <w:rFonts w:hint="eastAsia"/>
          <w:lang w:eastAsia="zh-CN"/>
        </w:rPr>
        <w:t>巴州</w:t>
      </w:r>
      <w:r>
        <w:rPr>
          <w:rFonts w:hint="eastAsia"/>
        </w:rPr>
        <w:t>区养殖场和养殖户畜禽粪污及主要污染物产生量统计表分别见表2-4-5、2-4-6，养殖场和养殖户畜禽粪污及主要污染物产生总量统计表见表2-4-7。</w:t>
      </w:r>
    </w:p>
    <w:p>
      <w:pPr>
        <w:pStyle w:val="50"/>
      </w:pPr>
      <w:r>
        <w:t>表</w:t>
      </w:r>
      <w:r>
        <w:rPr>
          <w:rFonts w:hint="eastAsia"/>
        </w:rPr>
        <w:t>2-4-5区</w:t>
      </w:r>
      <w:r>
        <w:rPr>
          <w:rFonts w:hint="eastAsia"/>
          <w:lang w:val="en-US" w:eastAsia="zh-CN"/>
        </w:rPr>
        <w:t>规模</w:t>
      </w:r>
      <w:r>
        <w:rPr>
          <w:rFonts w:hint="eastAsia"/>
        </w:rPr>
        <w:t>养殖场畜禽粪污及主要污染物产生量统计表</w:t>
      </w:r>
    </w:p>
    <w:tbl>
      <w:tblPr>
        <w:tblStyle w:val="23"/>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1276"/>
        <w:gridCol w:w="1377"/>
        <w:gridCol w:w="1215"/>
        <w:gridCol w:w="1215"/>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84" w:type="dxa"/>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镇街</w:t>
            </w:r>
          </w:p>
        </w:tc>
        <w:tc>
          <w:tcPr>
            <w:tcW w:w="1134"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污水量</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（m</w:t>
            </w:r>
            <w:r>
              <w:rPr>
                <w:rFonts w:hint="eastAsia" w:cs="Times New Roman"/>
                <w:b/>
                <w:color w:val="000000" w:themeColor="text1"/>
                <w:sz w:val="24"/>
                <w:szCs w:val="24"/>
                <w:vertAlign w:val="superscript"/>
                <w14:textFill>
                  <w14:solidFill>
                    <w14:schemeClr w14:val="tx1"/>
                  </w14:solidFill>
                </w14:textFill>
              </w:rPr>
              <w:t>3</w:t>
            </w:r>
            <w:r>
              <w:rPr>
                <w:rFonts w:hint="eastAsia" w:cs="Times New Roman"/>
                <w:b/>
                <w:color w:val="000000" w:themeColor="text1"/>
                <w:sz w:val="24"/>
                <w:szCs w:val="24"/>
                <w14:textFill>
                  <w14:solidFill>
                    <w14:schemeClr w14:val="tx1"/>
                  </w14:solidFill>
                </w14:textFill>
              </w:rPr>
              <w:t>/a）</w:t>
            </w:r>
          </w:p>
        </w:tc>
        <w:tc>
          <w:tcPr>
            <w:tcW w:w="1276"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COD</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377"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NH</w:t>
            </w:r>
            <w:r>
              <w:rPr>
                <w:rFonts w:hint="eastAsia" w:cs="Times New Roman"/>
                <w:b/>
                <w:color w:val="000000" w:themeColor="text1"/>
                <w:sz w:val="24"/>
                <w:szCs w:val="24"/>
                <w:vertAlign w:val="subscript"/>
                <w14:textFill>
                  <w14:solidFill>
                    <w14:schemeClr w14:val="tx1"/>
                  </w14:solidFill>
                </w14:textFill>
              </w:rPr>
              <w:t>3</w:t>
            </w:r>
            <w:r>
              <w:rPr>
                <w:rFonts w:hint="eastAsia" w:cs="Times New Roman"/>
                <w:b/>
                <w:color w:val="000000" w:themeColor="text1"/>
                <w:sz w:val="24"/>
                <w:szCs w:val="24"/>
                <w14:textFill>
                  <w14:solidFill>
                    <w14:schemeClr w14:val="tx1"/>
                  </w14:solidFill>
                </w14:textFill>
              </w:rPr>
              <w:t>-N</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TN</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TP</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粪</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尿</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梁永镇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331511</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4472.66 </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42.19 </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59.85 </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7.04 </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21579.9</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31409.33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清江镇</w:t>
            </w:r>
            <w:r>
              <w:rPr>
                <w:rFonts w:hint="default" w:cs="Times New Roman"/>
                <w:color w:val="000000"/>
                <w:kern w:val="0"/>
                <w:sz w:val="24"/>
                <w:szCs w:val="24"/>
              </w:rPr>
              <w:t xml:space="preserve"> </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969385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2559.18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253.01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358.67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123.11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75851.60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107249.59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玉堂街道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286734</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756.98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74.84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106.09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32843.16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20332.47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光辉镇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47085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124.30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12.29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5.98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3422.80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5647.62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大和乡</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143903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379.90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37.56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53.24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18.28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17678.70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14145.76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白庙乡</w:t>
            </w:r>
            <w:r>
              <w:rPr>
                <w:rFonts w:hint="default" w:cs="Times New Roman"/>
                <w:color w:val="000000"/>
                <w:kern w:val="0"/>
                <w:sz w:val="24"/>
                <w:szCs w:val="24"/>
              </w:rPr>
              <w:t xml:space="preserve"> </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353685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933.73</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92.31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130.86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44.92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25710.80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42422.82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曾口镇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918513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2424.88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239.73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339.85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116.65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67954.18</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107968.87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大茅坪镇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96086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253.67</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25.08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35.55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12.20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6984.90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11525.09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宕梁街道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31755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83.83</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8.29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11.75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2308.40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3808.86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鼎山镇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rPr>
            </w:pPr>
            <w:r>
              <w:rPr>
                <w:rFonts w:hint="eastAsia" w:eastAsia="宋体" w:cs="Times New Roman"/>
                <w:i w:val="0"/>
                <w:iCs w:val="0"/>
                <w:color w:val="000000"/>
                <w:kern w:val="0"/>
                <w:sz w:val="21"/>
                <w:szCs w:val="21"/>
                <w:u w:val="none"/>
                <w:lang w:val="en-US" w:eastAsia="zh-CN" w:bidi="ar"/>
              </w:rPr>
              <w:t>454045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119</w:t>
            </w:r>
            <w:r>
              <w:rPr>
                <w:rFonts w:hint="eastAsia" w:eastAsia="宋体" w:cs="Times New Roman"/>
                <w:i w:val="0"/>
                <w:iCs w:val="0"/>
                <w:color w:val="000000"/>
                <w:kern w:val="0"/>
                <w:sz w:val="21"/>
                <w:szCs w:val="21"/>
                <w:u w:val="none"/>
                <w:lang w:val="en-US" w:eastAsia="zh-CN" w:bidi="ar"/>
              </w:rPr>
              <w:t>8.07</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118.41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167.</w:t>
            </w:r>
            <w:r>
              <w:rPr>
                <w:rFonts w:hint="eastAsia" w:eastAsia="宋体"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57.62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rPr>
            </w:pPr>
            <w:r>
              <w:rPr>
                <w:rFonts w:hint="eastAsia" w:eastAsia="宋体" w:cs="Times New Roman"/>
                <w:i w:val="0"/>
                <w:iCs w:val="0"/>
                <w:color w:val="000000"/>
                <w:kern w:val="0"/>
                <w:sz w:val="21"/>
                <w:szCs w:val="21"/>
                <w:u w:val="none"/>
                <w:lang w:val="en-US" w:eastAsia="zh-CN" w:bidi="ar"/>
              </w:rPr>
              <w:t>109134.7</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rPr>
            </w:pPr>
            <w:r>
              <w:rPr>
                <w:rFonts w:hint="eastAsia" w:eastAsia="宋体" w:cs="Times New Roman"/>
                <w:i w:val="0"/>
                <w:iCs w:val="0"/>
                <w:color w:val="000000"/>
                <w:kern w:val="0"/>
                <w:sz w:val="21"/>
                <w:szCs w:val="21"/>
                <w:u w:val="none"/>
                <w:lang w:val="en-US" w:eastAsia="zh-CN" w:bidi="ar"/>
              </w:rPr>
              <w:t>53841.71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凤溪镇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175813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464.15</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45.89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65.05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22.33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6965.00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11492.25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化成镇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153996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406.55</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40.19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56.98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19.56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8600.48</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12319.69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平梁镇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218824</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577.70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57.11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80.96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27.79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14017.40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8516.46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三江镇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32850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86.72</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8.57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12.15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2388.00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3940.20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天马山镇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137365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362.64</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35.85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50.83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17.45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5333.20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8799.78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水宁寺镇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109277</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288.49</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28.52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40.43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13.88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8799.91</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11514.44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枣林镇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208513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550.47</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54.42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77.15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26.48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7630.00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8392.00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江北街道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31025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81.90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11.47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3383</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5581.95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回风街道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1825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1460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大罗镇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69350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183.08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18.10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25.65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7562</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12477.3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tcPr>
          <w:p>
            <w:pPr>
              <w:keepNext w:val="0"/>
              <w:keepLines w:val="0"/>
              <w:suppressLineNumbers w:val="0"/>
              <w:spacing w:before="0" w:beforeAutospacing="0" w:after="0" w:afterAutospacing="0"/>
              <w:ind w:left="0" w:right="0"/>
              <w:rPr>
                <w:rFonts w:hint="default"/>
                <w:sz w:val="22"/>
              </w:rPr>
            </w:pPr>
            <w:r>
              <w:rPr>
                <w:rFonts w:hint="eastAsia"/>
                <w:sz w:val="22"/>
              </w:rPr>
              <w:t>合计</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4771540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16190.51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1200.49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1701.99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562.269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429608.13</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482116.19</w:t>
            </w:r>
          </w:p>
        </w:tc>
      </w:tr>
    </w:tbl>
    <w:p>
      <w:pPr>
        <w:pStyle w:val="50"/>
      </w:pPr>
    </w:p>
    <w:p>
      <w:pPr>
        <w:pStyle w:val="50"/>
        <w:rPr>
          <w:highlight w:val="yellow"/>
        </w:rPr>
      </w:pPr>
      <w:r>
        <w:t>表</w:t>
      </w:r>
      <w:r>
        <w:rPr>
          <w:rFonts w:hint="eastAsia"/>
        </w:rPr>
        <w:t>2-4-6区养殖户畜禽粪污及主要污染物产生量统计表</w:t>
      </w:r>
    </w:p>
    <w:tbl>
      <w:tblPr>
        <w:tblStyle w:val="23"/>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1276"/>
        <w:gridCol w:w="1377"/>
        <w:gridCol w:w="1215"/>
        <w:gridCol w:w="1215"/>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84" w:type="dxa"/>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镇街</w:t>
            </w:r>
          </w:p>
        </w:tc>
        <w:tc>
          <w:tcPr>
            <w:tcW w:w="1134"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污水量</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（m</w:t>
            </w:r>
            <w:r>
              <w:rPr>
                <w:rFonts w:hint="eastAsia" w:cs="Times New Roman"/>
                <w:b/>
                <w:color w:val="000000" w:themeColor="text1"/>
                <w:sz w:val="24"/>
                <w:szCs w:val="24"/>
                <w:vertAlign w:val="superscript"/>
                <w14:textFill>
                  <w14:solidFill>
                    <w14:schemeClr w14:val="tx1"/>
                  </w14:solidFill>
                </w14:textFill>
              </w:rPr>
              <w:t>3</w:t>
            </w:r>
            <w:r>
              <w:rPr>
                <w:rFonts w:hint="eastAsia" w:cs="Times New Roman"/>
                <w:b/>
                <w:color w:val="000000" w:themeColor="text1"/>
                <w:sz w:val="24"/>
                <w:szCs w:val="24"/>
                <w14:textFill>
                  <w14:solidFill>
                    <w14:schemeClr w14:val="tx1"/>
                  </w14:solidFill>
                </w14:textFill>
              </w:rPr>
              <w:t>/a）</w:t>
            </w:r>
          </w:p>
        </w:tc>
        <w:tc>
          <w:tcPr>
            <w:tcW w:w="1276"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COD</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377"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NH</w:t>
            </w:r>
            <w:r>
              <w:rPr>
                <w:rFonts w:hint="eastAsia" w:cs="Times New Roman"/>
                <w:b/>
                <w:color w:val="000000" w:themeColor="text1"/>
                <w:sz w:val="24"/>
                <w:szCs w:val="24"/>
                <w:vertAlign w:val="subscript"/>
                <w14:textFill>
                  <w14:solidFill>
                    <w14:schemeClr w14:val="tx1"/>
                  </w14:solidFill>
                </w14:textFill>
              </w:rPr>
              <w:t>3</w:t>
            </w:r>
            <w:r>
              <w:rPr>
                <w:rFonts w:hint="eastAsia" w:cs="Times New Roman"/>
                <w:b/>
                <w:color w:val="000000" w:themeColor="text1"/>
                <w:sz w:val="24"/>
                <w:szCs w:val="24"/>
                <w14:textFill>
                  <w14:solidFill>
                    <w14:schemeClr w14:val="tx1"/>
                  </w14:solidFill>
                </w14:textFill>
              </w:rPr>
              <w:t>-N</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TN</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TP</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粪</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尿</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梁永镇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41003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441.08 </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3.61 </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5.12 </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0.60 </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1937.10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2776.47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清江镇</w:t>
            </w:r>
            <w:r>
              <w:rPr>
                <w:rFonts w:hint="default" w:cs="Times New Roman"/>
                <w:color w:val="000000"/>
                <w:kern w:val="0"/>
                <w:sz w:val="24"/>
                <w:szCs w:val="24"/>
              </w:rPr>
              <w:t xml:space="preserve"> </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64578</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170.48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16.85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23.89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8.20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5208.20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玉堂街道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3124.80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光辉镇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大和乡</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504.00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白庙乡</w:t>
            </w:r>
            <w:r>
              <w:rPr>
                <w:rFonts w:hint="default" w:cs="Times New Roman"/>
                <w:color w:val="000000"/>
                <w:kern w:val="0"/>
                <w:sz w:val="24"/>
                <w:szCs w:val="24"/>
              </w:rPr>
              <w:t xml:space="preserve"> </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2190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0.81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159.20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曾口镇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863836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2280.53</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225.46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319.62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109.71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63644.70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102033.53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大茅坪镇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16535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43.65</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6.12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1857.16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1983.23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宕梁街道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3833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10.12</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278.60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鼎山镇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226782</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598.71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59.19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83.91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28.80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19459.76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21970.40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凤溪镇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化成镇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5402</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14.26</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584.00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平梁镇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三江镇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11498</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30.35</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1122.76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845.15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天马山镇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53475</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141.17</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13.96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19.79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6.79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1658.00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水宁寺镇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177057</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467.43</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65.51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22.49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14306.94</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14715.95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枣林镇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85871</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226.70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22.41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31.77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10.91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1827.00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1218.71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tcPr>
          <w:p>
            <w:pPr>
              <w:keepNext w:val="0"/>
              <w:keepLines w:val="0"/>
              <w:suppressLineNumbers w:val="0"/>
              <w:spacing w:before="0" w:beforeAutospacing="0" w:after="0" w:afterAutospacing="0"/>
              <w:ind w:left="0" w:right="0"/>
              <w:rPr>
                <w:rFonts w:hint="default"/>
                <w:sz w:val="22"/>
              </w:rPr>
            </w:pPr>
            <w:r>
              <w:rPr>
                <w:rFonts w:hint="eastAsia"/>
                <w:sz w:val="22"/>
              </w:rPr>
              <w:t>合计</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1552061</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4430.26</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397.99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564.21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192.52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115672.22</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149119.69</w:t>
            </w:r>
          </w:p>
        </w:tc>
      </w:tr>
    </w:tbl>
    <w:p>
      <w:pPr>
        <w:pStyle w:val="50"/>
        <w:rPr>
          <w:highlight w:val="yellow"/>
        </w:rPr>
      </w:pPr>
      <w:r>
        <w:t>表</w:t>
      </w:r>
      <w:r>
        <w:rPr>
          <w:rFonts w:hint="eastAsia"/>
        </w:rPr>
        <w:t>2-4-7区</w:t>
      </w:r>
      <w:r>
        <w:rPr>
          <w:rFonts w:hint="eastAsia"/>
          <w:lang w:val="en-US" w:eastAsia="zh-CN"/>
        </w:rPr>
        <w:t>规模</w:t>
      </w:r>
      <w:r>
        <w:rPr>
          <w:rFonts w:hint="eastAsia"/>
        </w:rPr>
        <w:t>养殖场和</w:t>
      </w:r>
      <w:r>
        <w:rPr>
          <w:rFonts w:hint="eastAsia"/>
          <w:lang w:val="en-US" w:eastAsia="zh-CN"/>
        </w:rPr>
        <w:t>规模下</w:t>
      </w:r>
      <w:r>
        <w:rPr>
          <w:rFonts w:hint="eastAsia"/>
        </w:rPr>
        <w:t>养殖户畜禽粪污及主要污染物产生量统计表</w:t>
      </w:r>
    </w:p>
    <w:tbl>
      <w:tblPr>
        <w:tblStyle w:val="23"/>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1276"/>
        <w:gridCol w:w="1377"/>
        <w:gridCol w:w="1215"/>
        <w:gridCol w:w="1215"/>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84" w:type="dxa"/>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镇街</w:t>
            </w:r>
          </w:p>
        </w:tc>
        <w:tc>
          <w:tcPr>
            <w:tcW w:w="1134"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污水量</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（m</w:t>
            </w:r>
            <w:r>
              <w:rPr>
                <w:rFonts w:hint="eastAsia" w:cs="Times New Roman"/>
                <w:b/>
                <w:color w:val="000000" w:themeColor="text1"/>
                <w:sz w:val="24"/>
                <w:szCs w:val="24"/>
                <w:vertAlign w:val="superscript"/>
                <w14:textFill>
                  <w14:solidFill>
                    <w14:schemeClr w14:val="tx1"/>
                  </w14:solidFill>
                </w14:textFill>
              </w:rPr>
              <w:t>3</w:t>
            </w:r>
            <w:r>
              <w:rPr>
                <w:rFonts w:hint="eastAsia" w:cs="Times New Roman"/>
                <w:b/>
                <w:color w:val="000000" w:themeColor="text1"/>
                <w:sz w:val="24"/>
                <w:szCs w:val="24"/>
                <w14:textFill>
                  <w14:solidFill>
                    <w14:schemeClr w14:val="tx1"/>
                  </w14:solidFill>
                </w14:textFill>
              </w:rPr>
              <w:t>/a）</w:t>
            </w:r>
          </w:p>
        </w:tc>
        <w:tc>
          <w:tcPr>
            <w:tcW w:w="1276"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COD</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377"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NH</w:t>
            </w:r>
            <w:r>
              <w:rPr>
                <w:rFonts w:hint="eastAsia" w:cs="Times New Roman"/>
                <w:b/>
                <w:color w:val="000000" w:themeColor="text1"/>
                <w:sz w:val="24"/>
                <w:szCs w:val="24"/>
                <w:vertAlign w:val="subscript"/>
                <w14:textFill>
                  <w14:solidFill>
                    <w14:schemeClr w14:val="tx1"/>
                  </w14:solidFill>
                </w14:textFill>
              </w:rPr>
              <w:t>3</w:t>
            </w:r>
            <w:r>
              <w:rPr>
                <w:rFonts w:hint="eastAsia" w:cs="Times New Roman"/>
                <w:b/>
                <w:color w:val="000000" w:themeColor="text1"/>
                <w:sz w:val="24"/>
                <w:szCs w:val="24"/>
                <w14:textFill>
                  <w14:solidFill>
                    <w14:schemeClr w14:val="tx1"/>
                  </w14:solidFill>
                </w14:textFill>
              </w:rPr>
              <w:t>-N</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TN</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TP</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粪</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c>
          <w:tcPr>
            <w:tcW w:w="1215" w:type="dxa"/>
            <w:shd w:val="clear" w:color="000000" w:fill="FFFFFF"/>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尿</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eastAsia" w:cs="Times New Roman"/>
                <w:b/>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梁永镇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372514</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4913.74</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64.97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7.64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23517</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34185.8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清江镇</w:t>
            </w:r>
            <w:r>
              <w:rPr>
                <w:rFonts w:hint="default" w:cs="Times New Roman"/>
                <w:color w:val="000000"/>
                <w:kern w:val="0"/>
                <w:sz w:val="24"/>
                <w:szCs w:val="24"/>
              </w:rPr>
              <w:t xml:space="preserve"> </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1033962.</w:t>
            </w:r>
            <w:r>
              <w:rPr>
                <w:rFonts w:hint="eastAsia" w:ascii="Times New Roman" w:hAnsi="Times New Roman" w:eastAsia="宋体" w:cs="Times New Roman"/>
                <w:i w:val="0"/>
                <w:iCs w:val="0"/>
                <w:color w:val="000000"/>
                <w:kern w:val="0"/>
                <w:sz w:val="21"/>
                <w:szCs w:val="21"/>
                <w:u w:val="none"/>
                <w:lang w:val="en-US" w:eastAsia="zh-CN" w:bidi="ar"/>
              </w:rPr>
              <w:t>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2729.66</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269.86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382.56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131.31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81059.80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109154.77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玉堂街道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286734.88</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756.98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74.84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106.09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35967.96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20332.47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光辉镇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47085.00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124.30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12.29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5.98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3422.80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5647.62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大和乡</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143903.44</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379.90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37.56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53.24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18.28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18182.70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14145.76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sz w:val="22"/>
              </w:rPr>
            </w:pPr>
            <w:r>
              <w:rPr>
                <w:rFonts w:hint="eastAsia" w:cs="Times New Roman"/>
                <w:color w:val="000000"/>
                <w:kern w:val="0"/>
                <w:sz w:val="24"/>
                <w:szCs w:val="24"/>
                <w:lang w:eastAsia="zh-CN"/>
              </w:rPr>
              <w:t>白庙乡</w:t>
            </w:r>
            <w:r>
              <w:rPr>
                <w:rFonts w:hint="default" w:cs="Times New Roman"/>
                <w:color w:val="000000"/>
                <w:kern w:val="0"/>
                <w:sz w:val="24"/>
                <w:szCs w:val="24"/>
              </w:rPr>
              <w:t xml:space="preserve"> </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355875.00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939.51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92.88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131.67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45.20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25870.00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42685.50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曾口镇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1782349.</w:t>
            </w:r>
            <w:r>
              <w:rPr>
                <w:rFonts w:hint="eastAsia" w:ascii="Times New Roman" w:hAnsi="Times New Roman" w:eastAsia="宋体" w:cs="Times New Roman"/>
                <w:i w:val="0"/>
                <w:iCs w:val="0"/>
                <w:color w:val="000000"/>
                <w:kern w:val="0"/>
                <w:sz w:val="21"/>
                <w:szCs w:val="21"/>
                <w:u w:val="none"/>
                <w:lang w:val="en-US" w:eastAsia="zh-CN" w:bidi="ar"/>
              </w:rPr>
              <w:t>4</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4705.41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465.19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659.47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226.36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131598.88</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210002.40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大茅坪镇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112621.16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297.32</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29.40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41.67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14.30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8842.06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13508.32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宕梁街道</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35587.50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93.95</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9.29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13.17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2587.00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4268.55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鼎山镇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680827</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1796.78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177.6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251.88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86.42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128594.46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75812.11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凤溪镇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175813.00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464.15</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45.89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65.05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22.33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6965.00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11492.25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化成镇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159398.00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420.81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41.60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58.98</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9184.48</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12611.69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平梁镇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218824.00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577.70</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57.11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80.96</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27.79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14017.40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8516.46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三江镇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44347.50</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117.07</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11.57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16.40</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5.63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3510.76</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4785.35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天马山镇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190840.22</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503.81</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49.81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70.62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6991.20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9456.48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水宁寺镇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286333.96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755.92</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74.73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105.94</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36.37</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23106.85</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26230.39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sz w:val="22"/>
              </w:rPr>
            </w:pPr>
            <w:r>
              <w:rPr>
                <w:rFonts w:hint="eastAsia" w:cs="Times New Roman"/>
                <w:color w:val="000000"/>
                <w:kern w:val="0"/>
                <w:sz w:val="24"/>
                <w:szCs w:val="24"/>
                <w:lang w:eastAsia="zh-CN"/>
              </w:rPr>
              <w:t>枣林镇</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294383.66</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777.17</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76.83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108.92</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37.39</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9457.00</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9610.71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shd w:val="clear" w:color="auto" w:fill="auto"/>
          </w:tcPr>
          <w:p>
            <w:pPr>
              <w:keepNext w:val="0"/>
              <w:keepLines w:val="0"/>
              <w:suppressLineNumbers w:val="0"/>
              <w:spacing w:before="0" w:beforeAutospacing="0" w:after="0" w:afterAutospacing="0"/>
              <w:ind w:left="0" w:right="0"/>
              <w:rPr>
                <w:rFonts w:hint="default"/>
                <w:sz w:val="22"/>
              </w:rPr>
            </w:pPr>
            <w:r>
              <w:rPr>
                <w:rFonts w:hint="eastAsia"/>
                <w:sz w:val="22"/>
              </w:rPr>
              <w:t>合计</w:t>
            </w:r>
          </w:p>
        </w:tc>
        <w:tc>
          <w:tcPr>
            <w:tcW w:w="113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6221400.3</w:t>
            </w:r>
          </w:p>
        </w:tc>
        <w:tc>
          <w:tcPr>
            <w:tcW w:w="1276"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20354.18</w:t>
            </w:r>
          </w:p>
        </w:tc>
        <w:tc>
          <w:tcPr>
            <w:tcW w:w="1377"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1572.25</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2229.01</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750.43</w:t>
            </w:r>
          </w:p>
        </w:tc>
        <w:tc>
          <w:tcPr>
            <w:tcW w:w="121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532875.35</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612446.63</w:t>
            </w:r>
          </w:p>
        </w:tc>
      </w:tr>
    </w:tbl>
    <w:p>
      <w:pPr>
        <w:pStyle w:val="51"/>
        <w:ind w:firstLine="560" w:firstLineChars="200"/>
        <w:rPr>
          <w:b w:val="0"/>
          <w:highlight w:val="yellow"/>
        </w:rPr>
      </w:pPr>
      <w:r>
        <w:rPr>
          <w:rFonts w:hint="eastAsia"/>
          <w:b w:val="0"/>
          <w:bCs/>
        </w:rPr>
        <w:t>由表2-4-5、2-4-6和2-4-7可见</w:t>
      </w:r>
      <w:r>
        <w:rPr>
          <w:rFonts w:hint="eastAsia"/>
          <w:b w:val="0"/>
        </w:rPr>
        <w:t>，</w:t>
      </w:r>
      <w:r>
        <w:rPr>
          <w:rFonts w:hint="eastAsia"/>
          <w:b w:val="0"/>
          <w:lang w:eastAsia="zh-CN"/>
        </w:rPr>
        <w:t>巴州</w:t>
      </w:r>
      <w:r>
        <w:rPr>
          <w:rFonts w:hint="eastAsia"/>
          <w:b w:val="0"/>
        </w:rPr>
        <w:t>区规模养殖场年产生粪便</w:t>
      </w:r>
      <w:r>
        <w:rPr>
          <w:rFonts w:hint="eastAsia"/>
          <w:b w:val="0"/>
          <w:lang w:val="en-US" w:eastAsia="zh-CN"/>
        </w:rPr>
        <w:t>42.96</w:t>
      </w:r>
      <w:r>
        <w:rPr>
          <w:rFonts w:hint="eastAsia"/>
          <w:b w:val="0"/>
        </w:rPr>
        <w:t>万吨，污水</w:t>
      </w:r>
      <w:r>
        <w:rPr>
          <w:rFonts w:hint="eastAsia"/>
          <w:b w:val="0"/>
          <w:lang w:val="en-US" w:eastAsia="zh-CN"/>
        </w:rPr>
        <w:t>47.71</w:t>
      </w:r>
      <w:r>
        <w:rPr>
          <w:rFonts w:hint="eastAsia"/>
          <w:b w:val="0"/>
        </w:rPr>
        <w:t>万m</w:t>
      </w:r>
      <w:r>
        <w:rPr>
          <w:rFonts w:hint="eastAsia"/>
          <w:b w:val="0"/>
          <w:vertAlign w:val="superscript"/>
        </w:rPr>
        <w:t>3</w:t>
      </w:r>
      <w:r>
        <w:rPr>
          <w:rFonts w:hint="eastAsia"/>
          <w:b w:val="0"/>
        </w:rPr>
        <w:t>；养殖户年产粪便</w:t>
      </w:r>
      <w:r>
        <w:rPr>
          <w:rFonts w:hint="eastAsia"/>
          <w:b w:val="0"/>
          <w:lang w:val="en-US" w:eastAsia="zh-CN"/>
        </w:rPr>
        <w:t>11.56</w:t>
      </w:r>
      <w:r>
        <w:rPr>
          <w:rFonts w:hint="eastAsia"/>
          <w:b w:val="0"/>
        </w:rPr>
        <w:t>万吨，污水</w:t>
      </w:r>
      <w:r>
        <w:rPr>
          <w:rFonts w:hint="eastAsia"/>
          <w:b w:val="0"/>
          <w:lang w:val="en-US" w:eastAsia="zh-CN"/>
        </w:rPr>
        <w:t>15.52</w:t>
      </w:r>
      <w:r>
        <w:rPr>
          <w:rFonts w:hint="eastAsia"/>
          <w:b w:val="0"/>
        </w:rPr>
        <w:t>万m</w:t>
      </w:r>
      <w:r>
        <w:rPr>
          <w:rFonts w:hint="eastAsia"/>
          <w:b w:val="0"/>
          <w:vertAlign w:val="superscript"/>
        </w:rPr>
        <w:t>3</w:t>
      </w:r>
      <w:r>
        <w:rPr>
          <w:rFonts w:hint="eastAsia"/>
          <w:b w:val="0"/>
        </w:rPr>
        <w:t>。养殖场和养殖户年产生粪便达</w:t>
      </w:r>
      <w:r>
        <w:rPr>
          <w:rFonts w:hint="eastAsia"/>
          <w:b w:val="0"/>
          <w:lang w:val="en-US" w:eastAsia="zh-CN"/>
        </w:rPr>
        <w:t>53.28</w:t>
      </w:r>
      <w:r>
        <w:rPr>
          <w:rFonts w:hint="eastAsia"/>
          <w:b w:val="0"/>
        </w:rPr>
        <w:t>万吨，污水量</w:t>
      </w:r>
      <w:r>
        <w:rPr>
          <w:rFonts w:hint="eastAsia"/>
          <w:b w:val="0"/>
          <w:lang w:val="en-US" w:eastAsia="zh-CN"/>
        </w:rPr>
        <w:t>62.21</w:t>
      </w:r>
      <w:r>
        <w:rPr>
          <w:rFonts w:hint="eastAsia"/>
          <w:b w:val="0"/>
        </w:rPr>
        <w:t>万m</w:t>
      </w:r>
      <w:r>
        <w:rPr>
          <w:rFonts w:hint="eastAsia"/>
          <w:b w:val="0"/>
          <w:vertAlign w:val="superscript"/>
        </w:rPr>
        <w:t>3</w:t>
      </w:r>
      <w:r>
        <w:rPr>
          <w:rFonts w:hint="eastAsia"/>
          <w:b w:val="0"/>
        </w:rPr>
        <w:t>。</w:t>
      </w:r>
    </w:p>
    <w:p>
      <w:pPr>
        <w:pStyle w:val="51"/>
      </w:pPr>
      <w:r>
        <w:rPr>
          <w:rFonts w:hint="eastAsia"/>
        </w:rPr>
        <w:t>2.4.1.3 养殖产业发展趋势</w:t>
      </w:r>
    </w:p>
    <w:p>
      <w:pPr>
        <w:ind w:firstLine="562" w:firstLineChars="200"/>
        <w:rPr>
          <w:b/>
          <w:bCs/>
        </w:rPr>
      </w:pPr>
      <w:r>
        <w:rPr>
          <w:rFonts w:hint="eastAsia"/>
          <w:b/>
          <w:bCs/>
        </w:rPr>
        <w:t>（1）提高规模化养殖和污染防治水平</w:t>
      </w:r>
    </w:p>
    <w:p>
      <w:pPr>
        <w:ind w:firstLine="560" w:firstLineChars="200"/>
        <w:rPr>
          <w:bCs/>
        </w:rPr>
      </w:pPr>
      <w:r>
        <w:rPr>
          <w:rFonts w:hint="eastAsia"/>
          <w:bCs/>
        </w:rPr>
        <w:t>根据中共中央</w:t>
      </w:r>
      <w:r>
        <w:rPr>
          <w:rFonts w:hint="eastAsia"/>
          <w:bCs/>
          <w:lang w:eastAsia="zh-CN"/>
        </w:rPr>
        <w:t>、</w:t>
      </w:r>
      <w:r>
        <w:rPr>
          <w:rFonts w:hint="eastAsia"/>
          <w:bCs/>
        </w:rPr>
        <w:t>国务院印发的《乡村振兴战略规划（2018-2022年）》，推进畜牧业区域布局调整，合理布局规模化养殖场，大力发展种养平衡循环农业，促进养殖废弃物就近资源化利用。因此，</w:t>
      </w:r>
      <w:r>
        <w:rPr>
          <w:rFonts w:hint="eastAsia"/>
          <w:bCs/>
          <w:lang w:eastAsia="zh-CN"/>
        </w:rPr>
        <w:t>巴州</w:t>
      </w:r>
      <w:r>
        <w:rPr>
          <w:rFonts w:hint="eastAsia"/>
          <w:bCs/>
        </w:rPr>
        <w:t>区应转变畜禽养殖方式，大力推进规模标准化养殖，可养区内新增养殖项目以规模化养殖或养殖小区的形式开展建设；同时结合新农村建设，逐步减少农村散养畜禽养殖数量，有</w:t>
      </w:r>
      <w:r>
        <w:rPr>
          <w:rFonts w:hint="eastAsia"/>
          <w:bCs/>
          <w:lang w:eastAsia="zh-CN"/>
        </w:rPr>
        <w:t>条件的散养</w:t>
      </w:r>
      <w:r>
        <w:rPr>
          <w:rFonts w:hint="eastAsia"/>
          <w:bCs/>
        </w:rPr>
        <w:t>密集区可通过建设畜禽养殖小区，实现畜禽养殖散养户集约化养殖、统一管理和污染集中控制。通过推进规模化、标准化畜禽养殖建设和逐步关闭农村散养畜禽养殖户、建设养殖小区等措施，可以逐步提升规模化养殖和污染防治水平。</w:t>
      </w:r>
    </w:p>
    <w:p>
      <w:pPr>
        <w:ind w:firstLine="560" w:firstLineChars="200"/>
        <w:rPr>
          <w:bCs/>
        </w:rPr>
      </w:pPr>
      <w:r>
        <w:rPr>
          <w:rFonts w:hint="eastAsia"/>
          <w:bCs/>
        </w:rPr>
        <w:t>在推进畜禽养殖标准化改造的同时，因地制宜发展生态环保养殖模式，加快推进配套环保设施建设，采用行之有效的减量化、无害化、资源化技术处理措施，实施养殖全过程综合治理，确保畜禽养殖污染物实现零排放。</w:t>
      </w:r>
    </w:p>
    <w:p>
      <w:pPr>
        <w:ind w:firstLine="562" w:firstLineChars="200"/>
        <w:rPr>
          <w:b/>
          <w:bCs/>
        </w:rPr>
      </w:pPr>
      <w:r>
        <w:rPr>
          <w:rFonts w:hint="eastAsia"/>
          <w:b/>
          <w:bCs/>
        </w:rPr>
        <w:t>（2）合理规划布局协调发展养殖业与种植业</w:t>
      </w:r>
    </w:p>
    <w:p>
      <w:pPr>
        <w:ind w:firstLine="560" w:firstLineChars="200"/>
        <w:rPr>
          <w:bCs/>
        </w:rPr>
      </w:pPr>
      <w:r>
        <w:rPr>
          <w:rFonts w:hint="eastAsia"/>
          <w:bCs/>
        </w:rPr>
        <w:t>根据土地承载能力，合理确定种植规模和养殖规模，推进适度规模、符合当地生态条件的标准化饲草基地工程建设，弥补养殖饲料不足，并就近就地消纳养殖废弃物，推广有机肥还田利用，促进农牧循环发展。支持规模化养殖场（区）配套建设畜禽粪污处理设施，搞好畜禽粪污综合利用，在种养密度较高的地区因地制宜建设集中处理中心，探索规模养殖场粪污的第三方治理与综合利用机制，从种植、养殖、加工三个环节建设现代化种养一体化基地。</w:t>
      </w:r>
    </w:p>
    <w:p>
      <w:pPr>
        <w:ind w:firstLine="562" w:firstLineChars="200"/>
        <w:rPr>
          <w:b/>
          <w:bCs/>
        </w:rPr>
      </w:pPr>
      <w:r>
        <w:rPr>
          <w:rFonts w:hint="eastAsia"/>
          <w:b/>
          <w:bCs/>
        </w:rPr>
        <w:t>（3）畜禽</w:t>
      </w:r>
      <w:r>
        <w:rPr>
          <w:b/>
          <w:bCs/>
        </w:rPr>
        <w:t>养殖业转型升级和绿色发展</w:t>
      </w:r>
    </w:p>
    <w:p>
      <w:pPr>
        <w:ind w:firstLine="560" w:firstLineChars="200"/>
      </w:pPr>
      <w:r>
        <w:rPr>
          <w:rFonts w:hint="eastAsia"/>
        </w:rPr>
        <w:t>生态化</w:t>
      </w:r>
      <w:r>
        <w:t>是畜禽养殖业发展的必由之路，</w:t>
      </w:r>
      <w:r>
        <w:rPr>
          <w:rFonts w:hint="eastAsia"/>
        </w:rPr>
        <w:t>要以畜禽养殖标准化示范创建活动为抓手，以畜禽粪污综合利用为核心，以农牧结合、种养结合、生态循环为基本要求，持续推进规模化、标准化、生态化畜禽养殖。各级畜牧兽医部门要统筹兼顾生产生态两大目标，以粪污综合利用为核心强化畜禽养殖污染治理，促进畜禽养殖业生产与环境保护协调发展，加强源头治理，科学解决畜禽养殖业发展带来的环境污染问题，推动畜禽养殖业的转型升级和持续发展。探索建立企业、政府、社会多元化投入机制，积极推动出台以奖代补等激励措施，加强技术指导服务。</w:t>
      </w:r>
    </w:p>
    <w:p>
      <w:pPr>
        <w:pStyle w:val="2"/>
        <w:spacing w:line="360" w:lineRule="auto"/>
      </w:pPr>
      <w:bookmarkStart w:id="67" w:name="_Toc12277"/>
      <w:bookmarkStart w:id="68" w:name="_Toc24699"/>
      <w:r>
        <w:rPr>
          <w:rFonts w:hint="eastAsia"/>
        </w:rPr>
        <w:t>2.4.</w:t>
      </w:r>
      <w:r>
        <w:t>2</w:t>
      </w:r>
      <w:r>
        <w:rPr>
          <w:rFonts w:hint="eastAsia"/>
        </w:rPr>
        <w:t xml:space="preserve"> 污染防治现状</w:t>
      </w:r>
      <w:bookmarkEnd w:id="67"/>
      <w:bookmarkEnd w:id="68"/>
    </w:p>
    <w:p>
      <w:pPr>
        <w:pStyle w:val="51"/>
        <w:rPr>
          <w:bCs/>
        </w:rPr>
      </w:pPr>
      <w:r>
        <w:rPr>
          <w:rFonts w:hint="eastAsia"/>
        </w:rPr>
        <w:t>2.4.2.1畜禽</w:t>
      </w:r>
      <w:r>
        <w:rPr>
          <w:rFonts w:hint="eastAsia"/>
          <w:bCs/>
        </w:rPr>
        <w:t>清粪</w:t>
      </w:r>
      <w:r>
        <w:rPr>
          <w:bCs/>
        </w:rPr>
        <w:t>方式</w:t>
      </w:r>
      <w:r>
        <w:rPr>
          <w:rFonts w:hint="eastAsia"/>
          <w:bCs/>
        </w:rPr>
        <w:t>现状</w:t>
      </w:r>
    </w:p>
    <w:p>
      <w:pPr>
        <w:ind w:firstLine="560" w:firstLineChars="200"/>
      </w:pPr>
      <w:r>
        <w:rPr>
          <w:rFonts w:hint="eastAsia"/>
          <w:lang w:eastAsia="zh-CN"/>
        </w:rPr>
        <w:t>巴州</w:t>
      </w:r>
      <w:r>
        <w:rPr>
          <w:rFonts w:hint="eastAsia"/>
        </w:rPr>
        <w:t>区当前规模养殖场和规模下养殖户清粪方式</w:t>
      </w:r>
      <w:r>
        <w:rPr>
          <w:rFonts w:hint="eastAsia"/>
          <w:lang w:eastAsia="zh-CN"/>
        </w:rPr>
        <w:t>主要</w:t>
      </w:r>
      <w:r>
        <w:rPr>
          <w:rFonts w:hint="eastAsia"/>
        </w:rPr>
        <w:t>为干清粪，</w:t>
      </w:r>
      <w:r>
        <w:t>即</w:t>
      </w:r>
      <w:r>
        <w:rPr>
          <w:rFonts w:hint="eastAsia"/>
        </w:rPr>
        <w:t>采用人工或机械方式从畜禽舍地面收集全部或大部分的固体粪便，地面残余粪尿用少量水冲洗，从而使固体和液体废弃物分离的粪便清理方式。</w:t>
      </w:r>
    </w:p>
    <w:p>
      <w:pPr>
        <w:rPr>
          <w:b/>
        </w:rPr>
      </w:pPr>
      <w:r>
        <w:rPr>
          <w:rFonts w:hint="eastAsia"/>
          <w:b/>
        </w:rPr>
        <w:t>2.4.2.2粪污无害化处理及资源化利用现状</w:t>
      </w:r>
    </w:p>
    <w:p>
      <w:pPr>
        <w:ind w:firstLine="560" w:firstLineChars="200"/>
      </w:pPr>
      <w:r>
        <w:rPr>
          <w:rFonts w:hint="eastAsia"/>
        </w:rPr>
        <w:t>近几年来，区政府因地制宜，以绿色生态为导向，以种养平衡为路径，严格落实畜禽养殖废弃物资源化利用制度，加强政策引导和执法监管，落实主体责任。</w:t>
      </w:r>
    </w:p>
    <w:p>
      <w:pPr>
        <w:ind w:firstLine="560" w:firstLineChars="200"/>
      </w:pPr>
      <w:r>
        <w:rPr>
          <w:rFonts w:hint="eastAsia"/>
          <w:lang w:eastAsia="zh-CN"/>
        </w:rPr>
        <w:t>巴州</w:t>
      </w:r>
      <w:r>
        <w:rPr>
          <w:rFonts w:hint="eastAsia"/>
        </w:rPr>
        <w:t>区规模化养殖场共有</w:t>
      </w:r>
      <w:r>
        <w:rPr>
          <w:rFonts w:hint="eastAsia"/>
          <w:lang w:val="en-US" w:eastAsia="zh-CN"/>
        </w:rPr>
        <w:t>295</w:t>
      </w:r>
      <w:r>
        <w:rPr>
          <w:rFonts w:hint="eastAsia"/>
        </w:rPr>
        <w:t>家，该部分规模化养殖场产生的畜禽粪污自身能完全处理实现资源化利用。</w:t>
      </w:r>
    </w:p>
    <w:p>
      <w:pPr>
        <w:ind w:firstLine="560" w:firstLineChars="200"/>
      </w:pPr>
      <w:r>
        <w:rPr>
          <w:rFonts w:hint="eastAsia"/>
        </w:rPr>
        <w:t>（2）养殖散户治理</w:t>
      </w:r>
    </w:p>
    <w:p>
      <w:pPr>
        <w:ind w:firstLine="560" w:firstLineChars="200"/>
        <w:rPr>
          <w:highlight w:val="none"/>
        </w:rPr>
      </w:pPr>
      <w:r>
        <w:rPr>
          <w:rFonts w:hint="eastAsia"/>
        </w:rPr>
        <w:t>年出栏</w:t>
      </w:r>
      <w:r>
        <w:t>50</w:t>
      </w:r>
      <w:r>
        <w:rPr>
          <w:rFonts w:hint="eastAsia"/>
        </w:rPr>
        <w:t>头猪当量以下的称为养殖散户，养殖散户存栏量较少，且比较分散、分布面积广，不利于收集处理，此类养殖户产生的畜禽粪污处理方式采用简易畜禽粪污处理设施简易处理后，各养殖散户自行消纳</w:t>
      </w:r>
      <w:r>
        <w:rPr>
          <w:rFonts w:hint="eastAsia"/>
          <w:lang w:eastAsia="zh-CN"/>
        </w:rPr>
        <w:t>，采用“农牧结合”方式，实行区域内生态循环农业模式，养殖场配套与其养殖规模相适应的土地种植面积（农田、果园、苗木等），养殖场根据粪污产生情况，与养殖场周边种植业主签订粪污利用合作协议。粪污消纳面积原则上以生猪计，每出栏</w:t>
      </w:r>
      <w:r>
        <w:rPr>
          <w:rFonts w:hint="eastAsia"/>
          <w:lang w:val="en-US" w:eastAsia="zh-CN"/>
        </w:rPr>
        <w:t>5头猪不少于1亩土地</w:t>
      </w:r>
      <w:r>
        <w:rPr>
          <w:rFonts w:hint="eastAsia"/>
        </w:rPr>
        <w:t>。</w:t>
      </w:r>
      <w:r>
        <w:rPr>
          <w:rFonts w:hint="eastAsia"/>
          <w:lang w:eastAsia="zh-CN"/>
        </w:rPr>
        <w:t>同时针对养殖户分布密集区域，</w:t>
      </w:r>
      <w:r>
        <w:rPr>
          <w:rFonts w:hint="eastAsia"/>
        </w:rPr>
        <w:t>以大型规模化养殖场为依托，建立粪污处理示范场，示范场定期收集辐射范围内的散养户粪污。散养户自有粪污处理能力的可自行还田处理，没有处理能力的需将粪污运输到辖区的示范场处理，示范场将自身场区的粪便及散养户粪便加工</w:t>
      </w:r>
      <w:r>
        <w:rPr>
          <w:rFonts w:hint="eastAsia"/>
          <w:highlight w:val="none"/>
        </w:rPr>
        <w:t>生产成有机肥还田，污水通过三级沉淀发酵形成农家肥还田处理。</w:t>
      </w:r>
      <w:r>
        <w:rPr>
          <w:rFonts w:hint="eastAsia"/>
          <w:highlight w:val="none"/>
          <w:lang w:eastAsia="zh-CN"/>
        </w:rPr>
        <w:t>布局较偏远养殖户需与第三方签订处置协议，粪污处理企业及时采用吸粪车将粪污转运至示范场进行处理。</w:t>
      </w:r>
      <w:r>
        <w:rPr>
          <w:rFonts w:hint="eastAsia"/>
          <w:highlight w:val="none"/>
        </w:rPr>
        <w:t>区畜牧技术推广站定期对示范场的粪肥养分进行检测分析，提高还田规范化水平。</w:t>
      </w:r>
    </w:p>
    <w:p>
      <w:pPr>
        <w:ind w:firstLine="560" w:firstLineChars="200"/>
        <w:rPr>
          <w:highlight w:val="none"/>
        </w:rPr>
      </w:pPr>
      <w:r>
        <w:rPr>
          <w:rFonts w:hint="eastAsia"/>
          <w:highlight w:val="none"/>
        </w:rPr>
        <w:t>（3）有机肥厂</w:t>
      </w:r>
    </w:p>
    <w:p>
      <w:pPr>
        <w:tabs>
          <w:tab w:val="left" w:pos="5387"/>
        </w:tabs>
        <w:ind w:firstLine="560" w:firstLineChars="200"/>
        <w:rPr>
          <w:highlight w:val="none"/>
        </w:rPr>
      </w:pPr>
      <w:r>
        <w:rPr>
          <w:rFonts w:hint="eastAsia"/>
          <w:highlight w:val="none"/>
          <w:lang w:val="en-US" w:eastAsia="zh-CN"/>
        </w:rPr>
        <w:t>巴州区清江镇建设有1座设计产能为5000t/a的有机肥厂（巴中市天辰生物科技有限公司），主要消纳清江镇周边养殖场畜禽粪便，其主要工艺为单纯堆体发酵，处理能力和辐射范围有限</w:t>
      </w:r>
      <w:r>
        <w:rPr>
          <w:rFonts w:hint="eastAsia"/>
          <w:highlight w:val="none"/>
        </w:rPr>
        <w:t>。</w:t>
      </w:r>
    </w:p>
    <w:p>
      <w:pPr>
        <w:rPr>
          <w:b/>
        </w:rPr>
      </w:pPr>
      <w:r>
        <w:rPr>
          <w:rFonts w:hint="eastAsia"/>
          <w:b/>
        </w:rPr>
        <w:t>2.4.2.3畜禽养殖废气处理情况</w:t>
      </w:r>
    </w:p>
    <w:p>
      <w:pPr>
        <w:ind w:firstLine="560" w:firstLineChars="200"/>
      </w:pPr>
      <w:r>
        <w:rPr>
          <w:rFonts w:hint="eastAsia"/>
        </w:rPr>
        <w:t>（1）</w:t>
      </w:r>
      <w:r>
        <w:t xml:space="preserve">废气污染源 </w:t>
      </w:r>
    </w:p>
    <w:p>
      <w:pPr>
        <w:ind w:firstLine="560" w:firstLineChars="200"/>
      </w:pPr>
      <w:r>
        <w:t xml:space="preserve">1）恶臭 </w:t>
      </w:r>
    </w:p>
    <w:p>
      <w:pPr>
        <w:ind w:firstLine="560" w:firstLineChars="200"/>
      </w:pPr>
      <w:r>
        <w:t>废气污染源主要是恶臭。养殖场恶臭来自粪便、污水、垫料、饲料等腐败分解，新鲜粪便、消化道排出的气体，皮脂腺和汗腺的分泌物，</w:t>
      </w:r>
      <w:r>
        <w:rPr>
          <w:rFonts w:hint="eastAsia"/>
          <w:lang w:eastAsia="zh-CN"/>
        </w:rPr>
        <w:t>黏附</w:t>
      </w:r>
      <w:r>
        <w:t>在体表的污物等。恶臭的成分十分复杂，因清粪方式、日粮组成、粪便和污水处理等不同而异，有机成分主要包括挥发性脂肪酸、酚类化合物，吲哚三大类有机物质，还包括氨气、硫化氢、甲烷、二氧化碳等无机成分。其中对环境危害最大的恶臭物质是NH</w:t>
      </w:r>
      <w:r>
        <w:rPr>
          <w:vertAlign w:val="subscript"/>
        </w:rPr>
        <w:t>3</w:t>
      </w:r>
      <w:r>
        <w:t>和H</w:t>
      </w:r>
      <w:r>
        <w:rPr>
          <w:vertAlign w:val="subscript"/>
        </w:rPr>
        <w:t>2</w:t>
      </w:r>
      <w:r>
        <w:t>S。养猪场产生猪粪，再加上猪身体覆盖着粪便，增加了臭气散发面，另外，臭气产生的多少还与粪便的水分含量和粪便堆积的厚度有关，粪便</w:t>
      </w:r>
      <w:r>
        <w:rPr>
          <w:rFonts w:hint="eastAsia"/>
          <w:lang w:eastAsia="zh-CN"/>
        </w:rPr>
        <w:t>堆积得越厚</w:t>
      </w:r>
      <w:r>
        <w:t>，就会使臭气产生量越大，尤其是在场地排水不畅通时更是如此。但是，经验表明，只要加强养猪场的管理，采取铺设水泥地面、粪便及时清理干净等措施，</w:t>
      </w:r>
      <w:r>
        <w:rPr>
          <w:rFonts w:hint="eastAsia"/>
          <w:lang w:eastAsia="zh-CN"/>
        </w:rPr>
        <w:t>可以很好地限制</w:t>
      </w:r>
      <w:r>
        <w:t>臭气的产生。</w:t>
      </w:r>
    </w:p>
    <w:p>
      <w:pPr>
        <w:ind w:firstLine="560" w:firstLineChars="200"/>
      </w:pPr>
      <w:r>
        <w:t xml:space="preserve">2）粉尘 </w:t>
      </w:r>
    </w:p>
    <w:p>
      <w:pPr>
        <w:ind w:firstLine="560" w:firstLineChars="200"/>
      </w:pPr>
      <w:r>
        <w:t xml:space="preserve">猪在不同的生长阶段需要不同的营养物质，为确保猪的正常生长，需要对猪的日粮进行调配。在饲料生产过程中会产生饲料粉尘。这些粉尘会对人体的呼吸系统产生危害，特别是在大风的情况下，其影响范围更远。 </w:t>
      </w:r>
    </w:p>
    <w:p>
      <w:pPr>
        <w:ind w:firstLine="560" w:firstLineChars="200"/>
      </w:pPr>
      <w:r>
        <w:rPr>
          <w:rFonts w:hint="eastAsia"/>
        </w:rPr>
        <w:t>（2）</w:t>
      </w:r>
      <w:r>
        <w:t>废气处理现状</w:t>
      </w:r>
    </w:p>
    <w:p>
      <w:pPr>
        <w:ind w:firstLine="560" w:firstLineChars="200"/>
      </w:pPr>
      <w:r>
        <w:t>目前</w:t>
      </w:r>
      <w:r>
        <w:rPr>
          <w:rFonts w:hint="eastAsia"/>
        </w:rPr>
        <w:t>规模化</w:t>
      </w:r>
      <w:r>
        <w:t>养殖场管理</w:t>
      </w:r>
      <w:r>
        <w:rPr>
          <w:rFonts w:hint="eastAsia"/>
          <w:lang w:eastAsia="zh-CN"/>
        </w:rPr>
        <w:t>较为</w:t>
      </w:r>
      <w:r>
        <w:t>规范，但</w:t>
      </w:r>
      <w:r>
        <w:rPr>
          <w:rFonts w:hint="eastAsia"/>
        </w:rPr>
        <w:t>养殖户</w:t>
      </w:r>
      <w:r>
        <w:t>废气治理力度有待加强，养殖户周边存在一定气味，特别是夏季，</w:t>
      </w:r>
      <w:r>
        <w:rPr>
          <w:rFonts w:hint="eastAsia"/>
          <w:lang w:eastAsia="zh-CN"/>
        </w:rPr>
        <w:t>当出现低压无风天气下，</w:t>
      </w:r>
      <w:r>
        <w:t>臭气对周边居民带来一定影响</w:t>
      </w:r>
      <w:r>
        <w:rPr>
          <w:rFonts w:hint="eastAsia"/>
          <w:lang w:eastAsia="zh-CN"/>
        </w:rPr>
        <w:t>，养殖场应采取适当的防治措施，如在周围设置合理的卫生防护林带，在周围采取绿化措施，种植乔木绿化隔离、吸收臭气和严格控制恶臭气体排放量，可大大降低臭气对周边环境的影响</w:t>
      </w:r>
      <w:r>
        <w:t>。</w:t>
      </w:r>
    </w:p>
    <w:p>
      <w:pPr>
        <w:pStyle w:val="51"/>
        <w:rPr>
          <w:b w:val="0"/>
          <w:bCs/>
        </w:rPr>
      </w:pPr>
      <w:r>
        <w:rPr>
          <w:rFonts w:hint="eastAsia"/>
        </w:rPr>
        <w:t>2.4.2.4禁限养区划定情况</w:t>
      </w:r>
    </w:p>
    <w:p>
      <w:pPr>
        <w:ind w:firstLine="560" w:firstLineChars="200"/>
        <w:rPr>
          <w:bCs/>
        </w:rPr>
      </w:pPr>
      <w:r>
        <w:rPr>
          <w:rFonts w:hint="eastAsia"/>
          <w:bCs/>
        </w:rPr>
        <w:t>（1）禁养区</w:t>
      </w:r>
      <w:r>
        <w:rPr>
          <w:bCs/>
        </w:rPr>
        <w:t>划定</w:t>
      </w:r>
    </w:p>
    <w:p>
      <w:pPr>
        <w:ind w:firstLine="560" w:firstLineChars="200"/>
        <w:rPr>
          <w:szCs w:val="28"/>
        </w:rPr>
      </w:pPr>
      <w:r>
        <w:rPr>
          <w:szCs w:val="28"/>
        </w:rPr>
        <w:t>划定畜禽养殖禁养区是促进</w:t>
      </w:r>
      <w:r>
        <w:rPr>
          <w:rFonts w:hint="eastAsia"/>
          <w:szCs w:val="28"/>
        </w:rPr>
        <w:t>区畜禽</w:t>
      </w:r>
      <w:r>
        <w:rPr>
          <w:szCs w:val="28"/>
        </w:rPr>
        <w:t>养殖业可持续发展、优化畜禽养殖产业布局、解决农业面源污染、改善农村生态环境质量的重大战略举措，也是稳定生猪生产、保障食品安全的重要举措。</w:t>
      </w:r>
      <w:r>
        <w:rPr>
          <w:rFonts w:hint="eastAsia"/>
          <w:szCs w:val="28"/>
          <w:lang w:eastAsia="zh-CN"/>
        </w:rPr>
        <w:t>巴州</w:t>
      </w:r>
      <w:r>
        <w:rPr>
          <w:rFonts w:hint="eastAsia"/>
          <w:lang w:eastAsia="zh-CN"/>
        </w:rPr>
        <w:t>区</w:t>
      </w:r>
      <w:r>
        <w:rPr>
          <w:rFonts w:hint="eastAsia"/>
          <w:szCs w:val="28"/>
        </w:rPr>
        <w:t>已</w:t>
      </w:r>
      <w:r>
        <w:rPr>
          <w:szCs w:val="28"/>
        </w:rPr>
        <w:t>完成了禁养区的划定工作。</w:t>
      </w:r>
    </w:p>
    <w:p>
      <w:pPr>
        <w:numPr>
          <w:ilvl w:val="0"/>
          <w:numId w:val="1"/>
        </w:numPr>
        <w:ind w:firstLine="560" w:firstLineChars="200"/>
        <w:rPr>
          <w:rFonts w:hint="eastAsia"/>
          <w:szCs w:val="28"/>
          <w:highlight w:val="none"/>
          <w:lang w:eastAsia="zh-CN"/>
        </w:rPr>
      </w:pPr>
      <w:r>
        <w:rPr>
          <w:rFonts w:hint="eastAsia"/>
          <w:szCs w:val="28"/>
          <w:highlight w:val="none"/>
        </w:rPr>
        <w:t>饮用水水源保护地</w:t>
      </w:r>
      <w:r>
        <w:rPr>
          <w:rFonts w:hint="eastAsia"/>
          <w:szCs w:val="28"/>
          <w:highlight w:val="none"/>
          <w:lang w:eastAsia="zh-CN"/>
        </w:rPr>
        <w:t>：化成水库集中式饮用水水源一级保护区：水域为取水口向库心延伸1000米及取水口上游（含入库支沟）全部水域；陆域为一级保护区水域库岸线正常水位（海拔405.8米）向上纵深200米，入库支沟两岸纵深50米范围内的陆域，其中化成老场镇段以规划环湖道路为界。二级保护区：水域为化成水库库区一级保护区外的全部水域；陆域为化成水库东面水库大坝、东侧分水岭，南面枣清路和化成老场镇规划环湖道路，蔡家河、牛心河、吴家河、七一河、长滩河入库口上溯 3km处所围成区域内，一级保护区外的全部陆域。</w:t>
      </w:r>
    </w:p>
    <w:p>
      <w:pPr>
        <w:numPr>
          <w:ilvl w:val="0"/>
          <w:numId w:val="0"/>
        </w:numPr>
        <w:ind w:firstLine="560" w:firstLineChars="200"/>
        <w:rPr>
          <w:rFonts w:hint="eastAsia"/>
          <w:szCs w:val="28"/>
          <w:highlight w:val="none"/>
        </w:rPr>
      </w:pPr>
      <w:r>
        <w:rPr>
          <w:rFonts w:hint="eastAsia"/>
          <w:szCs w:val="28"/>
          <w:highlight w:val="none"/>
        </w:rPr>
        <w:t>巴城大佛寺集中式饮用水水源一级保护区</w:t>
      </w:r>
      <w:r>
        <w:rPr>
          <w:rFonts w:hint="eastAsia"/>
          <w:szCs w:val="28"/>
          <w:highlight w:val="none"/>
          <w:lang w:eastAsia="zh-CN"/>
        </w:rPr>
        <w:t>：</w:t>
      </w:r>
      <w:r>
        <w:rPr>
          <w:rFonts w:hint="eastAsia"/>
          <w:szCs w:val="28"/>
          <w:highlight w:val="none"/>
        </w:rPr>
        <w:t>水域范围为取水口下游100m处起，沿河流方向上溯2000m处、5年一遇洪水所能淹没的河道水域</w:t>
      </w:r>
      <w:r>
        <w:rPr>
          <w:rFonts w:hint="eastAsia"/>
          <w:szCs w:val="28"/>
          <w:highlight w:val="none"/>
          <w:lang w:eastAsia="zh-CN"/>
        </w:rPr>
        <w:t>；</w:t>
      </w:r>
      <w:r>
        <w:rPr>
          <w:rFonts w:hint="eastAsia"/>
          <w:szCs w:val="28"/>
          <w:highlight w:val="none"/>
        </w:rPr>
        <w:t>陆域范围为取水口下游100m处起，沿河流方向上溯2000m处，左岸纵深100m，右岸纵深不得小于50m，以G244国道临岸侧为界范围内的陆域。二级保护区</w:t>
      </w:r>
      <w:r>
        <w:rPr>
          <w:rFonts w:hint="eastAsia"/>
          <w:szCs w:val="28"/>
          <w:highlight w:val="none"/>
          <w:lang w:eastAsia="zh-CN"/>
        </w:rPr>
        <w:t>：</w:t>
      </w:r>
      <w:r>
        <w:rPr>
          <w:rFonts w:hint="eastAsia"/>
          <w:szCs w:val="28"/>
          <w:highlight w:val="none"/>
        </w:rPr>
        <w:t>水域范围为一级保护区的上游边界向上游（包括汇入的上游支流）延伸4000m，一级保护区下游边界向下游延伸200m，10年一遇洪水所能淹没的区域。陆域范围为一级保护区的陆域上边界起纵深不少于1000m的陆域及二级保护区水域两岸纵深不少于1000m或者河流两岸分水岭范围内的陆域。</w:t>
      </w:r>
    </w:p>
    <w:p>
      <w:pPr>
        <w:numPr>
          <w:ilvl w:val="0"/>
          <w:numId w:val="0"/>
        </w:numPr>
        <w:ind w:firstLine="560" w:firstLineChars="200"/>
        <w:rPr>
          <w:szCs w:val="28"/>
          <w:highlight w:val="none"/>
        </w:rPr>
      </w:pPr>
      <w:r>
        <w:rPr>
          <w:rFonts w:hint="eastAsia"/>
          <w:szCs w:val="28"/>
          <w:highlight w:val="none"/>
        </w:rPr>
        <w:t>乡镇集中饮用水水源地以《</w:t>
      </w:r>
      <w:r>
        <w:rPr>
          <w:rFonts w:hint="eastAsia"/>
          <w:szCs w:val="28"/>
          <w:highlight w:val="none"/>
          <w:lang w:eastAsia="zh-CN"/>
        </w:rPr>
        <w:t>关于划定巴中市乡（镇）集中式饮用水水源保护区的通知</w:t>
      </w:r>
      <w:r>
        <w:rPr>
          <w:rFonts w:hint="eastAsia"/>
          <w:szCs w:val="28"/>
          <w:highlight w:val="none"/>
        </w:rPr>
        <w:t>》文件划定的一级保护区为准。</w:t>
      </w:r>
    </w:p>
    <w:p>
      <w:pPr>
        <w:ind w:firstLine="560" w:firstLineChars="200"/>
        <w:rPr>
          <w:szCs w:val="28"/>
          <w:highlight w:val="none"/>
        </w:rPr>
      </w:pPr>
      <w:r>
        <w:rPr>
          <w:rFonts w:hint="eastAsia"/>
          <w:szCs w:val="28"/>
          <w:highlight w:val="none"/>
        </w:rPr>
        <w:t>2、</w:t>
      </w:r>
      <w:r>
        <w:rPr>
          <w:rFonts w:hint="eastAsia"/>
          <w:szCs w:val="28"/>
          <w:highlight w:val="none"/>
          <w:lang w:val="en-US" w:eastAsia="zh-CN"/>
        </w:rPr>
        <w:t>自然保护区：</w:t>
      </w:r>
      <w:r>
        <w:rPr>
          <w:rFonts w:hint="eastAsia"/>
          <w:szCs w:val="28"/>
          <w:highlight w:val="none"/>
        </w:rPr>
        <w:t>经调查及与相关部门核实，巴州区境内无自然保护区。</w:t>
      </w:r>
    </w:p>
    <w:p>
      <w:pPr>
        <w:ind w:firstLine="560" w:firstLineChars="200"/>
        <w:rPr>
          <w:szCs w:val="28"/>
          <w:highlight w:val="none"/>
        </w:rPr>
      </w:pPr>
      <w:r>
        <w:rPr>
          <w:rFonts w:hint="eastAsia"/>
          <w:szCs w:val="28"/>
          <w:highlight w:val="none"/>
        </w:rPr>
        <w:t>3、风景</w:t>
      </w:r>
      <w:r>
        <w:rPr>
          <w:rFonts w:hint="eastAsia"/>
          <w:szCs w:val="28"/>
          <w:highlight w:val="none"/>
          <w:lang w:eastAsia="zh-CN"/>
        </w:rPr>
        <w:t>名胜</w:t>
      </w:r>
      <w:r>
        <w:rPr>
          <w:rFonts w:hint="eastAsia"/>
          <w:szCs w:val="28"/>
          <w:highlight w:val="none"/>
        </w:rPr>
        <w:t>区</w:t>
      </w:r>
      <w:r>
        <w:rPr>
          <w:rFonts w:hint="eastAsia"/>
          <w:szCs w:val="28"/>
          <w:highlight w:val="none"/>
          <w:lang w:eastAsia="zh-CN"/>
        </w:rPr>
        <w:t>：</w:t>
      </w:r>
      <w:r>
        <w:rPr>
          <w:rFonts w:hint="eastAsia"/>
          <w:szCs w:val="28"/>
          <w:highlight w:val="none"/>
        </w:rPr>
        <w:t>经调查及与相关部门核实，巴州区的风景</w:t>
      </w:r>
      <w:r>
        <w:rPr>
          <w:rFonts w:hint="eastAsia"/>
          <w:szCs w:val="28"/>
          <w:highlight w:val="none"/>
          <w:lang w:eastAsia="zh-CN"/>
        </w:rPr>
        <w:t>名胜</w:t>
      </w:r>
      <w:r>
        <w:rPr>
          <w:rFonts w:hint="eastAsia"/>
          <w:szCs w:val="28"/>
          <w:highlight w:val="none"/>
        </w:rPr>
        <w:t>区主要有南龛景区、山水化湖以及七彩佛龛</w:t>
      </w:r>
      <w:r>
        <w:rPr>
          <w:rFonts w:hint="eastAsia"/>
          <w:szCs w:val="28"/>
          <w:highlight w:val="none"/>
          <w:lang w:eastAsia="zh-CN"/>
        </w:rPr>
        <w:t>（</w:t>
      </w:r>
      <w:r>
        <w:rPr>
          <w:rFonts w:hint="eastAsia"/>
          <w:szCs w:val="28"/>
          <w:highlight w:val="none"/>
        </w:rPr>
        <w:t>清江镇巾字村至水宁寺佛龛农庄</w:t>
      </w:r>
      <w:r>
        <w:rPr>
          <w:rFonts w:hint="eastAsia"/>
          <w:szCs w:val="28"/>
          <w:highlight w:val="none"/>
          <w:lang w:eastAsia="zh-CN"/>
        </w:rPr>
        <w:t>）</w:t>
      </w:r>
      <w:r>
        <w:rPr>
          <w:rFonts w:hint="eastAsia"/>
          <w:szCs w:val="28"/>
          <w:highlight w:val="none"/>
        </w:rPr>
        <w:t>，以实际核心区作为畜禽禁养区，都包含于城区建成区中。</w:t>
      </w:r>
    </w:p>
    <w:p>
      <w:pPr>
        <w:ind w:firstLine="560" w:firstLineChars="200"/>
        <w:rPr>
          <w:rFonts w:hint="eastAsia"/>
          <w:szCs w:val="28"/>
          <w:highlight w:val="none"/>
          <w:lang w:eastAsia="zh-CN"/>
        </w:rPr>
      </w:pPr>
      <w:r>
        <w:rPr>
          <w:rFonts w:hint="eastAsia"/>
          <w:szCs w:val="28"/>
          <w:highlight w:val="none"/>
        </w:rPr>
        <w:t>4、城镇居民区禁养区</w:t>
      </w:r>
      <w:r>
        <w:rPr>
          <w:rFonts w:hint="eastAsia"/>
          <w:szCs w:val="28"/>
          <w:highlight w:val="none"/>
          <w:lang w:eastAsia="zh-CN"/>
        </w:rPr>
        <w:t>：经调查，巴州区辖</w:t>
      </w:r>
      <w:r>
        <w:rPr>
          <w:rFonts w:hint="eastAsia"/>
          <w:szCs w:val="28"/>
          <w:highlight w:val="none"/>
          <w:lang w:val="en-US" w:eastAsia="zh-CN"/>
        </w:rPr>
        <w:t>6</w:t>
      </w:r>
      <w:r>
        <w:rPr>
          <w:rFonts w:hint="eastAsia"/>
          <w:szCs w:val="28"/>
          <w:highlight w:val="none"/>
          <w:lang w:eastAsia="zh-CN"/>
        </w:rPr>
        <w:t>个街道、</w:t>
      </w:r>
      <w:r>
        <w:rPr>
          <w:rFonts w:hint="eastAsia"/>
          <w:szCs w:val="28"/>
          <w:highlight w:val="none"/>
          <w:lang w:val="en-US" w:eastAsia="zh-CN"/>
        </w:rPr>
        <w:t>14</w:t>
      </w:r>
      <w:r>
        <w:rPr>
          <w:rFonts w:hint="eastAsia"/>
          <w:szCs w:val="28"/>
          <w:highlight w:val="none"/>
          <w:lang w:eastAsia="zh-CN"/>
        </w:rPr>
        <w:t>个镇、</w:t>
      </w:r>
      <w:r>
        <w:rPr>
          <w:rFonts w:hint="eastAsia"/>
          <w:szCs w:val="28"/>
          <w:highlight w:val="none"/>
          <w:lang w:val="en-US" w:eastAsia="zh-CN"/>
        </w:rPr>
        <w:t>2</w:t>
      </w:r>
      <w:r>
        <w:rPr>
          <w:rFonts w:hint="eastAsia"/>
          <w:szCs w:val="28"/>
          <w:highlight w:val="none"/>
          <w:lang w:eastAsia="zh-CN"/>
        </w:rPr>
        <w:t>个乡∶东城街道、西城街道、回风街道、宕梁街道、玉堂街道、江北街道共</w:t>
      </w:r>
      <w:r>
        <w:rPr>
          <w:rFonts w:hint="eastAsia"/>
          <w:szCs w:val="28"/>
          <w:highlight w:val="none"/>
          <w:lang w:val="en-US" w:eastAsia="zh-CN"/>
        </w:rPr>
        <w:t>6</w:t>
      </w:r>
      <w:r>
        <w:rPr>
          <w:rFonts w:hint="eastAsia"/>
          <w:szCs w:val="28"/>
          <w:highlight w:val="none"/>
          <w:lang w:eastAsia="zh-CN"/>
        </w:rPr>
        <w:t>个街道；大茅坪镇、清江镇、水宁寺镇、曾口镇、梁永镇、鼎山镇、大罗镇、化成镇、三江镇、枣林镇、平梁镇、光辉镇、天马山镇、凤溪镇等1</w:t>
      </w:r>
      <w:r>
        <w:rPr>
          <w:rFonts w:hint="eastAsia"/>
          <w:szCs w:val="28"/>
          <w:highlight w:val="none"/>
          <w:lang w:val="en-US" w:eastAsia="zh-CN"/>
        </w:rPr>
        <w:t>4</w:t>
      </w:r>
      <w:r>
        <w:rPr>
          <w:rFonts w:hint="eastAsia"/>
          <w:szCs w:val="28"/>
          <w:highlight w:val="none"/>
          <w:lang w:eastAsia="zh-CN"/>
        </w:rPr>
        <w:t>个镇；大和乡、白庙乡等</w:t>
      </w:r>
      <w:r>
        <w:rPr>
          <w:rFonts w:hint="eastAsia"/>
          <w:szCs w:val="28"/>
          <w:highlight w:val="none"/>
          <w:lang w:val="en-US" w:eastAsia="zh-CN"/>
        </w:rPr>
        <w:t>2</w:t>
      </w:r>
      <w:r>
        <w:rPr>
          <w:rFonts w:hint="eastAsia"/>
          <w:szCs w:val="28"/>
          <w:highlight w:val="none"/>
          <w:lang w:eastAsia="zh-CN"/>
        </w:rPr>
        <w:t>个乡；</w:t>
      </w:r>
      <w:r>
        <w:rPr>
          <w:rFonts w:hint="eastAsia"/>
          <w:szCs w:val="28"/>
          <w:highlight w:val="none"/>
          <w:lang w:val="en-US" w:eastAsia="zh-CN"/>
        </w:rPr>
        <w:t>220</w:t>
      </w:r>
      <w:r>
        <w:rPr>
          <w:rFonts w:hint="eastAsia"/>
          <w:szCs w:val="28"/>
          <w:highlight w:val="none"/>
          <w:lang w:eastAsia="zh-CN"/>
        </w:rPr>
        <w:t>个行政村。</w:t>
      </w:r>
    </w:p>
    <w:p>
      <w:pPr>
        <w:ind w:firstLine="560" w:firstLineChars="200"/>
        <w:rPr>
          <w:szCs w:val="28"/>
          <w:highlight w:val="none"/>
        </w:rPr>
      </w:pPr>
      <w:r>
        <w:rPr>
          <w:rFonts w:hint="eastAsia"/>
          <w:szCs w:val="28"/>
          <w:highlight w:val="none"/>
          <w:lang w:eastAsia="zh-CN"/>
        </w:rPr>
        <w:t>由于禁养区划定后原则上5年内不做调整，为了兼顾城镇发展和畜牧业发展，</w:t>
      </w:r>
      <w:r>
        <w:rPr>
          <w:rFonts w:hint="eastAsia"/>
          <w:szCs w:val="28"/>
          <w:highlight w:val="none"/>
          <w:lang w:val="en-US" w:eastAsia="zh-CN"/>
        </w:rPr>
        <w:t>根据</w:t>
      </w:r>
      <w:r>
        <w:rPr>
          <w:rFonts w:hint="eastAsia"/>
        </w:rPr>
        <w:t>《</w:t>
      </w:r>
      <w:r>
        <w:rPr>
          <w:rFonts w:hint="eastAsia"/>
          <w:lang w:eastAsia="zh-CN"/>
        </w:rPr>
        <w:t>巴中市巴州区畜禽养殖禁养区划定方案</w:t>
      </w:r>
      <w:r>
        <w:rPr>
          <w:rFonts w:hint="eastAsia"/>
        </w:rPr>
        <w:t>》</w:t>
      </w:r>
      <w:r>
        <w:rPr>
          <w:rFonts w:hint="eastAsia"/>
          <w:lang w:eastAsia="zh-CN"/>
        </w:rPr>
        <w:t>（巴州府办</w:t>
      </w:r>
      <w:r>
        <w:rPr>
          <w:rFonts w:hint="eastAsia"/>
        </w:rPr>
        <w:t>〔20</w:t>
      </w:r>
      <w:r>
        <w:rPr>
          <w:rFonts w:hint="eastAsia"/>
          <w:lang w:val="en-US" w:eastAsia="zh-CN"/>
        </w:rPr>
        <w:t>18</w:t>
      </w:r>
      <w:r>
        <w:rPr>
          <w:rFonts w:hint="eastAsia"/>
        </w:rPr>
        <w:t>〕</w:t>
      </w:r>
      <w:r>
        <w:rPr>
          <w:rFonts w:hint="eastAsia"/>
          <w:lang w:val="en-US" w:eastAsia="zh-CN"/>
        </w:rPr>
        <w:t>143号</w:t>
      </w:r>
      <w:r>
        <w:rPr>
          <w:rFonts w:hint="eastAsia"/>
          <w:lang w:eastAsia="zh-CN"/>
        </w:rPr>
        <w:t>）</w:t>
      </w:r>
      <w:r>
        <w:rPr>
          <w:rFonts w:hint="eastAsia"/>
          <w:szCs w:val="28"/>
          <w:highlight w:val="none"/>
          <w:lang w:eastAsia="zh-CN"/>
        </w:rPr>
        <w:t>，现有的城镇建成区范围进行畜禽禁养区划定</w:t>
      </w:r>
      <w:r>
        <w:rPr>
          <w:rFonts w:hint="eastAsia"/>
          <w:szCs w:val="28"/>
          <w:highlight w:val="none"/>
        </w:rPr>
        <w:t>。</w:t>
      </w:r>
    </w:p>
    <w:p>
      <w:pPr>
        <w:ind w:firstLine="560" w:firstLineChars="200"/>
        <w:rPr>
          <w:szCs w:val="28"/>
          <w:highlight w:val="none"/>
        </w:rPr>
      </w:pPr>
      <w:r>
        <w:rPr>
          <w:rFonts w:hint="eastAsia"/>
          <w:szCs w:val="28"/>
          <w:highlight w:val="none"/>
          <w:lang w:val="en-US" w:eastAsia="zh-CN"/>
        </w:rPr>
        <w:t>5</w:t>
      </w:r>
      <w:r>
        <w:rPr>
          <w:rFonts w:hint="eastAsia"/>
          <w:szCs w:val="28"/>
          <w:highlight w:val="none"/>
        </w:rPr>
        <w:t>、国家或地方法律、法规规定的其他禁养区域。</w:t>
      </w:r>
    </w:p>
    <w:p>
      <w:pPr>
        <w:jc w:val="center"/>
        <w:rPr>
          <w:rFonts w:hint="eastAsia" w:eastAsia="仿宋"/>
          <w:lang w:eastAsia="zh-CN"/>
        </w:rPr>
      </w:pPr>
      <w:r>
        <w:rPr>
          <w:rFonts w:hint="eastAsia" w:eastAsia="仿宋"/>
          <w:lang w:eastAsia="zh-CN"/>
        </w:rPr>
        <w:drawing>
          <wp:inline distT="0" distB="0" distL="114300" distR="114300">
            <wp:extent cx="5274310" cy="6605270"/>
            <wp:effectExtent l="0" t="0" r="2540" b="5080"/>
            <wp:docPr id="6" name="图片 6" descr="631f5c5f4b5c189d6aecd648aecf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1f5c5f4b5c189d6aecd648aecf1c2"/>
                    <pic:cNvPicPr>
                      <a:picLocks noChangeAspect="1"/>
                    </pic:cNvPicPr>
                  </pic:nvPicPr>
                  <pic:blipFill>
                    <a:blip r:embed="rId15"/>
                    <a:stretch>
                      <a:fillRect/>
                    </a:stretch>
                  </pic:blipFill>
                  <pic:spPr>
                    <a:xfrm>
                      <a:off x="0" y="0"/>
                      <a:ext cx="5274310" cy="6605270"/>
                    </a:xfrm>
                    <a:prstGeom prst="rect">
                      <a:avLst/>
                    </a:prstGeom>
                  </pic:spPr>
                </pic:pic>
              </a:graphicData>
            </a:graphic>
          </wp:inline>
        </w:drawing>
      </w:r>
      <w:bookmarkStart w:id="257" w:name="_GoBack"/>
      <w:bookmarkEnd w:id="257"/>
    </w:p>
    <w:p>
      <w:pPr>
        <w:pStyle w:val="47"/>
      </w:pPr>
      <w:r>
        <w:t>图</w:t>
      </w:r>
      <w:r>
        <w:rPr>
          <w:rFonts w:hint="eastAsia"/>
        </w:rPr>
        <w:t>2-4-1区畜禽养殖禁养区划定范围图</w:t>
      </w:r>
    </w:p>
    <w:p>
      <w:pPr>
        <w:ind w:firstLine="560" w:firstLineChars="200"/>
        <w:rPr>
          <w:bCs/>
        </w:rPr>
      </w:pPr>
      <w:r>
        <w:rPr>
          <w:rFonts w:hint="eastAsia"/>
          <w:bCs/>
        </w:rPr>
        <w:t>（2）禁养区内</w:t>
      </w:r>
      <w:r>
        <w:rPr>
          <w:bCs/>
        </w:rPr>
        <w:t>综合整治</w:t>
      </w:r>
    </w:p>
    <w:p>
      <w:pPr>
        <w:ind w:firstLine="560" w:firstLineChars="200"/>
        <w:rPr>
          <w:bCs/>
        </w:rPr>
      </w:pPr>
      <w:r>
        <w:rPr>
          <w:rFonts w:hint="eastAsia"/>
          <w:bCs/>
        </w:rPr>
        <w:t>根据</w:t>
      </w:r>
      <w:r>
        <w:rPr>
          <w:bCs/>
        </w:rPr>
        <w:t>禁养区划定方案，</w:t>
      </w:r>
      <w:r>
        <w:rPr>
          <w:rFonts w:hint="eastAsia"/>
          <w:bCs/>
        </w:rPr>
        <w:t>区</w:t>
      </w:r>
      <w:r>
        <w:rPr>
          <w:bCs/>
        </w:rPr>
        <w:t>进行了</w:t>
      </w:r>
      <w:r>
        <w:rPr>
          <w:rFonts w:hint="eastAsia"/>
          <w:bCs/>
        </w:rPr>
        <w:t>禁养区</w:t>
      </w:r>
      <w:r>
        <w:rPr>
          <w:bCs/>
        </w:rPr>
        <w:t>专项整治工作，目前</w:t>
      </w:r>
      <w:r>
        <w:rPr>
          <w:rFonts w:hint="eastAsia"/>
          <w:bCs/>
        </w:rPr>
        <w:t>全部</w:t>
      </w:r>
      <w:r>
        <w:rPr>
          <w:bCs/>
        </w:rPr>
        <w:t>完成禁养区内综合整治工作，</w:t>
      </w:r>
      <w:r>
        <w:rPr>
          <w:rFonts w:hint="eastAsia"/>
          <w:bCs/>
        </w:rPr>
        <w:t>禁养区</w:t>
      </w:r>
      <w:r>
        <w:rPr>
          <w:bCs/>
        </w:rPr>
        <w:t>综合整治率达到</w:t>
      </w:r>
      <w:r>
        <w:rPr>
          <w:rFonts w:hint="eastAsia"/>
          <w:bCs/>
        </w:rPr>
        <w:t>100</w:t>
      </w:r>
      <w:r>
        <w:rPr>
          <w:bCs/>
        </w:rPr>
        <w:t>%。</w:t>
      </w:r>
    </w:p>
    <w:p>
      <w:pPr>
        <w:ind w:firstLine="560" w:firstLineChars="200"/>
        <w:rPr>
          <w:bCs/>
        </w:rPr>
      </w:pPr>
      <w:r>
        <w:rPr>
          <w:rFonts w:hint="eastAsia"/>
          <w:bCs/>
        </w:rPr>
        <w:t>（3）限养区</w:t>
      </w:r>
      <w:r>
        <w:rPr>
          <w:bCs/>
        </w:rPr>
        <w:t>划定</w:t>
      </w:r>
    </w:p>
    <w:p>
      <w:pPr>
        <w:ind w:firstLine="560" w:firstLineChars="200"/>
        <w:rPr>
          <w:bCs/>
        </w:rPr>
      </w:pPr>
      <w:r>
        <w:rPr>
          <w:rFonts w:hint="eastAsia"/>
          <w:bCs/>
        </w:rPr>
        <w:t>依法划定的限养区为禁养区边界外一定区域内限定畜禽养殖的区域，共分为七大类，包括饮用水水源保护区、风景名胜区、自然保护区、城镇居民区、主要交通干线两侧、地表湖库水体堤岸两侧外延一定区域，以及国家或地方法律、法规规定的其他限养区域，全区畜禽限养区主要情况如下：</w:t>
      </w:r>
    </w:p>
    <w:p>
      <w:pPr>
        <w:ind w:firstLine="560" w:firstLineChars="200"/>
        <w:rPr>
          <w:bCs/>
        </w:rPr>
      </w:pPr>
      <w:r>
        <w:rPr>
          <w:bCs/>
          <w:lang w:val="en-US" w:eastAsia="zh-CN"/>
        </w:rPr>
        <w:t>1.城镇规划区外围：各县（区）城区规划区外延纵深1000米内区域；各乡（镇）、街道场镇</w:t>
      </w:r>
      <w:r>
        <w:rPr>
          <w:rFonts w:hint="eastAsia"/>
          <w:bCs/>
          <w:lang w:val="en-US" w:eastAsia="zh-CN"/>
        </w:rPr>
        <w:t xml:space="preserve">规划区外延纵深500米内区域。 </w:t>
      </w:r>
    </w:p>
    <w:p>
      <w:pPr>
        <w:ind w:firstLine="560" w:firstLineChars="200"/>
        <w:rPr>
          <w:bCs/>
        </w:rPr>
      </w:pPr>
      <w:r>
        <w:rPr>
          <w:rFonts w:hint="eastAsia"/>
          <w:bCs/>
          <w:lang w:val="en-US" w:eastAsia="zh-CN"/>
        </w:rPr>
        <w:t xml:space="preserve">2.饮用水水源地保护区外围：县（区）城市生活饮用水水源地保护区外延纵深1000米范围内；各乡（镇）生活饮用水水源地保护区外延纵深500米范围内。 </w:t>
      </w:r>
    </w:p>
    <w:p>
      <w:pPr>
        <w:ind w:firstLine="560" w:firstLineChars="200"/>
        <w:rPr>
          <w:bCs/>
        </w:rPr>
      </w:pPr>
      <w:r>
        <w:rPr>
          <w:rFonts w:hint="eastAsia"/>
          <w:bCs/>
          <w:lang w:val="en-US" w:eastAsia="zh-CN"/>
        </w:rPr>
        <w:t>3.重要地表水体功能区外围：各类大、中型水库禁养区域外延纵深500米范围内；小型水库、主要河流禁养区域外延纵深200米范围内。</w:t>
      </w:r>
    </w:p>
    <w:p>
      <w:pPr>
        <w:pStyle w:val="2"/>
        <w:spacing w:line="360" w:lineRule="auto"/>
      </w:pPr>
      <w:bookmarkStart w:id="69" w:name="_Toc1595"/>
      <w:bookmarkStart w:id="70" w:name="_Toc31751"/>
      <w:r>
        <w:rPr>
          <w:rFonts w:hint="eastAsia"/>
        </w:rPr>
        <w:t>2.4.</w:t>
      </w:r>
      <w:r>
        <w:rPr>
          <w:rFonts w:hint="eastAsia"/>
          <w:lang w:val="en-US" w:eastAsia="zh-CN"/>
        </w:rPr>
        <w:t>3</w:t>
      </w:r>
      <w:r>
        <w:rPr>
          <w:rFonts w:hint="eastAsia"/>
        </w:rPr>
        <w:t xml:space="preserve"> 存在的问题</w:t>
      </w:r>
      <w:bookmarkEnd w:id="69"/>
      <w:bookmarkEnd w:id="70"/>
    </w:p>
    <w:p>
      <w:pPr>
        <w:ind w:firstLine="560" w:firstLineChars="200"/>
        <w:rPr>
          <w:bCs/>
        </w:rPr>
      </w:pPr>
      <w:r>
        <w:rPr>
          <w:rFonts w:hint="eastAsia"/>
          <w:bCs/>
        </w:rPr>
        <w:t>通过禁养区的划定及养殖污染防治专项行动实施，畜禽养殖污染整治取得了显著的成效，但是局部地区依然不容乐观。畜禽养殖行业门槛低，布局分散且涉及千家万户，法律法规执行难度大，导致部分养殖废弃物污染问题时有发生，主要存在以下问题：</w:t>
      </w:r>
    </w:p>
    <w:p>
      <w:pPr>
        <w:ind w:firstLine="560" w:firstLineChars="200"/>
        <w:rPr>
          <w:bCs/>
        </w:rPr>
      </w:pPr>
      <w:r>
        <w:rPr>
          <w:rFonts w:hint="eastAsia"/>
          <w:bCs/>
        </w:rPr>
        <w:t>（1）畜禽养殖主体责任意识不强</w:t>
      </w:r>
    </w:p>
    <w:p>
      <w:pPr>
        <w:ind w:firstLine="560" w:firstLineChars="200"/>
        <w:rPr>
          <w:bCs/>
        </w:rPr>
      </w:pPr>
      <w:r>
        <w:rPr>
          <w:rFonts w:hint="eastAsia"/>
          <w:bCs/>
        </w:rPr>
        <w:t>养殖场从业人员普遍文化程度不高，畜禽</w:t>
      </w:r>
      <w:r>
        <w:rPr>
          <w:bCs/>
        </w:rPr>
        <w:t>粪污污染防治意识</w:t>
      </w:r>
      <w:r>
        <w:rPr>
          <w:rFonts w:hint="eastAsia"/>
          <w:bCs/>
        </w:rPr>
        <w:t>薄弱、守法意识淡薄，畜禽粪污</w:t>
      </w:r>
      <w:r>
        <w:rPr>
          <w:bCs/>
        </w:rPr>
        <w:t>污染防治</w:t>
      </w:r>
      <w:r>
        <w:rPr>
          <w:rFonts w:hint="eastAsia"/>
          <w:bCs/>
        </w:rPr>
        <w:t>主体责任意识不强，畜禽粪污</w:t>
      </w:r>
      <w:r>
        <w:rPr>
          <w:bCs/>
        </w:rPr>
        <w:t>污染防治</w:t>
      </w:r>
      <w:r>
        <w:rPr>
          <w:rFonts w:hint="eastAsia"/>
          <w:bCs/>
        </w:rPr>
        <w:t>主动性不够。</w:t>
      </w:r>
    </w:p>
    <w:p>
      <w:pPr>
        <w:ind w:firstLine="560" w:firstLineChars="200"/>
        <w:rPr>
          <w:bCs/>
        </w:rPr>
      </w:pPr>
      <w:r>
        <w:rPr>
          <w:rFonts w:hint="eastAsia"/>
          <w:bCs/>
        </w:rPr>
        <w:t>（2）</w:t>
      </w:r>
      <w:r>
        <w:t>农牧结合不到位</w:t>
      </w:r>
    </w:p>
    <w:p>
      <w:pPr>
        <w:ind w:firstLine="560" w:firstLineChars="200"/>
        <w:rPr>
          <w:bCs/>
        </w:rPr>
      </w:pPr>
      <w:r>
        <w:t>源头控制是治污的根本，畜禽废弃物利用得当就是有机肥</w:t>
      </w:r>
      <w:r>
        <w:rPr>
          <w:rFonts w:hint="eastAsia"/>
          <w:lang w:eastAsia="zh-CN"/>
        </w:rPr>
        <w:t>的</w:t>
      </w:r>
      <w:r>
        <w:rPr>
          <w:rFonts w:hint="eastAsia"/>
          <w:lang w:val="en-US" w:eastAsia="zh-CN"/>
        </w:rPr>
        <w:t>充分利用</w:t>
      </w:r>
      <w:r>
        <w:t>，</w:t>
      </w:r>
      <w:r>
        <w:rPr>
          <w:rFonts w:hint="eastAsia"/>
          <w:lang w:val="en-US" w:eastAsia="zh-CN"/>
        </w:rPr>
        <w:t>现阶段</w:t>
      </w:r>
      <w:r>
        <w:t>对畜禽养殖业的产业规划不足，导致畜禽养殖产业发展自发、分散，畜牧业和种植业的匹配度不高，农牧结合不到位</w:t>
      </w:r>
      <w:r>
        <w:rPr>
          <w:rFonts w:hint="eastAsia"/>
          <w:lang w:eastAsia="zh-CN"/>
        </w:rPr>
        <w:t>，“</w:t>
      </w:r>
      <w:r>
        <w:rPr>
          <w:rFonts w:hint="eastAsia"/>
          <w:lang w:val="en-US" w:eastAsia="zh-CN"/>
        </w:rPr>
        <w:t>种养结合</w:t>
      </w:r>
      <w:r>
        <w:rPr>
          <w:rFonts w:hint="eastAsia"/>
          <w:lang w:eastAsia="zh-CN"/>
        </w:rPr>
        <w:t>”</w:t>
      </w:r>
      <w:r>
        <w:rPr>
          <w:rFonts w:hint="eastAsia"/>
          <w:lang w:val="en-US" w:eastAsia="zh-CN"/>
        </w:rPr>
        <w:t>有效衔接不够</w:t>
      </w:r>
      <w:r>
        <w:t>。</w:t>
      </w:r>
    </w:p>
    <w:p>
      <w:pPr>
        <w:ind w:firstLine="560" w:firstLineChars="200"/>
        <w:rPr>
          <w:bCs/>
        </w:rPr>
      </w:pPr>
      <w:r>
        <w:rPr>
          <w:rFonts w:hint="eastAsia"/>
          <w:bCs/>
        </w:rPr>
        <w:t>（3）粪污治理设施有待进一步完善</w:t>
      </w:r>
    </w:p>
    <w:p>
      <w:pPr>
        <w:ind w:firstLine="560" w:firstLineChars="200"/>
        <w:rPr>
          <w:bCs/>
        </w:rPr>
      </w:pPr>
      <w:r>
        <w:rPr>
          <w:rFonts w:hint="eastAsia"/>
          <w:bCs/>
        </w:rPr>
        <w:t>近年来，养殖场污染防治设施配套率已达到100%，但部分养殖户</w:t>
      </w:r>
      <w:r>
        <w:rPr>
          <w:rFonts w:hint="eastAsia"/>
          <w:bCs/>
          <w:lang w:val="en-US" w:eastAsia="zh-CN"/>
        </w:rPr>
        <w:t>仍</w:t>
      </w:r>
      <w:r>
        <w:rPr>
          <w:rFonts w:hint="eastAsia"/>
          <w:bCs/>
        </w:rPr>
        <w:t>属于粗放型管理，其标准化程度比较低，</w:t>
      </w:r>
      <w:r>
        <w:rPr>
          <w:rFonts w:hint="eastAsia"/>
          <w:bCs/>
          <w:lang w:val="en-US" w:eastAsia="zh-CN"/>
        </w:rPr>
        <w:t>粪污还田利用出路不畅，设施装备不足，还田机械不足，“最后一公里”尚未打通，导致</w:t>
      </w:r>
      <w:r>
        <w:rPr>
          <w:rFonts w:hint="eastAsia"/>
          <w:bCs/>
        </w:rPr>
        <w:t>畜禽粪污资源没有得到合理有效利用，对环境造成污染。</w:t>
      </w:r>
    </w:p>
    <w:p>
      <w:pPr>
        <w:ind w:firstLine="560" w:firstLineChars="200"/>
        <w:rPr>
          <w:bCs/>
        </w:rPr>
      </w:pPr>
      <w:r>
        <w:rPr>
          <w:rFonts w:hint="eastAsia"/>
          <w:bCs/>
        </w:rPr>
        <w:t>（4）粪污转运系统及资源化利用体系尚不健全</w:t>
      </w:r>
    </w:p>
    <w:p>
      <w:pPr>
        <w:ind w:firstLine="560" w:firstLineChars="200"/>
        <w:rPr>
          <w:bCs/>
        </w:rPr>
      </w:pPr>
      <w:r>
        <w:rPr>
          <w:rFonts w:hint="eastAsia"/>
          <w:bCs/>
        </w:rPr>
        <w:t>田间配套设施和粪污拉运输送设施还很不完善，粪污转运体系尚不健全。粪污处理利用市场化运营机制还未有效建立，社会化服务组织对接种养主体的桥梁纽带作用发挥不足，粪肥资源化利用路径不畅。</w:t>
      </w:r>
    </w:p>
    <w:p>
      <w:pPr>
        <w:ind w:firstLine="560" w:firstLineChars="200"/>
        <w:rPr>
          <w:bCs/>
        </w:rPr>
      </w:pPr>
      <w:r>
        <w:rPr>
          <w:rFonts w:hint="eastAsia"/>
          <w:bCs/>
        </w:rPr>
        <w:t>（</w:t>
      </w:r>
      <w:r>
        <w:rPr>
          <w:bCs/>
        </w:rPr>
        <w:t>5</w:t>
      </w:r>
      <w:r>
        <w:rPr>
          <w:rFonts w:hint="eastAsia"/>
          <w:bCs/>
        </w:rPr>
        <w:t>）长效监管压力大</w:t>
      </w:r>
    </w:p>
    <w:p>
      <w:pPr>
        <w:ind w:firstLine="560" w:firstLineChars="200"/>
        <w:rPr>
          <w:bCs/>
        </w:rPr>
      </w:pPr>
      <w:r>
        <w:rPr>
          <w:rFonts w:hint="eastAsia"/>
          <w:bCs/>
        </w:rPr>
        <w:t>前些年养殖污染整治的重点主要集中在规模化养殖场，极少涉及规模以下养殖户，这些分散的、隐性的污染源还大量存在，监管难度较大</w:t>
      </w:r>
      <w:r>
        <w:rPr>
          <w:rFonts w:hint="eastAsia"/>
          <w:bCs/>
          <w:lang w:eastAsia="zh-CN"/>
        </w:rPr>
        <w:t>，</w:t>
      </w:r>
      <w:r>
        <w:rPr>
          <w:rFonts w:hint="eastAsia"/>
          <w:bCs/>
          <w:lang w:val="en-US" w:eastAsia="zh-CN"/>
        </w:rPr>
        <w:t>监管体系仍需进一步完善，以前主要采用环境影响评价制度进行事前监管，但运行过程监管缺乏有效的常规监管措施，特别是粪污无害化处理不彻底，粪肥过量使用、臭气随意排放等环境风险难以控制</w:t>
      </w:r>
      <w:r>
        <w:rPr>
          <w:rFonts w:hint="eastAsia"/>
          <w:bCs/>
        </w:rPr>
        <w:t>。</w:t>
      </w:r>
    </w:p>
    <w:p>
      <w:pPr>
        <w:ind w:firstLine="560" w:firstLineChars="200"/>
        <w:rPr>
          <w:bCs/>
        </w:rPr>
      </w:pPr>
    </w:p>
    <w:p>
      <w:pPr>
        <w:rPr>
          <w:rFonts w:ascii="仿宋" w:hAnsi="仿宋"/>
          <w:b/>
          <w:sz w:val="24"/>
          <w:szCs w:val="24"/>
        </w:rPr>
      </w:pPr>
    </w:p>
    <w:p>
      <w:pPr>
        <w:jc w:val="center"/>
        <w:rPr>
          <w:rFonts w:ascii="仿宋" w:hAnsi="仿宋"/>
          <w:b/>
          <w:sz w:val="24"/>
          <w:szCs w:val="24"/>
        </w:rPr>
        <w:sectPr>
          <w:type w:val="continuous"/>
          <w:pgSz w:w="11906" w:h="16838"/>
          <w:pgMar w:top="1440" w:right="1797" w:bottom="1440" w:left="1797" w:header="851" w:footer="992" w:gutter="0"/>
          <w:cols w:space="425" w:num="1"/>
          <w:docGrid w:type="lines" w:linePitch="381" w:charSpace="0"/>
        </w:sectPr>
      </w:pPr>
    </w:p>
    <w:p>
      <w:pPr>
        <w:jc w:val="center"/>
        <w:rPr>
          <w:rFonts w:ascii="仿宋" w:hAnsi="仿宋"/>
          <w:b/>
          <w:sz w:val="24"/>
          <w:szCs w:val="24"/>
        </w:rPr>
        <w:sectPr>
          <w:type w:val="continuous"/>
          <w:pgSz w:w="11906" w:h="16838"/>
          <w:pgMar w:top="1440" w:right="1797" w:bottom="1440" w:left="1797" w:header="851" w:footer="992" w:gutter="0"/>
          <w:pgNumType w:start="1"/>
          <w:cols w:space="1120" w:num="2"/>
          <w:docGrid w:type="lines" w:linePitch="381" w:charSpace="0"/>
        </w:sectPr>
      </w:pPr>
    </w:p>
    <w:p>
      <w:pPr>
        <w:pStyle w:val="3"/>
        <w:pageBreakBefore/>
        <w:spacing w:before="381" w:after="381"/>
        <w:rPr>
          <w:rFonts w:hint="eastAsia" w:eastAsia="仿宋"/>
          <w:highlight w:val="none"/>
          <w:lang w:eastAsia="zh-CN"/>
        </w:rPr>
      </w:pPr>
      <w:bookmarkStart w:id="71" w:name="_Toc11498"/>
      <w:bookmarkStart w:id="72" w:name="_Toc28062"/>
      <w:r>
        <w:rPr>
          <w:rFonts w:hint="eastAsia"/>
          <w:highlight w:val="none"/>
        </w:rPr>
        <w:t>第三章 规划目标</w:t>
      </w:r>
      <w:bookmarkEnd w:id="71"/>
      <w:bookmarkEnd w:id="72"/>
    </w:p>
    <w:p>
      <w:pPr>
        <w:pStyle w:val="4"/>
        <w:spacing w:before="190" w:after="190"/>
      </w:pPr>
      <w:bookmarkStart w:id="73" w:name="_Toc5313"/>
      <w:bookmarkStart w:id="74" w:name="_Toc4185"/>
      <w:r>
        <w:rPr>
          <w:rFonts w:hint="eastAsia"/>
        </w:rPr>
        <w:t>3.1规划</w:t>
      </w:r>
      <w:r>
        <w:t>目标</w:t>
      </w:r>
      <w:bookmarkEnd w:id="73"/>
      <w:bookmarkEnd w:id="74"/>
    </w:p>
    <w:p>
      <w:pPr>
        <w:pStyle w:val="2"/>
        <w:spacing w:line="360" w:lineRule="auto"/>
      </w:pPr>
      <w:bookmarkStart w:id="75" w:name="_Toc16825"/>
      <w:bookmarkStart w:id="76" w:name="_Toc29601"/>
      <w:bookmarkStart w:id="77" w:name="_Toc81878827"/>
      <w:bookmarkStart w:id="78" w:name="_Toc80904895"/>
      <w:r>
        <w:rPr>
          <w:rFonts w:hint="eastAsia"/>
        </w:rPr>
        <w:t>3.1.</w:t>
      </w:r>
      <w:r>
        <w:rPr>
          <w:rFonts w:hint="eastAsia"/>
          <w:lang w:val="en-US" w:eastAsia="zh-CN"/>
        </w:rPr>
        <w:t>1</w:t>
      </w:r>
      <w:r>
        <w:rPr>
          <w:rFonts w:hint="eastAsia"/>
        </w:rPr>
        <w:t>规划目标</w:t>
      </w:r>
      <w:bookmarkEnd w:id="75"/>
    </w:p>
    <w:p>
      <w:pPr>
        <w:ind w:firstLine="562" w:firstLineChars="200"/>
      </w:pPr>
      <w:r>
        <w:rPr>
          <w:rFonts w:hint="eastAsia"/>
          <w:b/>
          <w:bCs/>
        </w:rPr>
        <w:t>区畜禽养殖业污染防治规划目标</w:t>
      </w:r>
      <w:r>
        <w:rPr>
          <w:rFonts w:hint="eastAsia"/>
        </w:rPr>
        <w:t>：</w:t>
      </w:r>
      <w:r>
        <w:rPr>
          <w:rFonts w:hint="eastAsia" w:ascii="仿宋" w:hAnsi="仿宋"/>
        </w:rPr>
        <w:t>贯彻落实《</w:t>
      </w:r>
      <w:r>
        <w:rPr>
          <w:rFonts w:hint="eastAsia"/>
        </w:rPr>
        <w:t>区</w:t>
      </w:r>
      <w:r>
        <w:rPr>
          <w:rFonts w:ascii="仿宋" w:hAnsi="仿宋"/>
        </w:rPr>
        <w:t>畜禽养殖禁养区划定方案</w:t>
      </w:r>
      <w:r>
        <w:rPr>
          <w:rFonts w:hint="eastAsia" w:ascii="仿宋" w:hAnsi="仿宋"/>
          <w:lang w:eastAsia="zh-CN"/>
        </w:rPr>
        <w:t>》《巴中</w:t>
      </w:r>
      <w:r>
        <w:rPr>
          <w:rFonts w:hint="eastAsia"/>
        </w:rPr>
        <w:t>市</w:t>
      </w:r>
      <w:r>
        <w:rPr>
          <w:rFonts w:ascii="仿宋" w:hAnsi="仿宋"/>
        </w:rPr>
        <w:t>人民政府关于实施“</w:t>
      </w:r>
      <w:r>
        <w:rPr>
          <w:rFonts w:hint="eastAsia" w:ascii="仿宋" w:hAnsi="仿宋"/>
        </w:rPr>
        <w:t>三线</w:t>
      </w:r>
      <w:r>
        <w:rPr>
          <w:rFonts w:ascii="仿宋" w:hAnsi="仿宋"/>
        </w:rPr>
        <w:t>一单”</w:t>
      </w:r>
      <w:r>
        <w:rPr>
          <w:rFonts w:hint="eastAsia" w:ascii="仿宋" w:hAnsi="仿宋"/>
        </w:rPr>
        <w:t>生态</w:t>
      </w:r>
      <w:r>
        <w:rPr>
          <w:rFonts w:ascii="仿宋" w:hAnsi="仿宋"/>
        </w:rPr>
        <w:t>环境分区管控的</w:t>
      </w:r>
      <w:r>
        <w:rPr>
          <w:rFonts w:hint="eastAsia" w:ascii="仿宋" w:hAnsi="仿宋"/>
          <w:lang w:eastAsia="zh-CN"/>
        </w:rPr>
        <w:t>通知》《巴中</w:t>
      </w:r>
      <w:r>
        <w:rPr>
          <w:rFonts w:hint="eastAsia"/>
          <w:bCs/>
          <w:szCs w:val="28"/>
        </w:rPr>
        <w:t>市国民经济和社会发展第十四个五年规划</w:t>
      </w:r>
      <w:r>
        <w:rPr>
          <w:rFonts w:hint="eastAsia"/>
          <w:bCs/>
          <w:szCs w:val="28"/>
          <w:lang w:eastAsia="zh-CN"/>
        </w:rPr>
        <w:t>和二〇三五年远景目标</w:t>
      </w:r>
      <w:r>
        <w:rPr>
          <w:rFonts w:hint="eastAsia"/>
          <w:bCs/>
          <w:szCs w:val="28"/>
        </w:rPr>
        <w:t>纲要</w:t>
      </w:r>
      <w:r>
        <w:rPr>
          <w:rFonts w:hint="eastAsia" w:ascii="仿宋" w:hAnsi="仿宋"/>
        </w:rPr>
        <w:t>》，以《畜禽养殖污染防治规划编制指南（试行）</w:t>
      </w:r>
      <w:r>
        <w:rPr>
          <w:rFonts w:hint="eastAsia"/>
        </w:rPr>
        <w:t>（环办土壤函</w:t>
      </w:r>
      <w:r>
        <w:rPr>
          <w:rFonts w:cs="Times New Roman"/>
          <w:szCs w:val="28"/>
        </w:rPr>
        <w:t>〔20</w:t>
      </w:r>
      <w:r>
        <w:rPr>
          <w:rFonts w:hint="eastAsia" w:cs="Times New Roman"/>
          <w:szCs w:val="28"/>
        </w:rPr>
        <w:t>21</w:t>
      </w:r>
      <w:r>
        <w:rPr>
          <w:rFonts w:cs="Times New Roman"/>
          <w:szCs w:val="28"/>
        </w:rPr>
        <w:t>〕</w:t>
      </w:r>
      <w:r>
        <w:rPr>
          <w:rFonts w:hint="eastAsia" w:cs="Times New Roman"/>
          <w:szCs w:val="28"/>
        </w:rPr>
        <w:t>465</w:t>
      </w:r>
      <w:r>
        <w:rPr>
          <w:rFonts w:cs="Times New Roman"/>
          <w:szCs w:val="28"/>
        </w:rPr>
        <w:t>号</w:t>
      </w:r>
      <w:r>
        <w:rPr>
          <w:rFonts w:hint="eastAsia"/>
        </w:rPr>
        <w:t>）</w:t>
      </w:r>
      <w:r>
        <w:rPr>
          <w:rFonts w:hint="eastAsia"/>
          <w:lang w:eastAsia="zh-CN"/>
        </w:rPr>
        <w:t>》</w:t>
      </w:r>
      <w:r>
        <w:rPr>
          <w:rFonts w:hint="eastAsia" w:ascii="仿宋" w:hAnsi="仿宋"/>
        </w:rPr>
        <w:t>为指导，坚持还田利用和种养平衡为导向，大力发展生态养殖业，因地制宜地建设粪污收集、贮存、处理、利用设施，实现粪污资源化利用，构建畜禽养殖新生态，促进畜禽养殖业的持续健康发展。</w:t>
      </w:r>
    </w:p>
    <w:p>
      <w:pPr>
        <w:ind w:firstLine="560" w:firstLineChars="200"/>
      </w:pPr>
      <w:r>
        <w:rPr>
          <w:rFonts w:hint="eastAsia"/>
        </w:rPr>
        <w:t>到2025年，建立科学规范、权责清晰、约束有力的畜禽养殖废弃物资源化利用体系，构建种养平衡循环发展机制。使畜禽养殖产生的污染物能得以</w:t>
      </w:r>
      <w:r>
        <w:rPr>
          <w:rFonts w:hint="eastAsia"/>
          <w:lang w:eastAsia="zh-CN"/>
        </w:rPr>
        <w:t>妥善地处理</w:t>
      </w:r>
      <w:r>
        <w:rPr>
          <w:rFonts w:hint="eastAsia"/>
        </w:rPr>
        <w:t>和排放，保护水体和环境卫生。</w:t>
      </w:r>
    </w:p>
    <w:p>
      <w:pPr>
        <w:ind w:firstLine="560" w:firstLineChars="200"/>
      </w:pPr>
      <w:r>
        <w:rPr>
          <w:rFonts w:hint="eastAsia"/>
        </w:rPr>
        <w:t>（1）规模养殖场粪污处理设施配套率达100%；</w:t>
      </w:r>
    </w:p>
    <w:p>
      <w:pPr>
        <w:ind w:firstLine="560" w:firstLineChars="200"/>
      </w:pPr>
      <w:r>
        <w:rPr>
          <w:rFonts w:hint="eastAsia"/>
        </w:rPr>
        <w:t>（2）畜禽粪污综合利用率达到</w:t>
      </w:r>
      <w:r>
        <w:rPr>
          <w:rFonts w:hint="default"/>
          <w:lang w:eastAsia="zh-CN"/>
        </w:rPr>
        <w:t>9</w:t>
      </w:r>
      <w:r>
        <w:rPr>
          <w:rFonts w:hint="eastAsia"/>
          <w:lang w:val="en-US" w:eastAsia="zh-CN"/>
        </w:rPr>
        <w:t>8</w:t>
      </w:r>
      <w:r>
        <w:rPr>
          <w:rFonts w:hint="eastAsia"/>
        </w:rPr>
        <w:t>%；</w:t>
      </w:r>
    </w:p>
    <w:p>
      <w:pPr>
        <w:ind w:firstLine="560" w:firstLineChars="200"/>
      </w:pPr>
      <w:r>
        <w:rPr>
          <w:rFonts w:hint="eastAsia"/>
        </w:rPr>
        <w:t>（3）畜禽粪污资源化利用台账建设率达到100%；</w:t>
      </w:r>
    </w:p>
    <w:p>
      <w:pPr>
        <w:ind w:firstLine="560" w:firstLineChars="200"/>
      </w:pPr>
      <w:r>
        <w:rPr>
          <w:rFonts w:hint="eastAsia"/>
        </w:rPr>
        <w:t>（4）达标排放的畜禽规模养殖场自行监测覆盖率达到100%。</w:t>
      </w:r>
    </w:p>
    <w:p>
      <w:pPr>
        <w:pStyle w:val="2"/>
        <w:spacing w:line="360" w:lineRule="auto"/>
      </w:pPr>
      <w:bookmarkStart w:id="79" w:name="_Toc8389"/>
      <w:r>
        <w:t>3</w:t>
      </w:r>
      <w:r>
        <w:rPr>
          <w:rFonts w:hint="eastAsia"/>
        </w:rPr>
        <w:t>.1.</w:t>
      </w:r>
      <w:r>
        <w:rPr>
          <w:rFonts w:hint="eastAsia"/>
          <w:lang w:val="en-US" w:eastAsia="zh-CN"/>
        </w:rPr>
        <w:t>2</w:t>
      </w:r>
      <w:r>
        <w:rPr>
          <w:rFonts w:hint="eastAsia"/>
        </w:rPr>
        <w:t>规划指标</w:t>
      </w:r>
      <w:bookmarkEnd w:id="76"/>
      <w:bookmarkEnd w:id="79"/>
    </w:p>
    <w:bookmarkEnd w:id="77"/>
    <w:bookmarkEnd w:id="78"/>
    <w:p>
      <w:pPr>
        <w:ind w:firstLine="560" w:firstLineChars="200"/>
        <w:rPr>
          <w:rFonts w:hint="eastAsia" w:eastAsia="仿宋"/>
          <w:highlight w:val="none"/>
          <w:lang w:eastAsia="zh-CN"/>
        </w:rPr>
      </w:pPr>
      <w:r>
        <w:rPr>
          <w:rFonts w:hint="eastAsia"/>
        </w:rPr>
        <w:t>依据《畜禽养殖污染防治规划编制指南（试行）》（环办土壤函</w:t>
      </w:r>
      <w:r>
        <w:rPr>
          <w:rFonts w:cs="Times New Roman"/>
          <w:szCs w:val="28"/>
        </w:rPr>
        <w:t>〔20</w:t>
      </w:r>
      <w:r>
        <w:rPr>
          <w:rFonts w:hint="eastAsia" w:cs="Times New Roman"/>
          <w:szCs w:val="28"/>
        </w:rPr>
        <w:t>21</w:t>
      </w:r>
      <w:r>
        <w:rPr>
          <w:rFonts w:cs="Times New Roman"/>
          <w:szCs w:val="28"/>
        </w:rPr>
        <w:t>〕</w:t>
      </w:r>
      <w:r>
        <w:rPr>
          <w:rFonts w:hint="eastAsia" w:cs="Times New Roman"/>
          <w:szCs w:val="28"/>
        </w:rPr>
        <w:t>465</w:t>
      </w:r>
      <w:r>
        <w:rPr>
          <w:rFonts w:cs="Times New Roman"/>
          <w:szCs w:val="28"/>
        </w:rPr>
        <w:t>号</w:t>
      </w:r>
      <w:r>
        <w:rPr>
          <w:rFonts w:hint="eastAsia"/>
        </w:rPr>
        <w:t>），畜禽养殖规划指标主要包括4项约束性指标。包括：畜禽粪污综合利用率、畜禽规模养殖场粪污处理设施配套率、畜禽规模养殖场粪污资源化利用台账建设率、达标排放的畜禽规模养殖场</w:t>
      </w:r>
      <w:r>
        <w:rPr>
          <w:rFonts w:hint="eastAsia"/>
          <w:highlight w:val="none"/>
        </w:rPr>
        <w:t>自行监测覆盖率。</w:t>
      </w:r>
    </w:p>
    <w:p>
      <w:pPr>
        <w:ind w:firstLine="560" w:firstLineChars="200"/>
        <w:rPr>
          <w:rFonts w:hint="default"/>
          <w:highlight w:val="none"/>
          <w:lang w:val="en-US"/>
        </w:rPr>
      </w:pPr>
      <w:r>
        <w:rPr>
          <w:rFonts w:hint="eastAsia"/>
          <w:highlight w:val="none"/>
          <w:lang w:val="en-US" w:eastAsia="zh-CN"/>
        </w:rPr>
        <w:t>截至2020年底，区畜禽粪污综合利用率已达75%以上，本次规划建议养殖户截至2025年畜禽粪污综合利用率达到90%，规模养殖场达98%。</w:t>
      </w:r>
    </w:p>
    <w:p>
      <w:pPr>
        <w:ind w:firstLine="560" w:firstLineChars="200"/>
      </w:pPr>
      <w:r>
        <w:rPr>
          <w:rFonts w:hint="eastAsia"/>
        </w:rPr>
        <w:t>区畜禽养殖规划指标见表3</w:t>
      </w:r>
      <w:r>
        <w:t>-</w:t>
      </w:r>
      <w:r>
        <w:rPr>
          <w:rFonts w:hint="eastAsia"/>
        </w:rPr>
        <w:t>1-</w:t>
      </w:r>
      <w:r>
        <w:t>1</w:t>
      </w:r>
      <w:r>
        <w:rPr>
          <w:rFonts w:hint="eastAsia"/>
        </w:rPr>
        <w:t>所示。</w:t>
      </w:r>
    </w:p>
    <w:p>
      <w:pPr>
        <w:jc w:val="center"/>
        <w:rPr>
          <w:rFonts w:cs="Times New Roman"/>
          <w:b/>
          <w:bCs/>
          <w:sz w:val="24"/>
          <w:szCs w:val="24"/>
        </w:rPr>
      </w:pPr>
      <w:r>
        <w:rPr>
          <w:rFonts w:cs="Times New Roman"/>
          <w:b/>
          <w:bCs/>
          <w:sz w:val="24"/>
          <w:szCs w:val="24"/>
        </w:rPr>
        <w:t>表3-1</w:t>
      </w:r>
      <w:r>
        <w:rPr>
          <w:rFonts w:hint="eastAsia" w:cs="Times New Roman"/>
          <w:b/>
          <w:bCs/>
          <w:sz w:val="24"/>
          <w:szCs w:val="24"/>
        </w:rPr>
        <w:t xml:space="preserve">-1 </w:t>
      </w:r>
      <w:r>
        <w:rPr>
          <w:rFonts w:cs="Times New Roman"/>
          <w:b/>
          <w:bCs/>
          <w:sz w:val="24"/>
          <w:szCs w:val="24"/>
        </w:rPr>
        <w:t>畜禽养殖规划</w:t>
      </w:r>
      <w:r>
        <w:rPr>
          <w:rFonts w:hint="eastAsia" w:cs="Times New Roman"/>
          <w:b/>
          <w:bCs/>
          <w:sz w:val="24"/>
          <w:szCs w:val="24"/>
        </w:rPr>
        <w:t>指标</w:t>
      </w:r>
    </w:p>
    <w:tbl>
      <w:tblPr>
        <w:tblStyle w:val="55"/>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529"/>
        <w:gridCol w:w="3118"/>
        <w:gridCol w:w="567"/>
        <w:gridCol w:w="1063"/>
        <w:gridCol w:w="1489"/>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jc w:val="center"/>
        </w:trPr>
        <w:tc>
          <w:tcPr>
            <w:tcW w:w="457"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序号</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养殖规模</w:t>
            </w:r>
          </w:p>
        </w:tc>
        <w:tc>
          <w:tcPr>
            <w:tcW w:w="311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指标名称</w:t>
            </w:r>
          </w:p>
        </w:tc>
        <w:tc>
          <w:tcPr>
            <w:tcW w:w="567"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单位</w:t>
            </w:r>
          </w:p>
        </w:tc>
        <w:tc>
          <w:tcPr>
            <w:tcW w:w="1063" w:type="dxa"/>
            <w:tcBorders>
              <w:top w:val="single" w:color="auto" w:sz="4" w:space="0"/>
              <w:left w:val="nil"/>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指标</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现状</w:t>
            </w:r>
          </w:p>
        </w:tc>
        <w:tc>
          <w:tcPr>
            <w:tcW w:w="1489"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目标值</w:t>
            </w:r>
          </w:p>
          <w:p>
            <w:pPr>
              <w:pStyle w:val="71"/>
              <w:keepNext w:val="0"/>
              <w:keepLines w:val="0"/>
              <w:suppressLineNumbers w:val="0"/>
              <w:spacing w:before="0" w:beforeAutospacing="0" w:after="0" w:afterAutospacing="0"/>
              <w:ind w:left="0" w:right="0"/>
              <w:rPr>
                <w:rFonts w:hint="default" w:cs="Times New Roman"/>
                <w:b/>
                <w:color w:val="000000" w:themeColor="text1"/>
                <w:szCs w:val="24"/>
                <w14:textFill>
                  <w14:solidFill>
                    <w14:schemeClr w14:val="tx1"/>
                  </w14:solidFill>
                </w14:textFill>
              </w:rPr>
            </w:pPr>
            <w:r>
              <w:rPr>
                <w:rFonts w:hint="default" w:cs="Times New Roman"/>
                <w:b/>
                <w:bCs/>
                <w:szCs w:val="24"/>
              </w:rPr>
              <w:t>2025年</w:t>
            </w:r>
          </w:p>
        </w:tc>
        <w:tc>
          <w:tcPr>
            <w:tcW w:w="1743"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color w:val="000000" w:themeColor="text1"/>
                <w:sz w:val="24"/>
                <w:szCs w:val="24"/>
                <w14:textFill>
                  <w14:solidFill>
                    <w14:schemeClr w14:val="tx1"/>
                  </w14:solidFill>
                </w14:textFill>
              </w:rPr>
            </w:pPr>
            <w:r>
              <w:rPr>
                <w:rFonts w:hint="default" w:cs="Times New Roman"/>
                <w:b/>
                <w:color w:val="000000" w:themeColor="text1"/>
                <w:sz w:val="24"/>
                <w:szCs w:val="24"/>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jc w:val="center"/>
              <w:rPr>
                <w:rFonts w:hint="default" w:cs="Times New Roman"/>
                <w:szCs w:val="24"/>
              </w:rPr>
            </w:pPr>
            <w:r>
              <w:rPr>
                <w:rFonts w:hint="default" w:cs="Times New Roman"/>
                <w:szCs w:val="24"/>
              </w:rPr>
              <w:t>1</w:t>
            </w:r>
          </w:p>
        </w:tc>
        <w:tc>
          <w:tcPr>
            <w:tcW w:w="152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规模养殖场</w:t>
            </w:r>
          </w:p>
        </w:tc>
        <w:tc>
          <w:tcPr>
            <w:tcW w:w="311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Cs w:val="24"/>
              </w:rPr>
            </w:pPr>
            <w:r>
              <w:rPr>
                <w:rFonts w:hint="default" w:cs="Times New Roman"/>
                <w:sz w:val="24"/>
                <w:szCs w:val="24"/>
              </w:rPr>
              <w:t>粪污处理设施装备配套率</w:t>
            </w:r>
          </w:p>
        </w:tc>
        <w:tc>
          <w:tcPr>
            <w:tcW w:w="567"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jc w:val="both"/>
              <w:rPr>
                <w:rFonts w:hint="eastAsia" w:eastAsia="仿宋" w:cs="Times New Roman"/>
                <w:szCs w:val="24"/>
                <w:lang w:val="en-US" w:eastAsia="zh-CN"/>
              </w:rPr>
            </w:pPr>
            <w:r>
              <w:rPr>
                <w:rFonts w:hint="eastAsia" w:cs="Times New Roman"/>
                <w:szCs w:val="24"/>
                <w:lang w:val="en-US" w:eastAsia="zh-CN"/>
              </w:rPr>
              <w:t>%</w:t>
            </w:r>
          </w:p>
        </w:tc>
        <w:tc>
          <w:tcPr>
            <w:tcW w:w="106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eastAsia" w:cs="Times New Roman"/>
                <w:szCs w:val="24"/>
              </w:rPr>
              <w:t>100</w:t>
            </w:r>
          </w:p>
        </w:tc>
        <w:tc>
          <w:tcPr>
            <w:tcW w:w="1489" w:type="dxa"/>
            <w:tcBorders>
              <w:top w:val="single" w:color="auto" w:sz="4" w:space="0"/>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default" w:cs="Times New Roman"/>
                <w:szCs w:val="24"/>
              </w:rPr>
              <w:t>100</w:t>
            </w:r>
          </w:p>
        </w:tc>
        <w:tc>
          <w:tcPr>
            <w:tcW w:w="174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default" w:cs="Times New Roman"/>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457" w:type="dxa"/>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jc w:val="center"/>
              <w:rPr>
                <w:rFonts w:hint="default" w:cs="Times New Roman"/>
                <w:szCs w:val="24"/>
              </w:rPr>
            </w:pPr>
            <w:r>
              <w:rPr>
                <w:rFonts w:hint="default" w:cs="Times New Roman"/>
                <w:szCs w:val="24"/>
              </w:rPr>
              <w:t>2</w:t>
            </w:r>
          </w:p>
        </w:tc>
        <w:tc>
          <w:tcPr>
            <w:tcW w:w="1529" w:type="dxa"/>
            <w:vMerge w:val="continue"/>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p>
        </w:tc>
        <w:tc>
          <w:tcPr>
            <w:tcW w:w="311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Cs w:val="24"/>
              </w:rPr>
            </w:pPr>
            <w:r>
              <w:rPr>
                <w:rFonts w:hint="default" w:cs="Times New Roman"/>
                <w:sz w:val="24"/>
                <w:szCs w:val="24"/>
              </w:rPr>
              <w:t>畜禽粪污综合利用率</w:t>
            </w:r>
          </w:p>
        </w:tc>
        <w:tc>
          <w:tcPr>
            <w:tcW w:w="56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 w:cs="Times New Roman"/>
                <w:color w:val="000000"/>
                <w:kern w:val="0"/>
                <w:sz w:val="24"/>
                <w:szCs w:val="24"/>
                <w:lang w:val="en-US" w:eastAsia="zh-CN" w:bidi="ar-SA"/>
              </w:rPr>
            </w:pPr>
            <w:r>
              <w:rPr>
                <w:rFonts w:hint="eastAsia" w:ascii="Times New Roman" w:hAnsi="Times New Roman" w:eastAsia="仿宋" w:cs="Times New Roman"/>
                <w:color w:val="000000"/>
                <w:kern w:val="0"/>
                <w:sz w:val="24"/>
                <w:szCs w:val="24"/>
                <w:lang w:val="en-US" w:eastAsia="zh-CN" w:bidi="ar-SA"/>
              </w:rPr>
              <w:t>%</w:t>
            </w:r>
          </w:p>
        </w:tc>
        <w:tc>
          <w:tcPr>
            <w:tcW w:w="1063"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仿宋" w:cs="Times New Roman"/>
                <w:sz w:val="24"/>
                <w:szCs w:val="24"/>
                <w:lang w:val="en-US" w:eastAsia="zh-CN"/>
              </w:rPr>
            </w:pPr>
            <w:r>
              <w:rPr>
                <w:rFonts w:hint="eastAsia" w:cs="Times New Roman"/>
                <w:sz w:val="24"/>
                <w:szCs w:val="24"/>
                <w:lang w:val="en-US" w:eastAsia="zh-CN"/>
              </w:rPr>
              <w:t>75</w:t>
            </w: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仿宋" w:cs="Times New Roman"/>
                <w:szCs w:val="24"/>
                <w:lang w:val="en-US" w:eastAsia="zh-CN"/>
              </w:rPr>
            </w:pPr>
            <w:r>
              <w:rPr>
                <w:rFonts w:hint="eastAsia" w:cs="Times New Roman"/>
                <w:sz w:val="24"/>
                <w:szCs w:val="24"/>
                <w:lang w:val="en-US" w:eastAsia="zh-CN"/>
              </w:rPr>
              <w:t>98</w:t>
            </w:r>
          </w:p>
        </w:tc>
        <w:tc>
          <w:tcPr>
            <w:tcW w:w="174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default" w:cs="Times New Roman"/>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jc w:val="center"/>
              <w:rPr>
                <w:rFonts w:hint="default" w:cs="Times New Roman"/>
                <w:szCs w:val="24"/>
              </w:rPr>
            </w:pPr>
            <w:r>
              <w:rPr>
                <w:rFonts w:hint="default" w:cs="Times New Roman"/>
                <w:szCs w:val="24"/>
              </w:rPr>
              <w:t>3</w:t>
            </w:r>
          </w:p>
        </w:tc>
        <w:tc>
          <w:tcPr>
            <w:tcW w:w="1529" w:type="dxa"/>
            <w:vMerge w:val="continue"/>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p>
        </w:tc>
        <w:tc>
          <w:tcPr>
            <w:tcW w:w="311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粪污资源化利用台账建设率</w:t>
            </w:r>
          </w:p>
        </w:tc>
        <w:tc>
          <w:tcPr>
            <w:tcW w:w="56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 w:cs="Times New Roman"/>
                <w:color w:val="000000"/>
                <w:kern w:val="0"/>
                <w:sz w:val="24"/>
                <w:szCs w:val="24"/>
                <w:lang w:val="en-US" w:eastAsia="zh-CN" w:bidi="ar-SA"/>
              </w:rPr>
            </w:pPr>
            <w:r>
              <w:rPr>
                <w:rFonts w:hint="eastAsia" w:ascii="Times New Roman" w:hAnsi="Times New Roman" w:eastAsia="仿宋" w:cs="Times New Roman"/>
                <w:color w:val="000000"/>
                <w:kern w:val="0"/>
                <w:sz w:val="24"/>
                <w:szCs w:val="24"/>
                <w:lang w:val="en-US" w:eastAsia="zh-CN" w:bidi="ar-SA"/>
              </w:rPr>
              <w:t>%</w:t>
            </w:r>
          </w:p>
        </w:tc>
        <w:tc>
          <w:tcPr>
            <w:tcW w:w="106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color w:val="auto"/>
                <w:szCs w:val="24"/>
              </w:rPr>
            </w:pPr>
            <w:r>
              <w:rPr>
                <w:rFonts w:hint="eastAsia" w:cs="Times New Roman"/>
                <w:color w:val="auto"/>
                <w:szCs w:val="24"/>
              </w:rPr>
              <w:t>100</w:t>
            </w:r>
          </w:p>
        </w:tc>
        <w:tc>
          <w:tcPr>
            <w:tcW w:w="1489" w:type="dxa"/>
            <w:tcBorders>
              <w:top w:val="single" w:color="auto" w:sz="4" w:space="0"/>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color w:val="auto"/>
                <w:szCs w:val="24"/>
              </w:rPr>
            </w:pPr>
            <w:r>
              <w:rPr>
                <w:rFonts w:hint="default" w:cs="Times New Roman"/>
                <w:color w:val="auto"/>
                <w:szCs w:val="24"/>
              </w:rPr>
              <w:t>100</w:t>
            </w:r>
          </w:p>
        </w:tc>
        <w:tc>
          <w:tcPr>
            <w:tcW w:w="174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default" w:cs="Times New Roman"/>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jc w:val="center"/>
              <w:rPr>
                <w:rFonts w:hint="default" w:cs="Times New Roman"/>
                <w:szCs w:val="24"/>
              </w:rPr>
            </w:pPr>
            <w:r>
              <w:rPr>
                <w:rFonts w:hint="default" w:cs="Times New Roman"/>
                <w:szCs w:val="24"/>
              </w:rPr>
              <w:t>4</w:t>
            </w:r>
          </w:p>
        </w:tc>
        <w:tc>
          <w:tcPr>
            <w:tcW w:w="1529" w:type="dxa"/>
            <w:vMerge w:val="continue"/>
            <w:tcBorders>
              <w:top w:val="nil"/>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p>
        </w:tc>
        <w:tc>
          <w:tcPr>
            <w:tcW w:w="311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达标排放的畜禽规模养殖场自行监测覆盖率</w:t>
            </w:r>
          </w:p>
        </w:tc>
        <w:tc>
          <w:tcPr>
            <w:tcW w:w="56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 w:cs="Times New Roman"/>
                <w:color w:val="000000"/>
                <w:kern w:val="0"/>
                <w:sz w:val="24"/>
                <w:szCs w:val="24"/>
                <w:lang w:val="en-US" w:eastAsia="zh-CN" w:bidi="ar-SA"/>
              </w:rPr>
            </w:pPr>
            <w:r>
              <w:rPr>
                <w:rFonts w:hint="eastAsia" w:ascii="Times New Roman" w:hAnsi="Times New Roman" w:eastAsia="仿宋" w:cs="Times New Roman"/>
                <w:color w:val="000000"/>
                <w:kern w:val="0"/>
                <w:sz w:val="24"/>
                <w:szCs w:val="24"/>
                <w:lang w:val="en-US" w:eastAsia="zh-CN" w:bidi="ar-SA"/>
              </w:rPr>
              <w:t>%</w:t>
            </w:r>
          </w:p>
        </w:tc>
        <w:tc>
          <w:tcPr>
            <w:tcW w:w="106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color w:val="auto"/>
                <w:szCs w:val="24"/>
              </w:rPr>
            </w:pPr>
            <w:r>
              <w:rPr>
                <w:rFonts w:hint="eastAsia" w:cs="Times New Roman"/>
                <w:color w:val="auto"/>
                <w:szCs w:val="24"/>
              </w:rPr>
              <w:t>100</w:t>
            </w:r>
          </w:p>
        </w:tc>
        <w:tc>
          <w:tcPr>
            <w:tcW w:w="1489" w:type="dxa"/>
            <w:tcBorders>
              <w:top w:val="single" w:color="auto" w:sz="4" w:space="0"/>
              <w:left w:val="single" w:color="auto" w:sz="4" w:space="0"/>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color w:val="auto"/>
                <w:szCs w:val="24"/>
              </w:rPr>
            </w:pPr>
            <w:r>
              <w:rPr>
                <w:rFonts w:hint="default" w:cs="Times New Roman"/>
                <w:color w:val="auto"/>
                <w:szCs w:val="24"/>
              </w:rPr>
              <w:t>100</w:t>
            </w:r>
          </w:p>
        </w:tc>
        <w:tc>
          <w:tcPr>
            <w:tcW w:w="1743" w:type="dxa"/>
            <w:tcBorders>
              <w:top w:val="single" w:color="auto" w:sz="4" w:space="0"/>
              <w:left w:val="nil"/>
              <w:bottom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default" w:cs="Times New Roman"/>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57" w:type="dxa"/>
            <w:tcBorders>
              <w:top w:val="nil"/>
              <w:left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jc w:val="center"/>
              <w:rPr>
                <w:rFonts w:hint="default" w:cs="Times New Roman"/>
                <w:szCs w:val="24"/>
              </w:rPr>
            </w:pPr>
            <w:r>
              <w:rPr>
                <w:rFonts w:hint="default" w:cs="Times New Roman"/>
                <w:szCs w:val="24"/>
              </w:rPr>
              <w:t>5</w:t>
            </w:r>
          </w:p>
        </w:tc>
        <w:tc>
          <w:tcPr>
            <w:tcW w:w="1529" w:type="dxa"/>
            <w:tcBorders>
              <w:top w:val="nil"/>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养殖户</w:t>
            </w:r>
          </w:p>
        </w:tc>
        <w:tc>
          <w:tcPr>
            <w:tcW w:w="3118" w:type="dxa"/>
            <w:tcBorders>
              <w:top w:val="single" w:color="auto" w:sz="4" w:space="0"/>
              <w:left w:val="nil"/>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畜禽粪污综合利用率</w:t>
            </w:r>
          </w:p>
        </w:tc>
        <w:tc>
          <w:tcPr>
            <w:tcW w:w="567" w:type="dxa"/>
            <w:tcBorders>
              <w:top w:val="single" w:color="auto" w:sz="4" w:space="0"/>
              <w:left w:val="nil"/>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 w:cs="Times New Roman"/>
                <w:color w:val="000000"/>
                <w:kern w:val="0"/>
                <w:sz w:val="24"/>
                <w:szCs w:val="24"/>
                <w:lang w:val="en-US" w:eastAsia="zh-CN" w:bidi="ar-SA"/>
              </w:rPr>
            </w:pPr>
            <w:r>
              <w:rPr>
                <w:rFonts w:hint="eastAsia" w:ascii="Times New Roman" w:hAnsi="Times New Roman" w:eastAsia="仿宋" w:cs="Times New Roman"/>
                <w:color w:val="000000"/>
                <w:kern w:val="0"/>
                <w:sz w:val="24"/>
                <w:szCs w:val="24"/>
                <w:lang w:val="en-US" w:eastAsia="zh-CN" w:bidi="ar-SA"/>
              </w:rPr>
              <w:t>%</w:t>
            </w:r>
          </w:p>
        </w:tc>
        <w:tc>
          <w:tcPr>
            <w:tcW w:w="1063" w:type="dxa"/>
            <w:tcBorders>
              <w:top w:val="single" w:color="auto" w:sz="4" w:space="0"/>
              <w:left w:val="nil"/>
              <w:right w:val="single" w:color="auto" w:sz="4" w:space="0"/>
            </w:tcBorders>
            <w:vAlign w:val="center"/>
          </w:tcPr>
          <w:p>
            <w:pPr>
              <w:pStyle w:val="71"/>
              <w:keepNext w:val="0"/>
              <w:keepLines w:val="0"/>
              <w:suppressLineNumbers w:val="0"/>
              <w:spacing w:before="0" w:beforeAutospacing="0" w:after="0" w:afterAutospacing="0"/>
              <w:ind w:left="0" w:right="0"/>
              <w:rPr>
                <w:rFonts w:hint="default" w:eastAsia="仿宋" w:cs="Times New Roman"/>
                <w:color w:val="auto"/>
                <w:szCs w:val="24"/>
                <w:lang w:eastAsia="zh-CN"/>
              </w:rPr>
            </w:pPr>
            <w:r>
              <w:rPr>
                <w:rFonts w:hint="eastAsia" w:cs="Times New Roman"/>
                <w:color w:val="auto"/>
                <w:szCs w:val="24"/>
              </w:rPr>
              <w:t>7</w:t>
            </w:r>
            <w:r>
              <w:rPr>
                <w:rFonts w:hint="eastAsia" w:cs="Times New Roman"/>
                <w:color w:val="auto"/>
                <w:szCs w:val="24"/>
                <w:lang w:val="en-US" w:eastAsia="zh-CN"/>
              </w:rPr>
              <w:t>5</w:t>
            </w:r>
          </w:p>
        </w:tc>
        <w:tc>
          <w:tcPr>
            <w:tcW w:w="1489" w:type="dxa"/>
            <w:tcBorders>
              <w:top w:val="single" w:color="auto" w:sz="4" w:space="0"/>
              <w:left w:val="single" w:color="auto" w:sz="4" w:space="0"/>
              <w:right w:val="single" w:color="auto" w:sz="4" w:space="0"/>
            </w:tcBorders>
            <w:vAlign w:val="center"/>
          </w:tcPr>
          <w:p>
            <w:pPr>
              <w:pStyle w:val="71"/>
              <w:keepNext w:val="0"/>
              <w:keepLines w:val="0"/>
              <w:suppressLineNumbers w:val="0"/>
              <w:spacing w:before="0" w:beforeAutospacing="0" w:after="0" w:afterAutospacing="0"/>
              <w:ind w:left="0" w:right="0"/>
              <w:rPr>
                <w:rFonts w:hint="default" w:eastAsia="仿宋" w:cs="Times New Roman"/>
                <w:color w:val="auto"/>
                <w:szCs w:val="24"/>
                <w:lang w:val="en-US" w:eastAsia="zh-CN"/>
              </w:rPr>
            </w:pPr>
            <w:r>
              <w:rPr>
                <w:rFonts w:hint="eastAsia" w:cs="Times New Roman"/>
                <w:color w:val="auto"/>
                <w:szCs w:val="24"/>
                <w:lang w:val="en-US" w:eastAsia="zh-CN"/>
              </w:rPr>
              <w:t>90</w:t>
            </w:r>
          </w:p>
        </w:tc>
        <w:tc>
          <w:tcPr>
            <w:tcW w:w="1743" w:type="dxa"/>
            <w:tcBorders>
              <w:top w:val="single" w:color="auto" w:sz="4" w:space="0"/>
              <w:left w:val="nil"/>
              <w:right w:val="single" w:color="auto" w:sz="4" w:space="0"/>
            </w:tcBorders>
            <w:vAlign w:val="center"/>
          </w:tcPr>
          <w:p>
            <w:pPr>
              <w:pStyle w:val="71"/>
              <w:keepNext w:val="0"/>
              <w:keepLines w:val="0"/>
              <w:suppressLineNumbers w:val="0"/>
              <w:spacing w:before="0" w:beforeAutospacing="0" w:after="0" w:afterAutospacing="0"/>
              <w:ind w:left="0" w:right="0"/>
              <w:rPr>
                <w:rFonts w:hint="default" w:cs="Times New Roman"/>
                <w:szCs w:val="24"/>
              </w:rPr>
            </w:pPr>
            <w:r>
              <w:rPr>
                <w:rFonts w:hint="default" w:cs="Times New Roman"/>
                <w:szCs w:val="24"/>
              </w:rPr>
              <w:t>约束性</w:t>
            </w:r>
          </w:p>
        </w:tc>
      </w:tr>
    </w:tbl>
    <w:p>
      <w:pPr>
        <w:pStyle w:val="4"/>
        <w:spacing w:before="190" w:after="190"/>
      </w:pPr>
      <w:bookmarkStart w:id="80" w:name="_Toc22412"/>
      <w:bookmarkStart w:id="81" w:name="_Toc408"/>
      <w:r>
        <w:rPr>
          <w:rFonts w:hint="eastAsia"/>
        </w:rPr>
        <w:t>3.2畜禽养殖环境承载力分析</w:t>
      </w:r>
      <w:bookmarkEnd w:id="80"/>
      <w:bookmarkEnd w:id="81"/>
    </w:p>
    <w:p>
      <w:pPr>
        <w:topLinePunct/>
        <w:adjustRightInd w:val="0"/>
        <w:snapToGrid w:val="0"/>
        <w:ind w:firstLine="560" w:firstLineChars="200"/>
        <w:rPr>
          <w:szCs w:val="28"/>
        </w:rPr>
      </w:pPr>
      <w:r>
        <w:rPr>
          <w:szCs w:val="28"/>
        </w:rPr>
        <w:t>畜禽养殖环境承载力分析包括畜禽粪污土地承载力、水环境和水资源承载力测算等内容。</w:t>
      </w:r>
    </w:p>
    <w:p>
      <w:pPr>
        <w:topLinePunct/>
        <w:adjustRightInd w:val="0"/>
        <w:snapToGrid w:val="0"/>
        <w:ind w:firstLine="560" w:firstLineChars="200"/>
        <w:rPr>
          <w:szCs w:val="28"/>
        </w:rPr>
      </w:pPr>
      <w:r>
        <w:rPr>
          <w:rFonts w:hint="eastAsia"/>
          <w:szCs w:val="28"/>
        </w:rPr>
        <w:t>（1）</w:t>
      </w:r>
      <w:r>
        <w:rPr>
          <w:szCs w:val="28"/>
        </w:rPr>
        <w:t>通过计算规划区域内畜禽粪肥养分需求量和土地可承载养殖量（以猪当量计），测算区域粪污土地承载力；</w:t>
      </w:r>
    </w:p>
    <w:p>
      <w:pPr>
        <w:topLinePunct/>
        <w:adjustRightInd w:val="0"/>
        <w:snapToGrid w:val="0"/>
        <w:ind w:firstLine="560" w:firstLineChars="200"/>
        <w:rPr>
          <w:szCs w:val="28"/>
        </w:rPr>
      </w:pPr>
      <w:r>
        <w:rPr>
          <w:rFonts w:hint="eastAsia"/>
          <w:szCs w:val="28"/>
        </w:rPr>
        <w:t>（2）</w:t>
      </w:r>
      <w:r>
        <w:rPr>
          <w:szCs w:val="28"/>
        </w:rPr>
        <w:t>水生态环境质量较差的地区应按照《水环境承载力评价办法（试行）》的要求，根据各类污染源污染物排放比例、产业结构优化目标等因素，进一步测算畜禽养殖水环境承载力；</w:t>
      </w:r>
    </w:p>
    <w:p>
      <w:pPr>
        <w:topLinePunct/>
        <w:adjustRightInd w:val="0"/>
        <w:snapToGrid w:val="0"/>
        <w:ind w:firstLine="560" w:firstLineChars="200"/>
        <w:rPr>
          <w:szCs w:val="28"/>
        </w:rPr>
      </w:pPr>
      <w:r>
        <w:rPr>
          <w:rFonts w:hint="eastAsia"/>
          <w:szCs w:val="28"/>
        </w:rPr>
        <w:t>（3）</w:t>
      </w:r>
      <w:r>
        <w:rPr>
          <w:szCs w:val="28"/>
        </w:rPr>
        <w:t>在畜禽粪污土地、水环境承载力测算基础上，根据农业生产取水、用水指标，畜牧业行业用水定额等因素，综合确定本区域畜禽粪污环境承载力（</w:t>
      </w:r>
      <w:bookmarkStart w:id="82" w:name="_Hlk72933431"/>
      <w:r>
        <w:rPr>
          <w:szCs w:val="28"/>
        </w:rPr>
        <w:t>以猪当量计</w:t>
      </w:r>
      <w:bookmarkEnd w:id="82"/>
      <w:r>
        <w:rPr>
          <w:szCs w:val="28"/>
        </w:rPr>
        <w:t>）。</w:t>
      </w:r>
    </w:p>
    <w:p>
      <w:pPr>
        <w:pStyle w:val="34"/>
        <w:spacing w:before="190" w:after="190"/>
        <w:outlineLvl w:val="2"/>
      </w:pPr>
      <w:bookmarkStart w:id="83" w:name="_Toc28456"/>
      <w:bookmarkStart w:id="84" w:name="_Toc24275"/>
      <w:r>
        <w:rPr>
          <w:rFonts w:hint="eastAsia"/>
        </w:rPr>
        <w:t xml:space="preserve">3.2.1 </w:t>
      </w:r>
      <w:r>
        <w:t>畜禽粪</w:t>
      </w:r>
      <w:r>
        <w:rPr>
          <w:rFonts w:hint="eastAsia"/>
        </w:rPr>
        <w:t>污土地承载力分析</w:t>
      </w:r>
      <w:bookmarkEnd w:id="83"/>
      <w:bookmarkEnd w:id="84"/>
    </w:p>
    <w:p>
      <w:pPr>
        <w:ind w:firstLine="562" w:firstLineChars="200"/>
        <w:rPr>
          <w:b/>
        </w:rPr>
      </w:pPr>
      <w:r>
        <w:rPr>
          <w:rFonts w:hint="eastAsia"/>
          <w:b/>
        </w:rPr>
        <w:t>（</w:t>
      </w:r>
      <w:r>
        <w:rPr>
          <w:rFonts w:hint="eastAsia"/>
          <w:b/>
          <w:lang w:val="en-US" w:eastAsia="zh-CN"/>
        </w:rPr>
        <w:t>1</w:t>
      </w:r>
      <w:r>
        <w:rPr>
          <w:rFonts w:hint="eastAsia"/>
          <w:b/>
        </w:rPr>
        <w:t>）土地可承载猪当量养殖量</w:t>
      </w:r>
    </w:p>
    <w:p>
      <w:pPr>
        <w:topLinePunct/>
        <w:adjustRightInd w:val="0"/>
        <w:snapToGrid w:val="0"/>
        <w:ind w:firstLine="560" w:firstLineChars="200"/>
        <w:rPr>
          <w:rFonts w:cs="Times New Roman"/>
          <w:szCs w:val="28"/>
        </w:rPr>
      </w:pPr>
      <w:r>
        <w:rPr>
          <w:rFonts w:cs="Times New Roman"/>
          <w:szCs w:val="28"/>
        </w:rPr>
        <w:t>根据畜禽粪肥养分最大需求量测算结果，考虑畜禽粪污在收集、贮存、运输、施用等环节中的养分损失率，推算粪污养分理论需求量，通过猪当量氮磷营养元素排泄量，推算土地可承载猪当量养殖量（以存栏量计），即区域畜禽粪污土地承载力。</w:t>
      </w:r>
    </w:p>
    <w:p>
      <w:pPr>
        <w:topLinePunct/>
        <w:adjustRightInd w:val="0"/>
        <w:snapToGrid w:val="0"/>
        <w:ind w:firstLine="560" w:firstLineChars="200"/>
        <w:rPr>
          <w:rFonts w:cs="Times New Roman"/>
          <w:szCs w:val="28"/>
        </w:rPr>
      </w:pPr>
      <w:r>
        <w:rPr>
          <w:rFonts w:cs="Times New Roman"/>
          <w:szCs w:val="28"/>
        </w:rPr>
        <w:t xml:space="preserve">计算公式如下： </w:t>
      </w:r>
    </w:p>
    <w:p>
      <w:pPr>
        <w:topLinePunct/>
        <w:adjustRightInd w:val="0"/>
        <w:snapToGrid w:val="0"/>
        <w:ind w:firstLine="560" w:firstLineChars="200"/>
        <w:jc w:val="center"/>
        <w:rPr>
          <w:rFonts w:cs="Times New Roman"/>
          <w:szCs w:val="28"/>
        </w:rPr>
      </w:pPr>
      <w:r>
        <w:rPr>
          <w:rFonts w:hint="eastAsia" w:cs="Times New Roman"/>
          <w:bCs/>
          <w:position w:val="-30"/>
          <w:szCs w:val="28"/>
        </w:rPr>
        <w:t xml:space="preserve">          </w:t>
      </w:r>
      <w:r>
        <w:rPr>
          <w:rFonts w:cs="Times New Roman"/>
          <w:bCs/>
          <w:position w:val="-30"/>
          <w:szCs w:val="28"/>
        </w:rPr>
        <w:object>
          <v:shape id="_x0000_i1025" o:spt="75" type="#_x0000_t75" style="height:36.75pt;width:99.75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r>
        <w:rPr>
          <w:rFonts w:cs="Times New Roman"/>
          <w:bCs/>
          <w:szCs w:val="28"/>
        </w:rPr>
        <w:t xml:space="preserve">                                （式3）</w:t>
      </w:r>
    </w:p>
    <w:p>
      <w:pPr>
        <w:topLinePunct/>
        <w:adjustRightInd w:val="0"/>
        <w:snapToGrid w:val="0"/>
        <w:ind w:firstLine="560" w:firstLineChars="200"/>
        <w:rPr>
          <w:rFonts w:cs="Times New Roman"/>
          <w:szCs w:val="28"/>
        </w:rPr>
      </w:pPr>
      <w:r>
        <w:rPr>
          <w:rFonts w:cs="Times New Roman"/>
          <w:szCs w:val="28"/>
        </w:rPr>
        <w:t>式中：</w:t>
      </w:r>
    </w:p>
    <w:p>
      <w:pPr>
        <w:topLinePunct/>
        <w:adjustRightInd w:val="0"/>
        <w:snapToGrid w:val="0"/>
        <w:ind w:firstLine="560" w:firstLineChars="200"/>
        <w:rPr>
          <w:rFonts w:cs="Times New Roman"/>
          <w:szCs w:val="28"/>
        </w:rPr>
      </w:pPr>
      <w:r>
        <w:rPr>
          <w:rFonts w:cs="Times New Roman"/>
          <w:i/>
          <w:iCs/>
          <w:szCs w:val="28"/>
        </w:rPr>
        <w:t>K</w:t>
      </w:r>
      <w:r>
        <w:rPr>
          <w:rFonts w:cs="Times New Roman"/>
          <w:i/>
          <w:iCs/>
          <w:szCs w:val="28"/>
          <w:vertAlign w:val="subscript"/>
        </w:rPr>
        <w:t>pig</w:t>
      </w:r>
      <w:r>
        <w:rPr>
          <w:rFonts w:cs="Times New Roman"/>
          <w:szCs w:val="28"/>
        </w:rPr>
        <w:t xml:space="preserve">—猪当量养殖量（存栏），头。 </w:t>
      </w:r>
    </w:p>
    <w:p>
      <w:pPr>
        <w:topLinePunct/>
        <w:adjustRightInd w:val="0"/>
        <w:snapToGrid w:val="0"/>
        <w:ind w:firstLine="560" w:firstLineChars="200"/>
        <w:rPr>
          <w:rFonts w:cs="Times New Roman"/>
          <w:iCs/>
          <w:szCs w:val="28"/>
        </w:rPr>
      </w:pPr>
      <w:r>
        <w:rPr>
          <w:rFonts w:cs="Times New Roman"/>
          <w:i/>
          <w:iCs/>
          <w:szCs w:val="28"/>
        </w:rPr>
        <w:t>r</w:t>
      </w:r>
      <w:r>
        <w:rPr>
          <w:rFonts w:cs="Times New Roman"/>
          <w:iCs/>
          <w:szCs w:val="28"/>
        </w:rPr>
        <w:t>—</w:t>
      </w:r>
      <w:bookmarkStart w:id="85" w:name="_Hlk77542080"/>
      <w:r>
        <w:rPr>
          <w:rFonts w:cs="Times New Roman"/>
          <w:iCs/>
          <w:szCs w:val="28"/>
        </w:rPr>
        <w:t>粪肥氮（磷）元素留存率</w:t>
      </w:r>
      <w:bookmarkEnd w:id="85"/>
      <w:r>
        <w:rPr>
          <w:rFonts w:cs="Times New Roman"/>
          <w:iCs/>
          <w:szCs w:val="28"/>
        </w:rPr>
        <w:t>，一般为60%-70%。</w:t>
      </w:r>
    </w:p>
    <w:p>
      <w:pPr>
        <w:topLinePunct/>
        <w:adjustRightInd w:val="0"/>
        <w:snapToGrid w:val="0"/>
        <w:ind w:firstLine="560" w:firstLineChars="200"/>
        <w:rPr>
          <w:rFonts w:cs="Times New Roman"/>
          <w:iCs/>
          <w:szCs w:val="28"/>
        </w:rPr>
      </w:pPr>
      <w:r>
        <w:rPr>
          <w:rFonts w:cs="Times New Roman"/>
          <w:i/>
          <w:iCs/>
          <w:szCs w:val="28"/>
        </w:rPr>
        <w:t>P</w:t>
      </w:r>
      <w:r>
        <w:rPr>
          <w:rFonts w:cs="Times New Roman"/>
          <w:i/>
          <w:iCs/>
          <w:szCs w:val="28"/>
          <w:vertAlign w:val="subscript"/>
        </w:rPr>
        <w:t>N</w:t>
      </w:r>
      <w:r>
        <w:rPr>
          <w:rFonts w:cs="Times New Roman"/>
          <w:iCs/>
          <w:szCs w:val="28"/>
        </w:rPr>
        <w:t>—猪当量的氮（磷）排泄量，千克/头。</w:t>
      </w:r>
    </w:p>
    <w:p>
      <w:pPr>
        <w:ind w:firstLine="560" w:firstLineChars="200"/>
        <w:rPr>
          <w:rFonts w:cs="Times New Roman"/>
          <w:szCs w:val="28"/>
        </w:rPr>
      </w:pPr>
      <w:r>
        <w:rPr>
          <w:rFonts w:cs="Times New Roman"/>
          <w:szCs w:val="28"/>
        </w:rPr>
        <w:t>如当地无粪肥氮磷元素留存率相关数据，可综合考虑畜禽粪污养分在收集、处理和贮存过程中的损失，单位猪当量氮养分供给量参考值为7.0千克/头，磷养分供给量参考值为1.2千克/头。</w:t>
      </w:r>
    </w:p>
    <w:p>
      <w:pPr>
        <w:ind w:firstLine="562" w:firstLineChars="200"/>
        <w:rPr>
          <w:rFonts w:cs="Times New Roman"/>
          <w:b/>
          <w:szCs w:val="28"/>
        </w:rPr>
      </w:pPr>
      <w:r>
        <w:rPr>
          <w:rFonts w:cs="Times New Roman"/>
          <w:b/>
          <w:szCs w:val="28"/>
        </w:rPr>
        <w:t>（</w:t>
      </w:r>
      <w:r>
        <w:rPr>
          <w:rFonts w:hint="eastAsia" w:cs="Times New Roman"/>
          <w:b/>
          <w:szCs w:val="28"/>
          <w:lang w:val="en-US" w:eastAsia="zh-CN"/>
        </w:rPr>
        <w:t>2</w:t>
      </w:r>
      <w:r>
        <w:rPr>
          <w:rFonts w:cs="Times New Roman"/>
          <w:b/>
          <w:szCs w:val="28"/>
        </w:rPr>
        <w:t>）区畜禽粪肥养分需求量与土地承载力测算</w:t>
      </w:r>
    </w:p>
    <w:p>
      <w:pPr>
        <w:ind w:left="560" w:leftChars="200" w:firstLine="0" w:firstLineChars="0"/>
        <w:rPr>
          <w:rFonts w:hint="eastAsia" w:eastAsia="仿宋" w:cs="Times New Roman"/>
          <w:iCs/>
          <w:szCs w:val="28"/>
          <w:lang w:eastAsia="zh-CN"/>
        </w:rPr>
      </w:pPr>
      <w:r>
        <w:rPr>
          <w:rFonts w:cs="Times New Roman"/>
          <w:szCs w:val="28"/>
        </w:rPr>
        <w:t>各参数取值：f取55%；K取27.5%；</w:t>
      </w:r>
      <w:r>
        <w:rPr>
          <w:rFonts w:cs="Times New Roman"/>
          <w:i/>
          <w:iCs/>
          <w:szCs w:val="28"/>
        </w:rPr>
        <w:t>P</w:t>
      </w:r>
      <w:r>
        <w:rPr>
          <w:rFonts w:cs="Times New Roman"/>
          <w:i/>
          <w:iCs/>
          <w:szCs w:val="28"/>
          <w:vertAlign w:val="subscript"/>
        </w:rPr>
        <w:t>manure</w:t>
      </w:r>
      <w:r>
        <w:rPr>
          <w:rFonts w:cs="Times New Roman"/>
          <w:iCs/>
          <w:szCs w:val="28"/>
        </w:rPr>
        <w:t>取75%；r取65%。</w:t>
      </w:r>
    </w:p>
    <w:p>
      <w:pPr>
        <w:ind w:left="560" w:leftChars="200" w:firstLine="0" w:firstLineChars="0"/>
        <w:rPr>
          <w:rFonts w:cs="Times New Roman"/>
          <w:szCs w:val="28"/>
        </w:rPr>
      </w:pPr>
      <w:r>
        <w:rPr>
          <w:rFonts w:hint="eastAsia" w:cs="Times New Roman"/>
          <w:szCs w:val="28"/>
          <w:lang w:eastAsia="zh-CN"/>
        </w:rPr>
        <w:t>巴州</w:t>
      </w:r>
      <w:r>
        <w:rPr>
          <w:rFonts w:cs="Times New Roman"/>
          <w:szCs w:val="28"/>
        </w:rPr>
        <w:t>区农用地各作物畜禽粪肥需求量及土地承载力测算如表3-2-2。</w:t>
      </w:r>
    </w:p>
    <w:p>
      <w:pPr>
        <w:pStyle w:val="50"/>
        <w:rPr>
          <w:rFonts w:hint="default" w:eastAsia="仿宋"/>
          <w:lang w:val="en-US" w:eastAsia="zh-CN"/>
        </w:rPr>
      </w:pPr>
      <w:r>
        <w:rPr>
          <w:rFonts w:hint="eastAsia"/>
        </w:rPr>
        <w:t xml:space="preserve">表3-2-1 </w:t>
      </w:r>
      <w:r>
        <w:rPr>
          <w:rFonts w:hint="eastAsia"/>
          <w:lang w:eastAsia="zh-CN"/>
        </w:rPr>
        <w:t>巴州区</w:t>
      </w:r>
      <w:r>
        <w:rPr>
          <w:rFonts w:hint="eastAsia"/>
          <w:lang w:val="en-US" w:eastAsia="zh-CN"/>
        </w:rPr>
        <w:t>2020年不同植物的总产量一览表</w:t>
      </w:r>
      <w:r>
        <w:rPr>
          <w:rFonts w:hint="eastAsia"/>
          <w:lang w:val="en-US" w:eastAsia="zh-CN"/>
        </w:rPr>
        <w:br w:type="textWrapping"/>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top"/>
          </w:tcPr>
          <w:p>
            <w:pPr>
              <w:pStyle w:val="50"/>
              <w:keepNext w:val="0"/>
              <w:keepLines w:val="0"/>
              <w:suppressLineNumbers w:val="0"/>
              <w:spacing w:before="0" w:beforeAutospacing="0" w:after="0" w:afterAutospacing="0"/>
              <w:ind w:left="0" w:leftChars="0" w:right="0" w:rightChars="0"/>
              <w:rPr>
                <w:rFonts w:hint="default" w:eastAsia="仿宋"/>
                <w:vertAlign w:val="baseline"/>
                <w:lang w:val="en-US" w:eastAsia="zh-CN"/>
              </w:rPr>
            </w:pPr>
            <w:r>
              <w:rPr>
                <w:rFonts w:hint="eastAsia"/>
                <w:vertAlign w:val="baseline"/>
                <w:lang w:eastAsia="zh-CN"/>
              </w:rPr>
              <w:t>序号</w:t>
            </w:r>
          </w:p>
        </w:tc>
        <w:tc>
          <w:tcPr>
            <w:tcW w:w="2132" w:type="dxa"/>
            <w:vAlign w:val="top"/>
          </w:tcPr>
          <w:p>
            <w:pPr>
              <w:pStyle w:val="50"/>
              <w:keepNext w:val="0"/>
              <w:keepLines w:val="0"/>
              <w:suppressLineNumbers w:val="0"/>
              <w:spacing w:before="0" w:beforeAutospacing="0" w:after="0" w:afterAutospacing="0"/>
              <w:ind w:left="0" w:leftChars="0" w:right="0" w:rightChars="0"/>
              <w:rPr>
                <w:rFonts w:hint="default" w:eastAsia="仿宋"/>
                <w:vertAlign w:val="baseline"/>
                <w:lang w:val="en-US" w:eastAsia="zh-CN"/>
              </w:rPr>
            </w:pPr>
            <w:r>
              <w:rPr>
                <w:rFonts w:hint="eastAsia"/>
                <w:vertAlign w:val="baseline"/>
                <w:lang w:eastAsia="zh-CN"/>
              </w:rPr>
              <w:t>作物种类</w:t>
            </w:r>
          </w:p>
        </w:tc>
        <w:tc>
          <w:tcPr>
            <w:tcW w:w="2132" w:type="dxa"/>
            <w:vAlign w:val="top"/>
          </w:tcPr>
          <w:p>
            <w:pPr>
              <w:pStyle w:val="50"/>
              <w:keepNext w:val="0"/>
              <w:keepLines w:val="0"/>
              <w:suppressLineNumbers w:val="0"/>
              <w:spacing w:before="0" w:beforeAutospacing="0" w:after="0" w:afterAutospacing="0"/>
              <w:ind w:left="0" w:leftChars="0" w:right="0" w:rightChars="0"/>
              <w:rPr>
                <w:rFonts w:hint="default" w:eastAsia="仿宋"/>
                <w:vertAlign w:val="baseline"/>
                <w:lang w:val="en-US" w:eastAsia="zh-CN"/>
              </w:rPr>
            </w:pPr>
            <w:r>
              <w:rPr>
                <w:rFonts w:hint="eastAsia"/>
                <w:vertAlign w:val="baseline"/>
                <w:lang w:eastAsia="zh-CN"/>
              </w:rPr>
              <w:t>总产量</w:t>
            </w:r>
            <w:r>
              <w:rPr>
                <w:rFonts w:hint="eastAsia"/>
                <w:vertAlign w:val="baseline"/>
                <w:lang w:val="en-US" w:eastAsia="zh-CN"/>
              </w:rPr>
              <w:t>/面积</w:t>
            </w:r>
          </w:p>
        </w:tc>
        <w:tc>
          <w:tcPr>
            <w:tcW w:w="2132" w:type="dxa"/>
            <w:vAlign w:val="top"/>
          </w:tcPr>
          <w:p>
            <w:pPr>
              <w:pStyle w:val="50"/>
              <w:keepNext w:val="0"/>
              <w:keepLines w:val="0"/>
              <w:suppressLineNumbers w:val="0"/>
              <w:spacing w:before="0" w:beforeAutospacing="0" w:after="0" w:afterAutospacing="0"/>
              <w:ind w:left="0" w:leftChars="0" w:right="0" w:rightChars="0"/>
              <w:rPr>
                <w:rFonts w:hint="default" w:eastAsia="仿宋"/>
                <w:vertAlign w:val="baseline"/>
                <w:lang w:val="en-US" w:eastAsia="zh-CN"/>
              </w:rPr>
            </w:pPr>
            <w:r>
              <w:rPr>
                <w:rFonts w:hint="eastAsia"/>
                <w:vertAlign w:val="baseli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1</w:t>
            </w:r>
          </w:p>
        </w:tc>
        <w:tc>
          <w:tcPr>
            <w:tcW w:w="2132" w:type="dxa"/>
            <w:vMerge w:val="restart"/>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大田作物</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水稻</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127391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2</w:t>
            </w:r>
          </w:p>
        </w:tc>
        <w:tc>
          <w:tcPr>
            <w:tcW w:w="2132" w:type="dxa"/>
            <w:vMerge w:val="continue"/>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小麦</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55944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3</w:t>
            </w:r>
          </w:p>
        </w:tc>
        <w:tc>
          <w:tcPr>
            <w:tcW w:w="2132" w:type="dxa"/>
            <w:vMerge w:val="continue"/>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玉米</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88190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4</w:t>
            </w:r>
          </w:p>
        </w:tc>
        <w:tc>
          <w:tcPr>
            <w:tcW w:w="2132" w:type="dxa"/>
            <w:vMerge w:val="continue"/>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红苕</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31518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5</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果树</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园林水果</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16768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6</w:t>
            </w:r>
          </w:p>
        </w:tc>
        <w:tc>
          <w:tcPr>
            <w:tcW w:w="2132" w:type="dxa"/>
            <w:vMerge w:val="restart"/>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经济作物</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油料</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27915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7</w:t>
            </w:r>
          </w:p>
        </w:tc>
        <w:tc>
          <w:tcPr>
            <w:tcW w:w="2132" w:type="dxa"/>
            <w:vMerge w:val="continue"/>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甘蔗</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6582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8</w:t>
            </w:r>
          </w:p>
        </w:tc>
        <w:tc>
          <w:tcPr>
            <w:tcW w:w="2132" w:type="dxa"/>
            <w:vMerge w:val="continue"/>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烟叶</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9</w:t>
            </w:r>
          </w:p>
        </w:tc>
        <w:tc>
          <w:tcPr>
            <w:tcW w:w="2132" w:type="dxa"/>
            <w:vMerge w:val="continue"/>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茶叶</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bCs/>
                <w:sz w:val="24"/>
                <w:szCs w:val="24"/>
                <w:lang w:val="en-US" w:eastAsia="zh-CN"/>
              </w:rPr>
            </w:pPr>
            <w:r>
              <w:rPr>
                <w:rFonts w:hint="eastAsia" w:ascii="仿宋" w:hAnsi="仿宋"/>
                <w:bCs/>
                <w:sz w:val="24"/>
                <w:szCs w:val="24"/>
                <w:lang w:val="en-US" w:eastAsia="zh-CN"/>
              </w:rPr>
              <w:t>10</w:t>
            </w:r>
          </w:p>
        </w:tc>
        <w:tc>
          <w:tcPr>
            <w:tcW w:w="4264" w:type="dxa"/>
            <w:gridSpan w:val="2"/>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eastAsia="zh-CN"/>
              </w:rPr>
              <w:t>林地</w:t>
            </w:r>
          </w:p>
        </w:tc>
        <w:tc>
          <w:tcPr>
            <w:tcW w:w="2132" w:type="dxa"/>
            <w:vAlign w:val="center"/>
          </w:tcPr>
          <w:p>
            <w:pPr>
              <w:keepNext w:val="0"/>
              <w:keepLines w:val="0"/>
              <w:suppressLineNumbers w:val="0"/>
              <w:spacing w:before="0" w:beforeAutospacing="0" w:after="0" w:afterAutospacing="0"/>
              <w:ind w:left="0" w:leftChars="0" w:right="0" w:rightChars="0"/>
              <w:jc w:val="center"/>
              <w:rPr>
                <w:rFonts w:hint="default" w:eastAsia="仿宋"/>
                <w:vertAlign w:val="baseline"/>
                <w:lang w:val="en-US" w:eastAsia="zh-CN"/>
              </w:rPr>
            </w:pPr>
            <w:r>
              <w:rPr>
                <w:rFonts w:hint="eastAsia" w:ascii="仿宋" w:hAnsi="仿宋"/>
                <w:bCs/>
                <w:sz w:val="24"/>
                <w:szCs w:val="24"/>
                <w:lang w:val="en-US" w:eastAsia="zh-CN"/>
              </w:rPr>
              <w:t>6090000</w:t>
            </w:r>
          </w:p>
        </w:tc>
      </w:tr>
    </w:tbl>
    <w:p>
      <w:pPr>
        <w:pStyle w:val="50"/>
        <w:rPr>
          <w:rFonts w:hint="default" w:eastAsia="仿宋"/>
          <w:lang w:val="en-US" w:eastAsia="zh-CN"/>
        </w:rPr>
      </w:pPr>
    </w:p>
    <w:tbl>
      <w:tblPr>
        <w:tblStyle w:val="24"/>
        <w:tblpPr w:leftFromText="180" w:rightFromText="180" w:vertAnchor="text" w:horzAnchor="page" w:tblpX="12615" w:tblpY="1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638"/>
        <w:gridCol w:w="1638"/>
        <w:gridCol w:w="1755"/>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trPr>
        <w:tc>
          <w:tcPr>
            <w:tcW w:w="2199" w:type="dxa"/>
          </w:tcPr>
          <w:p>
            <w:pPr>
              <w:pStyle w:val="50"/>
              <w:keepNext w:val="0"/>
              <w:keepLines w:val="0"/>
              <w:suppressLineNumbers w:val="0"/>
              <w:spacing w:before="0" w:beforeAutospacing="0" w:after="0" w:afterAutospacing="0"/>
              <w:ind w:left="0" w:right="0"/>
              <w:rPr>
                <w:rFonts w:hint="eastAsia" w:eastAsia="仿宋"/>
                <w:vertAlign w:val="baseline"/>
                <w:lang w:eastAsia="zh-CN"/>
              </w:rPr>
            </w:pPr>
            <w:r>
              <w:rPr>
                <w:rFonts w:hint="eastAsia"/>
                <w:vertAlign w:val="baseline"/>
                <w:lang w:eastAsia="zh-CN"/>
              </w:rPr>
              <w:t>序号</w:t>
            </w:r>
          </w:p>
        </w:tc>
        <w:tc>
          <w:tcPr>
            <w:tcW w:w="3848" w:type="dxa"/>
            <w:gridSpan w:val="2"/>
          </w:tcPr>
          <w:p>
            <w:pPr>
              <w:pStyle w:val="50"/>
              <w:keepNext w:val="0"/>
              <w:keepLines w:val="0"/>
              <w:suppressLineNumbers w:val="0"/>
              <w:spacing w:before="0" w:beforeAutospacing="0" w:after="0" w:afterAutospacing="0"/>
              <w:ind w:left="0" w:right="0"/>
              <w:rPr>
                <w:rFonts w:hint="eastAsia"/>
                <w:vertAlign w:val="baseline"/>
              </w:rPr>
            </w:pPr>
            <w:r>
              <w:rPr>
                <w:rFonts w:hint="eastAsia"/>
                <w:vertAlign w:val="baseline"/>
                <w:lang w:eastAsia="zh-CN"/>
              </w:rPr>
              <w:t>作物种类</w:t>
            </w:r>
          </w:p>
        </w:tc>
        <w:tc>
          <w:tcPr>
            <w:tcW w:w="1924" w:type="dxa"/>
          </w:tcPr>
          <w:p>
            <w:pPr>
              <w:pStyle w:val="50"/>
              <w:keepNext w:val="0"/>
              <w:keepLines w:val="0"/>
              <w:suppressLineNumbers w:val="0"/>
              <w:spacing w:before="0" w:beforeAutospacing="0" w:after="0" w:afterAutospacing="0"/>
              <w:ind w:left="0" w:right="0"/>
              <w:rPr>
                <w:rFonts w:hint="default" w:eastAsia="仿宋"/>
                <w:vertAlign w:val="baseline"/>
                <w:lang w:val="en-US" w:eastAsia="zh-CN"/>
              </w:rPr>
            </w:pPr>
            <w:r>
              <w:rPr>
                <w:rFonts w:hint="eastAsia"/>
                <w:vertAlign w:val="baseline"/>
                <w:lang w:eastAsia="zh-CN"/>
              </w:rPr>
              <w:t>总产量</w:t>
            </w:r>
            <w:r>
              <w:rPr>
                <w:rFonts w:hint="eastAsia"/>
                <w:vertAlign w:val="baseline"/>
                <w:lang w:val="en-US" w:eastAsia="zh-CN"/>
              </w:rPr>
              <w:t>/面积</w:t>
            </w:r>
          </w:p>
        </w:tc>
        <w:tc>
          <w:tcPr>
            <w:tcW w:w="1924" w:type="dxa"/>
          </w:tcPr>
          <w:p>
            <w:pPr>
              <w:pStyle w:val="50"/>
              <w:keepNext w:val="0"/>
              <w:keepLines w:val="0"/>
              <w:suppressLineNumbers w:val="0"/>
              <w:spacing w:before="0" w:beforeAutospacing="0" w:after="0" w:afterAutospacing="0"/>
              <w:ind w:left="0" w:right="0"/>
              <w:rPr>
                <w:rFonts w:hint="eastAsia" w:eastAsia="仿宋"/>
                <w:vertAlign w:val="baseline"/>
                <w:lang w:eastAsia="zh-CN"/>
              </w:rPr>
            </w:pPr>
            <w:r>
              <w:rPr>
                <w:rFonts w:hint="eastAsia"/>
                <w:vertAlign w:val="baseli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w:t>
            </w:r>
          </w:p>
        </w:tc>
        <w:tc>
          <w:tcPr>
            <w:tcW w:w="1924" w:type="dxa"/>
            <w:vMerge w:val="restart"/>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大田作物</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水稻</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127391</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199"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w:t>
            </w:r>
          </w:p>
        </w:tc>
        <w:tc>
          <w:tcPr>
            <w:tcW w:w="1924"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小麦</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55944</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w:t>
            </w:r>
          </w:p>
        </w:tc>
        <w:tc>
          <w:tcPr>
            <w:tcW w:w="1924"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rPr>
            </w:pP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玉米</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88190</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w:t>
            </w:r>
          </w:p>
        </w:tc>
        <w:tc>
          <w:tcPr>
            <w:tcW w:w="1924"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rPr>
            </w:pP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红苕</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31518</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5</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果树</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园林水果</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16768</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6</w:t>
            </w:r>
          </w:p>
        </w:tc>
        <w:tc>
          <w:tcPr>
            <w:tcW w:w="1924" w:type="dxa"/>
            <w:vMerge w:val="restart"/>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经济作物</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油料</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27915</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w:t>
            </w:r>
          </w:p>
        </w:tc>
        <w:tc>
          <w:tcPr>
            <w:tcW w:w="1924"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甘蔗</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6582</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w:t>
            </w:r>
          </w:p>
        </w:tc>
        <w:tc>
          <w:tcPr>
            <w:tcW w:w="1924"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烟叶</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85</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w:t>
            </w:r>
          </w:p>
        </w:tc>
        <w:tc>
          <w:tcPr>
            <w:tcW w:w="1924"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茶叶</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86</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99"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10</w:t>
            </w:r>
          </w:p>
        </w:tc>
        <w:tc>
          <w:tcPr>
            <w:tcW w:w="3848" w:type="dxa"/>
            <w:gridSpan w:val="2"/>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林地</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6090000</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立方米</w:t>
            </w:r>
          </w:p>
        </w:tc>
      </w:tr>
    </w:tbl>
    <w:p>
      <w:pPr>
        <w:jc w:val="center"/>
        <w:rPr>
          <w:rFonts w:hint="default"/>
          <w:b/>
          <w:sz w:val="24"/>
          <w:lang w:val="en-US"/>
        </w:rPr>
      </w:pPr>
      <w:r>
        <w:rPr>
          <w:rFonts w:hint="eastAsia"/>
          <w:b/>
          <w:sz w:val="24"/>
        </w:rPr>
        <w:t xml:space="preserve">表3-2-2 </w:t>
      </w:r>
      <w:r>
        <w:rPr>
          <w:rFonts w:hint="eastAsia"/>
          <w:b/>
          <w:sz w:val="24"/>
          <w:lang w:eastAsia="zh-CN"/>
        </w:rPr>
        <w:t>不同植物形成</w:t>
      </w:r>
      <w:r>
        <w:rPr>
          <w:rFonts w:hint="eastAsia"/>
          <w:b/>
          <w:sz w:val="24"/>
          <w:lang w:val="en-US" w:eastAsia="zh-CN"/>
        </w:rPr>
        <w:t>100kg产量需要吸收氮量推荐值</w:t>
      </w:r>
    </w:p>
    <w:tbl>
      <w:tblPr>
        <w:tblStyle w:val="24"/>
        <w:tblpPr w:leftFromText="180" w:rightFromText="180" w:vertAnchor="text" w:horzAnchor="page" w:tblpX="1800" w:tblpY="2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2027"/>
        <w:gridCol w:w="2028"/>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819" w:type="dxa"/>
          </w:tcPr>
          <w:p>
            <w:pPr>
              <w:pStyle w:val="50"/>
              <w:keepNext w:val="0"/>
              <w:keepLines w:val="0"/>
              <w:suppressLineNumbers w:val="0"/>
              <w:spacing w:before="0" w:beforeAutospacing="0" w:after="0" w:afterAutospacing="0"/>
              <w:ind w:left="0" w:right="0"/>
              <w:rPr>
                <w:rFonts w:hint="eastAsia" w:eastAsia="仿宋"/>
                <w:vertAlign w:val="baseline"/>
                <w:lang w:eastAsia="zh-CN"/>
              </w:rPr>
            </w:pPr>
            <w:r>
              <w:rPr>
                <w:rFonts w:hint="eastAsia"/>
                <w:vertAlign w:val="baseline"/>
                <w:lang w:eastAsia="zh-CN"/>
              </w:rPr>
              <w:t>序号</w:t>
            </w:r>
          </w:p>
        </w:tc>
        <w:tc>
          <w:tcPr>
            <w:tcW w:w="4933" w:type="dxa"/>
            <w:gridSpan w:val="2"/>
          </w:tcPr>
          <w:p>
            <w:pPr>
              <w:pStyle w:val="50"/>
              <w:keepNext w:val="0"/>
              <w:keepLines w:val="0"/>
              <w:suppressLineNumbers w:val="0"/>
              <w:spacing w:before="0" w:beforeAutospacing="0" w:after="0" w:afterAutospacing="0"/>
              <w:ind w:left="0" w:right="0"/>
              <w:rPr>
                <w:rFonts w:hint="eastAsia"/>
                <w:vertAlign w:val="baseline"/>
              </w:rPr>
            </w:pPr>
            <w:r>
              <w:rPr>
                <w:rFonts w:hint="eastAsia"/>
                <w:vertAlign w:val="baseline"/>
                <w:lang w:eastAsia="zh-CN"/>
              </w:rPr>
              <w:t>作物种类</w:t>
            </w:r>
          </w:p>
        </w:tc>
        <w:tc>
          <w:tcPr>
            <w:tcW w:w="2466" w:type="dxa"/>
          </w:tcPr>
          <w:p>
            <w:pPr>
              <w:pStyle w:val="50"/>
              <w:keepNext w:val="0"/>
              <w:keepLines w:val="0"/>
              <w:suppressLineNumbers w:val="0"/>
              <w:spacing w:before="0" w:beforeAutospacing="0" w:after="0" w:afterAutospacing="0"/>
              <w:ind w:left="0" w:right="0"/>
              <w:rPr>
                <w:rFonts w:hint="default" w:eastAsia="仿宋"/>
                <w:vertAlign w:val="baseline"/>
                <w:lang w:val="en-US" w:eastAsia="zh-CN"/>
              </w:rPr>
            </w:pPr>
            <w:r>
              <w:rPr>
                <w:rFonts w:hint="eastAsia"/>
                <w:vertAlign w:val="baseline"/>
                <w:lang w:eastAsia="zh-CN"/>
              </w:rPr>
              <w:t>氮</w:t>
            </w:r>
            <w:r>
              <w:rPr>
                <w:rFonts w:hint="eastAsia"/>
                <w:vertAlign w:val="baseline"/>
                <w:lang w:val="en-US" w:eastAsia="zh-CN"/>
              </w:rPr>
              <w:t>/N（kg）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w:t>
            </w:r>
          </w:p>
        </w:tc>
        <w:tc>
          <w:tcPr>
            <w:tcW w:w="2466" w:type="dxa"/>
            <w:vMerge w:val="restart"/>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大田作物</w:t>
            </w: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水稻</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819"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w:t>
            </w:r>
          </w:p>
        </w:tc>
        <w:tc>
          <w:tcPr>
            <w:tcW w:w="246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小麦</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w:t>
            </w:r>
          </w:p>
        </w:tc>
        <w:tc>
          <w:tcPr>
            <w:tcW w:w="246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rPr>
            </w:pP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玉米</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w:t>
            </w:r>
          </w:p>
        </w:tc>
        <w:tc>
          <w:tcPr>
            <w:tcW w:w="246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rPr>
            </w:pP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红苕</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5</w:t>
            </w:r>
          </w:p>
        </w:tc>
        <w:tc>
          <w:tcPr>
            <w:tcW w:w="2466"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果树</w:t>
            </w: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以柑橘为主</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6</w:t>
            </w:r>
          </w:p>
        </w:tc>
        <w:tc>
          <w:tcPr>
            <w:tcW w:w="2466" w:type="dxa"/>
            <w:vMerge w:val="restart"/>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经济作物</w:t>
            </w: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油料</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w:t>
            </w:r>
          </w:p>
        </w:tc>
        <w:tc>
          <w:tcPr>
            <w:tcW w:w="246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甘蔗</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w:t>
            </w:r>
          </w:p>
        </w:tc>
        <w:tc>
          <w:tcPr>
            <w:tcW w:w="246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烟叶</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81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w:t>
            </w:r>
          </w:p>
        </w:tc>
        <w:tc>
          <w:tcPr>
            <w:tcW w:w="246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246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茶叶</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19"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10</w:t>
            </w:r>
          </w:p>
        </w:tc>
        <w:tc>
          <w:tcPr>
            <w:tcW w:w="2466"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林地</w:t>
            </w:r>
          </w:p>
        </w:tc>
        <w:tc>
          <w:tcPr>
            <w:tcW w:w="2467"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桉树</w:t>
            </w:r>
          </w:p>
        </w:tc>
        <w:tc>
          <w:tcPr>
            <w:tcW w:w="2466"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3.3kg/m</w:t>
            </w:r>
            <w:r>
              <w:rPr>
                <w:rFonts w:hint="eastAsia" w:ascii="仿宋" w:hAnsi="仿宋"/>
                <w:bCs/>
                <w:sz w:val="24"/>
                <w:szCs w:val="24"/>
                <w:vertAlign w:val="superscript"/>
                <w:lang w:val="en-US" w:eastAsia="zh-CN"/>
              </w:rPr>
              <w:t>3</w:t>
            </w:r>
          </w:p>
        </w:tc>
      </w:tr>
    </w:tbl>
    <w:p>
      <w:pPr>
        <w:ind w:firstLine="564"/>
        <w:jc w:val="center"/>
        <w:rPr>
          <w:rFonts w:hint="eastAsia"/>
          <w:b/>
          <w:sz w:val="24"/>
        </w:rPr>
      </w:pPr>
    </w:p>
    <w:p>
      <w:pPr>
        <w:ind w:firstLine="564"/>
        <w:jc w:val="center"/>
      </w:pPr>
      <w:r>
        <w:rPr>
          <w:rFonts w:hint="eastAsia"/>
          <w:b/>
          <w:sz w:val="24"/>
        </w:rPr>
        <w:t>表3-2-</w:t>
      </w:r>
      <w:r>
        <w:rPr>
          <w:rFonts w:hint="eastAsia"/>
          <w:b/>
          <w:sz w:val="24"/>
          <w:lang w:val="en-US" w:eastAsia="zh-CN"/>
        </w:rPr>
        <w:t>3</w:t>
      </w:r>
      <w:r>
        <w:rPr>
          <w:rFonts w:hint="eastAsia"/>
          <w:b/>
          <w:sz w:val="24"/>
        </w:rPr>
        <w:t xml:space="preserve"> </w:t>
      </w:r>
      <w:r>
        <w:rPr>
          <w:rFonts w:hint="eastAsia"/>
          <w:b/>
          <w:sz w:val="24"/>
          <w:lang w:eastAsia="zh-CN"/>
        </w:rPr>
        <w:t>区域植物养分需求量一览表</w:t>
      </w:r>
    </w:p>
    <w:tbl>
      <w:tblPr>
        <w:tblStyle w:val="24"/>
        <w:tblpPr w:leftFromText="180" w:rightFromText="180" w:vertAnchor="text" w:horzAnchor="page" w:tblpX="1800" w:tblpY="2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254"/>
        <w:gridCol w:w="1325"/>
        <w:gridCol w:w="2473"/>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199" w:type="dxa"/>
          </w:tcPr>
          <w:p>
            <w:pPr>
              <w:pStyle w:val="50"/>
              <w:keepNext w:val="0"/>
              <w:keepLines w:val="0"/>
              <w:suppressLineNumbers w:val="0"/>
              <w:spacing w:before="0" w:beforeAutospacing="0" w:after="0" w:afterAutospacing="0"/>
              <w:ind w:left="0" w:right="0"/>
              <w:rPr>
                <w:rFonts w:hint="eastAsia" w:eastAsia="仿宋"/>
                <w:vertAlign w:val="baseline"/>
                <w:lang w:eastAsia="zh-CN"/>
              </w:rPr>
            </w:pPr>
            <w:r>
              <w:rPr>
                <w:rFonts w:hint="eastAsia"/>
                <w:vertAlign w:val="baseline"/>
                <w:lang w:eastAsia="zh-CN"/>
              </w:rPr>
              <w:t>序号</w:t>
            </w:r>
          </w:p>
        </w:tc>
        <w:tc>
          <w:tcPr>
            <w:tcW w:w="3001" w:type="dxa"/>
            <w:gridSpan w:val="2"/>
          </w:tcPr>
          <w:p>
            <w:pPr>
              <w:pStyle w:val="50"/>
              <w:keepNext w:val="0"/>
              <w:keepLines w:val="0"/>
              <w:suppressLineNumbers w:val="0"/>
              <w:spacing w:before="0" w:beforeAutospacing="0" w:after="0" w:afterAutospacing="0"/>
              <w:ind w:left="0" w:right="0"/>
              <w:rPr>
                <w:rFonts w:hint="eastAsia"/>
                <w:vertAlign w:val="baseline"/>
              </w:rPr>
            </w:pPr>
            <w:r>
              <w:rPr>
                <w:rFonts w:hint="eastAsia"/>
                <w:vertAlign w:val="baseline"/>
                <w:lang w:eastAsia="zh-CN"/>
              </w:rPr>
              <w:t>作物种类</w:t>
            </w:r>
          </w:p>
        </w:tc>
        <w:tc>
          <w:tcPr>
            <w:tcW w:w="2771" w:type="dxa"/>
          </w:tcPr>
          <w:p>
            <w:pPr>
              <w:pStyle w:val="50"/>
              <w:keepNext w:val="0"/>
              <w:keepLines w:val="0"/>
              <w:suppressLineNumbers w:val="0"/>
              <w:spacing w:before="0" w:beforeAutospacing="0" w:after="0" w:afterAutospacing="0"/>
              <w:ind w:left="0" w:right="0"/>
              <w:rPr>
                <w:rFonts w:hint="default" w:eastAsia="仿宋"/>
                <w:vertAlign w:val="baseline"/>
                <w:lang w:val="en-US" w:eastAsia="zh-CN"/>
              </w:rPr>
            </w:pPr>
            <w:r>
              <w:rPr>
                <w:rFonts w:hint="eastAsia"/>
                <w:vertAlign w:val="baseline"/>
                <w:lang w:eastAsia="zh-CN"/>
              </w:rPr>
              <w:t>区域植物养分需求量</w:t>
            </w:r>
          </w:p>
        </w:tc>
        <w:tc>
          <w:tcPr>
            <w:tcW w:w="1924" w:type="dxa"/>
          </w:tcPr>
          <w:p>
            <w:pPr>
              <w:pStyle w:val="50"/>
              <w:keepNext w:val="0"/>
              <w:keepLines w:val="0"/>
              <w:suppressLineNumbers w:val="0"/>
              <w:spacing w:before="0" w:beforeAutospacing="0" w:after="0" w:afterAutospacing="0"/>
              <w:ind w:left="0" w:right="0"/>
              <w:rPr>
                <w:rFonts w:hint="eastAsia" w:eastAsia="仿宋"/>
                <w:vertAlign w:val="baseline"/>
                <w:lang w:eastAsia="zh-CN"/>
              </w:rPr>
            </w:pPr>
            <w:r>
              <w:rPr>
                <w:rFonts w:hint="eastAsia"/>
                <w:vertAlign w:val="baseli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w:t>
            </w:r>
          </w:p>
        </w:tc>
        <w:tc>
          <w:tcPr>
            <w:tcW w:w="1456" w:type="dxa"/>
            <w:vMerge w:val="restart"/>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大田作物</w:t>
            </w: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水稻</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2802.602</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199"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w:t>
            </w:r>
          </w:p>
        </w:tc>
        <w:tc>
          <w:tcPr>
            <w:tcW w:w="145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小麦</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1678.32</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w:t>
            </w:r>
          </w:p>
        </w:tc>
        <w:tc>
          <w:tcPr>
            <w:tcW w:w="145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rPr>
            </w:pP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玉米</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2028.37</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w:t>
            </w:r>
          </w:p>
        </w:tc>
        <w:tc>
          <w:tcPr>
            <w:tcW w:w="145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rPr>
            </w:pP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红苕</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157.59</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5</w:t>
            </w:r>
          </w:p>
        </w:tc>
        <w:tc>
          <w:tcPr>
            <w:tcW w:w="1456"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果树</w:t>
            </w: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园林水果</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100.608</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6</w:t>
            </w:r>
          </w:p>
        </w:tc>
        <w:tc>
          <w:tcPr>
            <w:tcW w:w="1456" w:type="dxa"/>
            <w:vMerge w:val="restart"/>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经济作物</w:t>
            </w: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油料</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2007.0885</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w:t>
            </w:r>
          </w:p>
        </w:tc>
        <w:tc>
          <w:tcPr>
            <w:tcW w:w="145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甘蔗</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11.8476</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w:t>
            </w:r>
          </w:p>
        </w:tc>
        <w:tc>
          <w:tcPr>
            <w:tcW w:w="145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烟叶</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3.2725</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w:t>
            </w:r>
          </w:p>
        </w:tc>
        <w:tc>
          <w:tcPr>
            <w:tcW w:w="1456" w:type="dxa"/>
            <w:vMerge w:val="continue"/>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p>
        </w:tc>
        <w:tc>
          <w:tcPr>
            <w:tcW w:w="154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茶叶</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5.504</w:t>
            </w:r>
          </w:p>
        </w:tc>
        <w:tc>
          <w:tcPr>
            <w:tcW w:w="1924"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10</w:t>
            </w:r>
          </w:p>
        </w:tc>
        <w:tc>
          <w:tcPr>
            <w:tcW w:w="3001" w:type="dxa"/>
            <w:gridSpan w:val="2"/>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eastAsia="zh-CN"/>
              </w:rPr>
            </w:pPr>
            <w:r>
              <w:rPr>
                <w:rFonts w:hint="eastAsia" w:ascii="仿宋" w:hAnsi="仿宋"/>
                <w:bCs/>
                <w:sz w:val="24"/>
                <w:szCs w:val="24"/>
                <w:lang w:eastAsia="zh-CN"/>
              </w:rPr>
              <w:t>林地</w:t>
            </w:r>
          </w:p>
        </w:tc>
        <w:tc>
          <w:tcPr>
            <w:tcW w:w="2771"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20097</w:t>
            </w:r>
          </w:p>
        </w:tc>
        <w:tc>
          <w:tcPr>
            <w:tcW w:w="1924"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吨</w:t>
            </w:r>
          </w:p>
        </w:tc>
      </w:tr>
    </w:tbl>
    <w:p>
      <w:pPr>
        <w:ind w:firstLine="564"/>
        <w:rPr>
          <w:rFonts w:hint="eastAsia" w:eastAsia="仿宋"/>
          <w:lang w:eastAsia="zh-CN"/>
        </w:rPr>
      </w:pPr>
      <w:r>
        <w:rPr>
          <w:rFonts w:hint="eastAsia"/>
        </w:rPr>
        <w:t>根据表3-2-</w:t>
      </w:r>
      <w:r>
        <w:rPr>
          <w:rFonts w:hint="eastAsia"/>
          <w:lang w:val="en-US" w:eastAsia="zh-CN"/>
        </w:rPr>
        <w:t>3</w:t>
      </w:r>
      <w:r>
        <w:rPr>
          <w:rFonts w:hint="eastAsia"/>
        </w:rPr>
        <w:t>可见，</w:t>
      </w:r>
      <w:r>
        <w:rPr>
          <w:rFonts w:hint="eastAsia"/>
          <w:lang w:eastAsia="zh-CN"/>
        </w:rPr>
        <w:t>巴州区</w:t>
      </w:r>
      <w:r>
        <w:rPr>
          <w:rFonts w:hint="eastAsia"/>
        </w:rPr>
        <w:t>农用地各作物对畜禽粪肥需求量较大，以氮肥计，氮肥需求总量可达</w:t>
      </w:r>
      <w:r>
        <w:rPr>
          <w:rFonts w:hint="eastAsia"/>
          <w:lang w:val="en-US" w:eastAsia="zh-CN"/>
        </w:rPr>
        <w:t>28892.21</w:t>
      </w:r>
      <w:r>
        <w:rPr>
          <w:rFonts w:hint="eastAsia"/>
        </w:rPr>
        <w:t>t，结合</w:t>
      </w:r>
      <w:r>
        <w:rPr>
          <w:rFonts w:hint="eastAsia"/>
          <w:lang w:eastAsia="zh-CN"/>
        </w:rPr>
        <w:t>巴州区</w:t>
      </w:r>
      <w:r>
        <w:rPr>
          <w:rFonts w:hint="eastAsia"/>
        </w:rPr>
        <w:t>的实际情况，施肥供给养分占比取55%，粪肥占施肥比例取35%，粪肥中氮素当季利用率取30%，由此可计算出区域植物粪肥养分需求量为</w:t>
      </w:r>
      <w:r>
        <w:rPr>
          <w:rFonts w:hint="eastAsia"/>
          <w:lang w:val="en-US" w:eastAsia="zh-CN"/>
        </w:rPr>
        <w:t>18539.16</w:t>
      </w:r>
      <w:r>
        <w:rPr>
          <w:rFonts w:hint="eastAsia"/>
        </w:rPr>
        <w:t>吨</w:t>
      </w:r>
      <w:r>
        <w:rPr>
          <w:rFonts w:hint="eastAsia"/>
          <w:lang w:eastAsia="zh-CN"/>
        </w:rPr>
        <w:t>，</w:t>
      </w:r>
      <w:r>
        <w:rPr>
          <w:rFonts w:hint="eastAsia"/>
        </w:rPr>
        <w:t>全区耕地可承载</w:t>
      </w:r>
      <w:r>
        <w:rPr>
          <w:rFonts w:hint="eastAsia"/>
          <w:lang w:val="en-US" w:eastAsia="zh-CN"/>
        </w:rPr>
        <w:t>2648432</w:t>
      </w:r>
      <w:r>
        <w:rPr>
          <w:rFonts w:hint="eastAsia"/>
        </w:rPr>
        <w:t>标准猪，2020年全区现有畜禽养殖存栏总量，折算为标准猪的数量为</w:t>
      </w:r>
      <w:r>
        <w:rPr>
          <w:rFonts w:hint="eastAsia"/>
          <w:lang w:val="en-US" w:eastAsia="zh-CN"/>
        </w:rPr>
        <w:t>992436</w:t>
      </w:r>
      <w:r>
        <w:rPr>
          <w:rFonts w:hint="eastAsia"/>
        </w:rPr>
        <w:t>猪当量。现有畜禽猪当量占全区土地可承载猪当量的</w:t>
      </w:r>
      <w:r>
        <w:rPr>
          <w:rFonts w:hint="eastAsia"/>
          <w:lang w:val="en-US" w:eastAsia="zh-CN"/>
        </w:rPr>
        <w:t>37.47</w:t>
      </w:r>
      <w:r>
        <w:rPr>
          <w:rFonts w:hint="eastAsia"/>
        </w:rPr>
        <w:t>%，未达到全区区域可承载猪当量80%的阈值。</w:t>
      </w:r>
      <w:r>
        <w:rPr>
          <w:rFonts w:hint="eastAsia" w:cstheme="minorBidi"/>
          <w:b/>
          <w:bCs w:val="0"/>
          <w:color w:val="auto"/>
          <w:kern w:val="2"/>
          <w:sz w:val="28"/>
          <w:szCs w:val="28"/>
          <w:lang w:val="en-US" w:eastAsia="zh-CN" w:bidi="ar-SA"/>
        </w:rPr>
        <w:t>巴中市产业发展集团有限公司拟于鼎山镇建设鼎山镇首市村巴山肉牛育肥基地，规划存栏量为10000头/年，全区区域可承载量满足该项目的建设需求。</w:t>
      </w:r>
      <w:r>
        <w:rPr>
          <w:rFonts w:hint="eastAsia"/>
        </w:rPr>
        <w:t>因此，从全区范围的土地承载力而言，满足大力发展养殖业的需求，能够全部消纳粪污量。</w:t>
      </w:r>
    </w:p>
    <w:p>
      <w:pPr>
        <w:ind w:firstLine="564"/>
        <w:rPr>
          <w:rFonts w:hint="eastAsia" w:cs="Times New Roman"/>
          <w:b/>
          <w:szCs w:val="28"/>
          <w:lang w:eastAsia="zh-CN"/>
        </w:rPr>
      </w:pPr>
      <w:r>
        <w:rPr>
          <w:rFonts w:cs="Times New Roman"/>
          <w:b/>
          <w:szCs w:val="28"/>
        </w:rPr>
        <w:t>（</w:t>
      </w:r>
      <w:r>
        <w:rPr>
          <w:rFonts w:hint="eastAsia" w:cs="Times New Roman"/>
          <w:b/>
          <w:szCs w:val="28"/>
          <w:lang w:val="en-US" w:eastAsia="zh-CN"/>
        </w:rPr>
        <w:t>3</w:t>
      </w:r>
      <w:r>
        <w:rPr>
          <w:rFonts w:cs="Times New Roman"/>
          <w:b/>
          <w:szCs w:val="28"/>
        </w:rPr>
        <w:t>）</w:t>
      </w:r>
      <w:r>
        <w:rPr>
          <w:rFonts w:hint="eastAsia" w:cs="Times New Roman"/>
          <w:b/>
          <w:szCs w:val="28"/>
          <w:lang w:eastAsia="zh-CN"/>
        </w:rPr>
        <w:t>乡镇畜禽养殖配套土地核算</w:t>
      </w:r>
    </w:p>
    <w:p>
      <w:pPr>
        <w:pStyle w:val="50"/>
        <w:ind w:firstLine="560" w:firstLineChars="200"/>
        <w:jc w:val="both"/>
        <w:rPr>
          <w:rFonts w:hint="eastAsia" w:cstheme="minorBidi"/>
          <w:b w:val="0"/>
          <w:bCs/>
          <w:kern w:val="2"/>
          <w:sz w:val="28"/>
          <w:szCs w:val="28"/>
          <w:lang w:val="en-US" w:eastAsia="zh-CN" w:bidi="ar-SA"/>
        </w:rPr>
      </w:pPr>
      <w:r>
        <w:rPr>
          <w:rFonts w:hint="eastAsia" w:ascii="Times New Roman" w:hAnsi="Times New Roman" w:eastAsia="仿宋" w:cstheme="minorBidi"/>
          <w:b w:val="0"/>
          <w:bCs/>
          <w:kern w:val="2"/>
          <w:sz w:val="28"/>
          <w:szCs w:val="28"/>
          <w:lang w:val="en-US" w:eastAsia="zh-CN" w:bidi="ar-SA"/>
        </w:rPr>
        <w:t>巴州区</w:t>
      </w:r>
      <w:r>
        <w:rPr>
          <w:rFonts w:hint="eastAsia" w:cstheme="minorBidi"/>
          <w:b w:val="0"/>
          <w:bCs/>
          <w:kern w:val="2"/>
          <w:sz w:val="28"/>
          <w:szCs w:val="28"/>
          <w:lang w:val="en-US" w:eastAsia="zh-CN" w:bidi="ar-SA"/>
        </w:rPr>
        <w:t>各乡镇配套土地及现状用地情况如下表所示</w:t>
      </w:r>
    </w:p>
    <w:p>
      <w:pPr>
        <w:pStyle w:val="50"/>
        <w:ind w:firstLine="482" w:firstLineChars="200"/>
        <w:jc w:val="center"/>
        <w:rPr>
          <w:rFonts w:hint="default" w:eastAsia="仿宋"/>
          <w:lang w:val="en-US" w:eastAsia="zh-CN"/>
        </w:rPr>
      </w:pPr>
      <w:r>
        <w:rPr>
          <w:rFonts w:hint="eastAsia"/>
        </w:rPr>
        <w:t>表3-</w:t>
      </w:r>
      <w:r>
        <w:rPr>
          <w:rFonts w:hint="eastAsia"/>
          <w:lang w:val="en-US" w:eastAsia="zh-CN"/>
        </w:rPr>
        <w:t>2</w:t>
      </w:r>
      <w:r>
        <w:rPr>
          <w:rFonts w:hint="eastAsia"/>
        </w:rPr>
        <w:t>-</w:t>
      </w:r>
      <w:r>
        <w:rPr>
          <w:rFonts w:hint="eastAsia"/>
          <w:lang w:val="en-US" w:eastAsia="zh-CN"/>
        </w:rPr>
        <w:t>4</w:t>
      </w:r>
      <w:r>
        <w:rPr>
          <w:rFonts w:hint="eastAsia"/>
        </w:rPr>
        <w:t xml:space="preserve"> </w:t>
      </w:r>
      <w:r>
        <w:rPr>
          <w:rFonts w:hint="eastAsia"/>
          <w:lang w:eastAsia="zh-CN"/>
        </w:rPr>
        <w:t>巴州区</w:t>
      </w:r>
      <w:r>
        <w:rPr>
          <w:rFonts w:hint="eastAsia"/>
          <w:lang w:val="en-US" w:eastAsia="zh-CN"/>
        </w:rPr>
        <w:t>各乡镇配套土地及现状用地一览表</w:t>
      </w:r>
    </w:p>
    <w:tbl>
      <w:tblPr>
        <w:tblStyle w:val="24"/>
        <w:tblpPr w:leftFromText="180" w:rightFromText="180" w:vertAnchor="text" w:horzAnchor="page" w:tblpX="1691" w:tblpY="211"/>
        <w:tblOverlap w:val="never"/>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918"/>
        <w:gridCol w:w="1307"/>
        <w:gridCol w:w="1363"/>
        <w:gridCol w:w="1513"/>
        <w:gridCol w:w="141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pStyle w:val="50"/>
              <w:keepNext w:val="0"/>
              <w:keepLines w:val="0"/>
              <w:suppressLineNumbers w:val="0"/>
              <w:spacing w:before="0" w:beforeAutospacing="0" w:after="0" w:afterAutospacing="0"/>
              <w:ind w:left="0" w:right="0"/>
              <w:jc w:val="center"/>
              <w:rPr>
                <w:rFonts w:hint="eastAsia" w:eastAsia="仿宋"/>
                <w:vertAlign w:val="baseline"/>
                <w:lang w:eastAsia="zh-CN"/>
              </w:rPr>
            </w:pPr>
            <w:r>
              <w:rPr>
                <w:rFonts w:hint="eastAsia"/>
                <w:vertAlign w:val="baseline"/>
                <w:lang w:eastAsia="zh-CN"/>
              </w:rPr>
              <w:t>序号</w:t>
            </w:r>
          </w:p>
        </w:tc>
        <w:tc>
          <w:tcPr>
            <w:tcW w:w="918" w:type="dxa"/>
            <w:vAlign w:val="center"/>
          </w:tcPr>
          <w:p>
            <w:pPr>
              <w:pStyle w:val="50"/>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乡镇名称</w:t>
            </w:r>
          </w:p>
        </w:tc>
        <w:tc>
          <w:tcPr>
            <w:tcW w:w="1307" w:type="dxa"/>
            <w:vAlign w:val="center"/>
          </w:tcPr>
          <w:p>
            <w:pPr>
              <w:pStyle w:val="50"/>
              <w:keepNext w:val="0"/>
              <w:keepLines w:val="0"/>
              <w:suppressLineNumbers w:val="0"/>
              <w:spacing w:before="0" w:beforeAutospacing="0" w:after="0" w:afterAutospacing="0"/>
              <w:ind w:left="0" w:right="0"/>
              <w:jc w:val="center"/>
              <w:rPr>
                <w:rFonts w:hint="eastAsia"/>
                <w:vertAlign w:val="baseline"/>
                <w:lang w:eastAsia="zh-CN"/>
              </w:rPr>
            </w:pPr>
            <w:r>
              <w:rPr>
                <w:rFonts w:hint="eastAsia"/>
                <w:vertAlign w:val="baseline"/>
                <w:lang w:eastAsia="zh-CN"/>
              </w:rPr>
              <w:t>耕地面积（亩）</w:t>
            </w:r>
          </w:p>
        </w:tc>
        <w:tc>
          <w:tcPr>
            <w:tcW w:w="1363" w:type="dxa"/>
            <w:vAlign w:val="center"/>
          </w:tcPr>
          <w:p>
            <w:pPr>
              <w:pStyle w:val="50"/>
              <w:keepNext w:val="0"/>
              <w:keepLines w:val="0"/>
              <w:suppressLineNumbers w:val="0"/>
              <w:spacing w:before="0" w:beforeAutospacing="0" w:after="0" w:afterAutospacing="0"/>
              <w:ind w:left="0" w:right="0"/>
              <w:jc w:val="center"/>
              <w:rPr>
                <w:rFonts w:hint="default" w:eastAsia="仿宋"/>
                <w:vertAlign w:val="baseline"/>
                <w:lang w:val="en-US" w:eastAsia="zh-CN"/>
              </w:rPr>
            </w:pPr>
            <w:r>
              <w:rPr>
                <w:rFonts w:hint="eastAsia"/>
                <w:vertAlign w:val="baseline"/>
                <w:lang w:eastAsia="zh-CN"/>
              </w:rPr>
              <w:t>林地面积（亩）</w:t>
            </w:r>
          </w:p>
        </w:tc>
        <w:tc>
          <w:tcPr>
            <w:tcW w:w="1513" w:type="dxa"/>
            <w:vAlign w:val="center"/>
          </w:tcPr>
          <w:p>
            <w:pPr>
              <w:pStyle w:val="50"/>
              <w:keepNext w:val="0"/>
              <w:keepLines w:val="0"/>
              <w:suppressLineNumbers w:val="0"/>
              <w:spacing w:before="0" w:beforeAutospacing="0" w:after="0" w:afterAutospacing="0"/>
              <w:ind w:left="0" w:right="0"/>
              <w:jc w:val="center"/>
              <w:rPr>
                <w:rFonts w:hint="eastAsia" w:eastAsia="仿宋"/>
                <w:vertAlign w:val="baseline"/>
                <w:lang w:eastAsia="zh-CN"/>
              </w:rPr>
            </w:pPr>
            <w:r>
              <w:rPr>
                <w:rFonts w:hint="eastAsia"/>
                <w:vertAlign w:val="baseline"/>
                <w:lang w:eastAsia="zh-CN"/>
              </w:rPr>
              <w:t>合计（亩）</w:t>
            </w:r>
          </w:p>
        </w:tc>
        <w:tc>
          <w:tcPr>
            <w:tcW w:w="1410" w:type="dxa"/>
            <w:vAlign w:val="center"/>
          </w:tcPr>
          <w:p>
            <w:pPr>
              <w:pStyle w:val="50"/>
              <w:keepNext w:val="0"/>
              <w:keepLines w:val="0"/>
              <w:suppressLineNumbers w:val="0"/>
              <w:spacing w:before="0" w:beforeAutospacing="0" w:after="0" w:afterAutospacing="0"/>
              <w:ind w:left="0" w:right="0"/>
              <w:jc w:val="center"/>
              <w:rPr>
                <w:rFonts w:hint="eastAsia"/>
                <w:vertAlign w:val="baseline"/>
                <w:lang w:eastAsia="zh-CN"/>
              </w:rPr>
            </w:pPr>
            <w:r>
              <w:rPr>
                <w:rFonts w:hint="eastAsia"/>
                <w:vertAlign w:val="baseline"/>
                <w:lang w:eastAsia="zh-CN"/>
              </w:rPr>
              <w:t>需求配套面积（亩）</w:t>
            </w:r>
          </w:p>
        </w:tc>
        <w:tc>
          <w:tcPr>
            <w:tcW w:w="1292" w:type="dxa"/>
            <w:vAlign w:val="center"/>
          </w:tcPr>
          <w:p>
            <w:pPr>
              <w:pStyle w:val="50"/>
              <w:keepNext w:val="0"/>
              <w:keepLines w:val="0"/>
              <w:suppressLineNumbers w:val="0"/>
              <w:spacing w:before="0" w:beforeAutospacing="0" w:after="0" w:afterAutospacing="0"/>
              <w:ind w:left="0" w:right="0"/>
              <w:jc w:val="center"/>
              <w:rPr>
                <w:rFonts w:hint="eastAsia"/>
                <w:vertAlign w:val="baseline"/>
                <w:lang w:eastAsia="zh-CN"/>
              </w:rPr>
            </w:pPr>
            <w:r>
              <w:rPr>
                <w:rFonts w:hint="eastAsia"/>
                <w:vertAlign w:val="baseline"/>
                <w:lang w:eastAsia="zh-CN"/>
              </w:rPr>
              <w:t>比值（</w:t>
            </w:r>
            <w:r>
              <w:rPr>
                <w:rFonts w:hint="eastAsia"/>
                <w:vertAlign w:val="baseline"/>
                <w:lang w:val="en-US" w:eastAsia="zh-CN"/>
              </w:rPr>
              <w:t>%</w:t>
            </w:r>
            <w:r>
              <w:rPr>
                <w:rFonts w:hint="eastAsia"/>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梁永镇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35023.05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49813.5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84836.55</w:t>
            </w:r>
          </w:p>
        </w:tc>
        <w:tc>
          <w:tcPr>
            <w:tcW w:w="1410"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25057</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29.54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清江镇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49805.4</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58565.25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108370.65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79817</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73.65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玉堂街道</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34119.9</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47038.2</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81158.1</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13012</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16.03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光辉镇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11480.25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13411.05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24891.3</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4300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17.28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5</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大和乡</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17858.1</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23291.55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41149.65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14491</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35.22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6</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枣林镇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24363.9</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45691.65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70055.55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5217</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7.45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宕梁街道</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12948</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16004.85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28952.85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3250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11.23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大茅坪镇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10355.1</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12058.2</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22413.3</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9760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43.55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三江镇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20577.75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21671.1</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42248.85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3310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7.83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10</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白庙乡</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16452</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57841.05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74293.05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32500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43.75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11</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鼎山镇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76233.3</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89758.05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165991.35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38542</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23.22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12</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化成镇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42620.25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57548.25</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100168.5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10334</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10.32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13</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平梁镇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48577.5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54552.3</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103129.8</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9200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14</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天马山镇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29705.55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96092.1</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125797.65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6460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15</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曾口镇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74877.45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81004.8</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155882.25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81568</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52.33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16</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水宁寺镇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52740.6</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51408.6</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104149.2</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9292.5</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17</w:t>
            </w:r>
          </w:p>
        </w:tc>
        <w:tc>
          <w:tcPr>
            <w:tcW w:w="918"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凤溪镇</w:t>
            </w:r>
          </w:p>
        </w:tc>
        <w:tc>
          <w:tcPr>
            <w:tcW w:w="1307"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27244.35</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34827</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62071.35</w:t>
            </w:r>
          </w:p>
        </w:tc>
        <w:tc>
          <w:tcPr>
            <w:tcW w:w="1410"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8450</w:t>
            </w:r>
          </w:p>
        </w:tc>
        <w:tc>
          <w:tcPr>
            <w:tcW w:w="1292"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 xml:space="preserve">13.61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18</w:t>
            </w:r>
          </w:p>
        </w:tc>
        <w:tc>
          <w:tcPr>
            <w:tcW w:w="918"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江北街道</w:t>
            </w:r>
          </w:p>
        </w:tc>
        <w:tc>
          <w:tcPr>
            <w:tcW w:w="1307"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3143.82</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1421.94</w:t>
            </w:r>
          </w:p>
        </w:tc>
        <w:tc>
          <w:tcPr>
            <w:tcW w:w="151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4565.76</w:t>
            </w:r>
          </w:p>
        </w:tc>
        <w:tc>
          <w:tcPr>
            <w:tcW w:w="1410"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4250</w:t>
            </w:r>
          </w:p>
        </w:tc>
        <w:tc>
          <w:tcPr>
            <w:tcW w:w="1292"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93.08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19</w:t>
            </w:r>
          </w:p>
        </w:tc>
        <w:tc>
          <w:tcPr>
            <w:tcW w:w="918"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大罗镇</w:t>
            </w:r>
          </w:p>
        </w:tc>
        <w:tc>
          <w:tcPr>
            <w:tcW w:w="1307"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5269.44</w:t>
            </w:r>
          </w:p>
        </w:tc>
        <w:tc>
          <w:tcPr>
            <w:tcW w:w="1363"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2631.36</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7900.8</w:t>
            </w:r>
          </w:p>
        </w:tc>
        <w:tc>
          <w:tcPr>
            <w:tcW w:w="1410"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6458</w:t>
            </w:r>
          </w:p>
        </w:tc>
        <w:tc>
          <w:tcPr>
            <w:tcW w:w="1292"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81.73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915"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20</w:t>
            </w:r>
          </w:p>
        </w:tc>
        <w:tc>
          <w:tcPr>
            <w:tcW w:w="918"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回风街道</w:t>
            </w:r>
          </w:p>
        </w:tc>
        <w:tc>
          <w:tcPr>
            <w:tcW w:w="1307"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bCs/>
                <w:sz w:val="24"/>
                <w:szCs w:val="24"/>
                <w:lang w:val="en-US" w:eastAsia="zh-CN"/>
              </w:rPr>
            </w:pPr>
            <w:r>
              <w:rPr>
                <w:rFonts w:hint="eastAsia" w:ascii="仿宋" w:hAnsi="仿宋"/>
                <w:bCs/>
                <w:sz w:val="24"/>
                <w:szCs w:val="24"/>
                <w:lang w:val="en-US" w:eastAsia="zh-CN"/>
              </w:rPr>
              <w:t>1174.41</w:t>
            </w:r>
          </w:p>
        </w:tc>
        <w:tc>
          <w:tcPr>
            <w:tcW w:w="1363"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bCs/>
                <w:sz w:val="24"/>
                <w:szCs w:val="24"/>
                <w:lang w:val="en-US" w:eastAsia="zh-CN"/>
              </w:rPr>
            </w:pPr>
            <w:r>
              <w:rPr>
                <w:rFonts w:hint="eastAsia" w:ascii="仿宋" w:hAnsi="仿宋"/>
                <w:bCs/>
                <w:sz w:val="24"/>
                <w:szCs w:val="24"/>
                <w:lang w:val="en-US" w:eastAsia="zh-CN"/>
              </w:rPr>
              <w:t>1235.09</w:t>
            </w:r>
          </w:p>
        </w:tc>
        <w:tc>
          <w:tcPr>
            <w:tcW w:w="1513" w:type="dxa"/>
            <w:vAlign w:val="center"/>
          </w:tcPr>
          <w:p>
            <w:pPr>
              <w:keepNext w:val="0"/>
              <w:keepLines w:val="0"/>
              <w:suppressLineNumbers w:val="0"/>
              <w:spacing w:before="0" w:beforeAutospacing="0" w:after="0" w:afterAutospacing="0"/>
              <w:ind w:left="0" w:right="0"/>
              <w:jc w:val="center"/>
              <w:rPr>
                <w:rFonts w:hint="eastAsia" w:ascii="仿宋" w:hAnsi="仿宋"/>
                <w:bCs/>
                <w:sz w:val="24"/>
                <w:szCs w:val="24"/>
                <w:lang w:val="en-US" w:eastAsia="zh-CN"/>
              </w:rPr>
            </w:pPr>
            <w:r>
              <w:rPr>
                <w:rFonts w:hint="eastAsia" w:ascii="仿宋" w:hAnsi="仿宋"/>
                <w:bCs/>
                <w:sz w:val="24"/>
                <w:szCs w:val="24"/>
                <w:lang w:val="en-US" w:eastAsia="zh-CN"/>
              </w:rPr>
              <w:t>2409.5</w:t>
            </w:r>
          </w:p>
        </w:tc>
        <w:tc>
          <w:tcPr>
            <w:tcW w:w="1410"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333</w:t>
            </w:r>
          </w:p>
        </w:tc>
        <w:tc>
          <w:tcPr>
            <w:tcW w:w="1292" w:type="dxa"/>
            <w:vAlign w:val="center"/>
          </w:tcPr>
          <w:p>
            <w:pPr>
              <w:keepNext w:val="0"/>
              <w:keepLines w:val="0"/>
              <w:suppressLineNumbers w:val="0"/>
              <w:spacing w:before="0" w:beforeAutospacing="0" w:after="0" w:afterAutospacing="0"/>
              <w:ind w:left="0" w:right="0"/>
              <w:jc w:val="center"/>
              <w:rPr>
                <w:rFonts w:hint="default" w:ascii="仿宋" w:hAnsi="仿宋"/>
                <w:bCs/>
                <w:sz w:val="24"/>
                <w:szCs w:val="24"/>
                <w:lang w:val="en-US" w:eastAsia="zh-CN"/>
              </w:rPr>
            </w:pPr>
            <w:r>
              <w:rPr>
                <w:rFonts w:hint="eastAsia" w:ascii="仿宋" w:hAnsi="仿宋"/>
                <w:bCs/>
                <w:sz w:val="24"/>
                <w:szCs w:val="24"/>
                <w:lang w:val="en-US" w:eastAsia="zh-CN"/>
              </w:rPr>
              <w:t>13.82</w:t>
            </w:r>
          </w:p>
        </w:tc>
      </w:tr>
    </w:tbl>
    <w:p>
      <w:pPr>
        <w:ind w:firstLine="560" w:firstLineChars="200"/>
        <w:rPr>
          <w:rFonts w:hint="eastAsia"/>
          <w:bCs/>
          <w:szCs w:val="28"/>
          <w:lang w:eastAsia="zh-CN"/>
        </w:rPr>
      </w:pPr>
      <w:r>
        <w:rPr>
          <w:rFonts w:hint="eastAsia"/>
          <w:bCs/>
          <w:szCs w:val="28"/>
          <w:lang w:eastAsia="zh-CN"/>
        </w:rPr>
        <w:t>由上表可知</w:t>
      </w:r>
    </w:p>
    <w:p>
      <w:pPr>
        <w:pStyle w:val="34"/>
        <w:spacing w:before="190" w:after="190"/>
        <w:ind w:firstLine="560" w:firstLineChars="200"/>
        <w:outlineLvl w:val="2"/>
        <w:rPr>
          <w:rFonts w:hint="default" w:ascii="Times New Roman" w:hAnsi="Times New Roman" w:eastAsia="仿宋" w:cstheme="minorBidi"/>
          <w:b w:val="0"/>
          <w:bCs/>
          <w:kern w:val="2"/>
          <w:sz w:val="28"/>
          <w:szCs w:val="28"/>
          <w:lang w:val="en-US" w:eastAsia="zh-CN" w:bidi="ar-SA"/>
        </w:rPr>
      </w:pPr>
      <w:bookmarkStart w:id="86" w:name="_Toc3438"/>
      <w:bookmarkStart w:id="87" w:name="_Toc15986"/>
      <w:bookmarkStart w:id="88" w:name="_Toc24057"/>
      <w:bookmarkStart w:id="89" w:name="_Toc5294"/>
      <w:bookmarkStart w:id="90" w:name="_Toc24241"/>
      <w:r>
        <w:rPr>
          <w:rFonts w:hint="eastAsia" w:ascii="Times New Roman" w:hAnsi="Times New Roman" w:eastAsia="仿宋" w:cstheme="minorBidi"/>
          <w:b w:val="0"/>
          <w:bCs/>
          <w:kern w:val="2"/>
          <w:sz w:val="28"/>
          <w:szCs w:val="28"/>
          <w:lang w:val="en-US" w:eastAsia="zh-CN" w:bidi="ar-SA"/>
        </w:rPr>
        <w:t>根据表3-2-</w:t>
      </w:r>
      <w:r>
        <w:rPr>
          <w:rFonts w:hint="eastAsia" w:cstheme="minorBidi"/>
          <w:b w:val="0"/>
          <w:bCs/>
          <w:kern w:val="2"/>
          <w:sz w:val="28"/>
          <w:szCs w:val="28"/>
          <w:lang w:val="en-US" w:eastAsia="zh-CN" w:bidi="ar-SA"/>
        </w:rPr>
        <w:t>4</w:t>
      </w:r>
      <w:r>
        <w:rPr>
          <w:rFonts w:hint="eastAsia" w:ascii="Times New Roman" w:hAnsi="Times New Roman" w:eastAsia="仿宋" w:cstheme="minorBidi"/>
          <w:b w:val="0"/>
          <w:bCs/>
          <w:kern w:val="2"/>
          <w:sz w:val="28"/>
          <w:szCs w:val="28"/>
          <w:lang w:val="en-US" w:eastAsia="zh-CN" w:bidi="ar-SA"/>
        </w:rPr>
        <w:t>可见，巴州区</w:t>
      </w:r>
      <w:r>
        <w:rPr>
          <w:rFonts w:hint="eastAsia" w:cstheme="minorBidi"/>
          <w:b w:val="0"/>
          <w:bCs/>
          <w:kern w:val="2"/>
          <w:sz w:val="28"/>
          <w:szCs w:val="28"/>
          <w:lang w:val="en-US" w:eastAsia="zh-CN" w:bidi="ar-SA"/>
        </w:rPr>
        <w:t>各乡镇现阶段均能够满足畜禽养殖配套土地面积要求，其中江北街道、清江镇比值较高，清江镇达到70%以上，因此，从各乡镇的配套面积而言，除江北街道与清江镇外，均满足大力发展养殖业的需求，</w:t>
      </w:r>
      <w:r>
        <w:rPr>
          <w:rFonts w:hint="eastAsia" w:cstheme="minorBidi"/>
          <w:b/>
          <w:bCs w:val="0"/>
          <w:color w:val="auto"/>
          <w:kern w:val="2"/>
          <w:sz w:val="28"/>
          <w:szCs w:val="28"/>
          <w:lang w:val="en-US" w:eastAsia="zh-CN" w:bidi="ar-SA"/>
        </w:rPr>
        <w:t>巴中市产业发展集团有限公司拟于鼎山镇建设鼎山镇首市村巴山肉牛育肥基地，规划存栏量为10000头/年，鼎山镇现阶段配套土地占用比值仅为23.22%，满足该项目的建设需求。</w:t>
      </w:r>
      <w:r>
        <w:rPr>
          <w:rFonts w:hint="eastAsia" w:cstheme="minorBidi"/>
          <w:b w:val="0"/>
          <w:bCs/>
          <w:kern w:val="2"/>
          <w:sz w:val="28"/>
          <w:szCs w:val="28"/>
          <w:lang w:val="en-US" w:eastAsia="zh-CN" w:bidi="ar-SA"/>
        </w:rPr>
        <w:t>而江北街道与清江镇在后期养殖场户建设过程中，需做好养殖配套土地调配工作，提高养殖场户建设标准，控制畜禽养殖数量。</w:t>
      </w:r>
      <w:bookmarkEnd w:id="86"/>
      <w:bookmarkEnd w:id="87"/>
      <w:bookmarkEnd w:id="88"/>
      <w:bookmarkEnd w:id="89"/>
    </w:p>
    <w:p>
      <w:pPr>
        <w:pStyle w:val="34"/>
        <w:spacing w:before="190" w:after="190"/>
        <w:outlineLvl w:val="2"/>
      </w:pPr>
      <w:bookmarkStart w:id="91" w:name="_Toc30842"/>
      <w:r>
        <w:rPr>
          <w:rFonts w:hint="eastAsia"/>
        </w:rPr>
        <w:t xml:space="preserve">3.2.2 </w:t>
      </w:r>
      <w:r>
        <w:t>畜禽</w:t>
      </w:r>
      <w:r>
        <w:rPr>
          <w:rFonts w:hint="eastAsia"/>
        </w:rPr>
        <w:t>养殖水环境和水资源承载力分析</w:t>
      </w:r>
      <w:bookmarkEnd w:id="90"/>
      <w:bookmarkEnd w:id="91"/>
    </w:p>
    <w:p>
      <w:pPr>
        <w:ind w:firstLine="560" w:firstLineChars="200"/>
        <w:rPr>
          <w:szCs w:val="28"/>
        </w:rPr>
      </w:pPr>
      <w:r>
        <w:rPr>
          <w:rFonts w:hint="eastAsia"/>
          <w:bCs/>
          <w:szCs w:val="28"/>
        </w:rPr>
        <w:t>参考生态环境部组织编制的</w:t>
      </w:r>
      <w:r>
        <w:rPr>
          <w:szCs w:val="28"/>
        </w:rPr>
        <w:t>《水环境承载力评价办法（试行）》，</w:t>
      </w:r>
      <w:r>
        <w:rPr>
          <w:rFonts w:hint="eastAsia"/>
          <w:szCs w:val="28"/>
        </w:rPr>
        <w:t>结合</w:t>
      </w:r>
      <w:r>
        <w:rPr>
          <w:rFonts w:hint="eastAsia"/>
          <w:szCs w:val="28"/>
          <w:lang w:eastAsia="zh-CN"/>
        </w:rPr>
        <w:t>巴州区</w:t>
      </w:r>
      <w:r>
        <w:rPr>
          <w:rFonts w:hint="eastAsia"/>
          <w:szCs w:val="28"/>
        </w:rPr>
        <w:t>国民经济发展和社会发展第十四个五年规划纲要，根据工业污染源、生活污水污染源、养殖废水污染源等以及大力发展畜牧业的总体目标，分析</w:t>
      </w:r>
      <w:r>
        <w:rPr>
          <w:rFonts w:hint="eastAsia"/>
          <w:szCs w:val="28"/>
          <w:lang w:eastAsia="zh-CN"/>
        </w:rPr>
        <w:t>巴州区</w:t>
      </w:r>
      <w:r>
        <w:rPr>
          <w:szCs w:val="28"/>
        </w:rPr>
        <w:t>畜禽养殖水环境</w:t>
      </w:r>
      <w:r>
        <w:rPr>
          <w:rFonts w:hint="eastAsia"/>
          <w:szCs w:val="28"/>
        </w:rPr>
        <w:t>和水资源</w:t>
      </w:r>
      <w:r>
        <w:rPr>
          <w:szCs w:val="28"/>
        </w:rPr>
        <w:t>承载力</w:t>
      </w:r>
      <w:r>
        <w:rPr>
          <w:rFonts w:hint="eastAsia"/>
          <w:szCs w:val="28"/>
        </w:rPr>
        <w:t>。</w:t>
      </w:r>
    </w:p>
    <w:p>
      <w:pPr>
        <w:ind w:firstLine="560" w:firstLineChars="200"/>
        <w:rPr>
          <w:rFonts w:ascii="仿宋" w:hAnsi="仿宋"/>
        </w:rPr>
      </w:pPr>
      <w:r>
        <w:rPr>
          <w:rFonts w:hint="eastAsia"/>
          <w:lang w:eastAsia="zh-CN"/>
        </w:rPr>
        <w:t>巴州区</w:t>
      </w:r>
      <w:r>
        <w:rPr>
          <w:rFonts w:hint="eastAsia"/>
        </w:rPr>
        <w:t>水资源较为丰富，</w:t>
      </w:r>
      <w:r>
        <w:rPr>
          <w:rFonts w:hint="eastAsia" w:ascii="仿宋" w:hAnsi="仿宋"/>
        </w:rPr>
        <w:t>水体环境质量总体良好，具备大力发展畜禽养殖业的水环境条件。但是畜禽集中在个别镇大规模养殖或者不规范养殖给周边水体造成潜在的影响。因此，</w:t>
      </w:r>
      <w:r>
        <w:rPr>
          <w:rFonts w:hint="eastAsia" w:ascii="仿宋" w:hAnsi="仿宋"/>
          <w:lang w:eastAsia="zh-CN"/>
        </w:rPr>
        <w:t>巴州区</w:t>
      </w:r>
      <w:r>
        <w:rPr>
          <w:rFonts w:hint="eastAsia" w:ascii="仿宋" w:hAnsi="仿宋"/>
        </w:rPr>
        <w:t>应同时考虑工业源、农业源和生活源水污染物排放总量控制要求，并结合相关水体环境容量，合理控制各乡镇的养殖规模，规范新建养殖场和养殖户的选址</w:t>
      </w:r>
      <w:r>
        <w:rPr>
          <w:rFonts w:hint="eastAsia"/>
        </w:rPr>
        <w:t>。</w:t>
      </w:r>
    </w:p>
    <w:p>
      <w:pPr>
        <w:pStyle w:val="34"/>
        <w:spacing w:before="190" w:after="190"/>
        <w:outlineLvl w:val="2"/>
      </w:pPr>
      <w:bookmarkStart w:id="92" w:name="_Toc17966"/>
      <w:bookmarkStart w:id="93" w:name="_Toc9940"/>
      <w:r>
        <w:t>3.2.</w:t>
      </w:r>
      <w:r>
        <w:rPr>
          <w:rFonts w:hint="eastAsia"/>
        </w:rPr>
        <w:t>3畜禽粪污环境承载力分析</w:t>
      </w:r>
      <w:bookmarkEnd w:id="92"/>
      <w:bookmarkEnd w:id="93"/>
    </w:p>
    <w:p>
      <w:pPr>
        <w:ind w:firstLine="560" w:firstLineChars="200"/>
      </w:pPr>
      <w:r>
        <w:rPr>
          <w:rFonts w:hint="eastAsia"/>
        </w:rPr>
        <w:t>综合考虑</w:t>
      </w:r>
      <w:r>
        <w:rPr>
          <w:rFonts w:hint="eastAsia"/>
          <w:lang w:eastAsia="zh-CN"/>
        </w:rPr>
        <w:t>巴州区</w:t>
      </w:r>
      <w:r>
        <w:rPr>
          <w:rFonts w:hint="eastAsia"/>
        </w:rPr>
        <w:t>畜禽土地承载力、水环境承载力和水资源承载力</w:t>
      </w:r>
      <w:r>
        <w:rPr>
          <w:rFonts w:hint="eastAsia"/>
          <w:lang w:eastAsia="zh-CN"/>
        </w:rPr>
        <w:t>，</w:t>
      </w:r>
      <w:r>
        <w:rPr>
          <w:rFonts w:hint="eastAsia"/>
        </w:rPr>
        <w:t>对于</w:t>
      </w:r>
      <w:r>
        <w:rPr>
          <w:rFonts w:hint="eastAsia"/>
          <w:lang w:eastAsia="zh-CN"/>
        </w:rPr>
        <w:t>养殖场户较为密集的</w:t>
      </w:r>
      <w:r>
        <w:rPr>
          <w:rFonts w:hint="eastAsia"/>
        </w:rPr>
        <w:t>乡镇，采取强化养殖特色、提高粪肥替代化肥比例、养殖污水深度处理达标排放以及建设有机肥基地，粪肥在邻近乡镇予以消纳。</w:t>
      </w:r>
    </w:p>
    <w:p>
      <w:pPr>
        <w:pStyle w:val="34"/>
        <w:spacing w:before="190" w:after="190"/>
        <w:outlineLvl w:val="2"/>
      </w:pPr>
      <w:bookmarkStart w:id="94" w:name="_Toc3043"/>
      <w:bookmarkStart w:id="95" w:name="_Toc20283"/>
      <w:bookmarkStart w:id="96" w:name="_Toc81878825"/>
      <w:r>
        <w:rPr>
          <w:rFonts w:hint="eastAsia"/>
        </w:rPr>
        <w:t>3.2.4 畜禽</w:t>
      </w:r>
      <w:r>
        <w:t>养殖量控制</w:t>
      </w:r>
      <w:bookmarkEnd w:id="94"/>
      <w:bookmarkEnd w:id="95"/>
      <w:bookmarkEnd w:id="96"/>
    </w:p>
    <w:p>
      <w:pPr>
        <w:ind w:firstLine="560" w:firstLineChars="200"/>
      </w:pPr>
      <w:r>
        <w:rPr>
          <w:rFonts w:hint="eastAsia"/>
        </w:rPr>
        <w:t>按照“产业兴旺、生态宜居、乡风文明、治理有效、生活富裕”的总要求，以推进农业农村对外开放合作为突破口，以增加农民收入和农村集体经济收入为着力点，以农产品深加工业为龙头，全力推进乡村产业振兴。</w:t>
      </w:r>
    </w:p>
    <w:p>
      <w:pPr>
        <w:pStyle w:val="4"/>
        <w:spacing w:before="190" w:after="190"/>
      </w:pPr>
      <w:bookmarkStart w:id="97" w:name="_Toc16778"/>
      <w:bookmarkStart w:id="98" w:name="_Toc9792"/>
      <w:r>
        <w:rPr>
          <w:rFonts w:hint="eastAsia"/>
        </w:rPr>
        <w:t>3.3目标</w:t>
      </w:r>
      <w:r>
        <w:t>可实现性分析</w:t>
      </w:r>
      <w:bookmarkEnd w:id="97"/>
      <w:bookmarkEnd w:id="98"/>
    </w:p>
    <w:p>
      <w:pPr>
        <w:pStyle w:val="51"/>
        <w:ind w:firstLine="560" w:firstLineChars="200"/>
        <w:rPr>
          <w:b w:val="0"/>
        </w:rPr>
      </w:pPr>
      <w:r>
        <w:rPr>
          <w:rFonts w:hint="eastAsia"/>
          <w:b w:val="0"/>
        </w:rPr>
        <w:t>区畜禽养殖污染防治目标可实现性分析如下：</w:t>
      </w:r>
    </w:p>
    <w:p>
      <w:pPr>
        <w:pStyle w:val="51"/>
        <w:ind w:firstLine="560" w:firstLineChars="200"/>
        <w:rPr>
          <w:b w:val="0"/>
        </w:rPr>
      </w:pPr>
      <w:r>
        <w:rPr>
          <w:rFonts w:hint="eastAsia"/>
          <w:b w:val="0"/>
        </w:rPr>
        <w:t>（1）全区耕地的粪污土地承载力充足</w:t>
      </w:r>
    </w:p>
    <w:p>
      <w:pPr>
        <w:ind w:firstLine="560" w:firstLineChars="200"/>
        <w:rPr>
          <w:rFonts w:cs="Times New Roman"/>
          <w:color w:val="333333"/>
          <w:shd w:val="clear" w:color="auto" w:fill="FFFFFF"/>
        </w:rPr>
      </w:pPr>
      <w:r>
        <w:rPr>
          <w:rFonts w:hint="eastAsia" w:cs="Times New Roman"/>
          <w:color w:val="333333"/>
          <w:shd w:val="clear" w:color="auto" w:fill="FFFFFF"/>
          <w:lang w:val="en-US" w:eastAsia="zh-CN"/>
        </w:rPr>
        <w:t>2020年</w:t>
      </w:r>
      <w:r>
        <w:rPr>
          <w:rFonts w:hint="eastAsia" w:cs="Times New Roman"/>
          <w:color w:val="333333"/>
          <w:shd w:val="clear" w:color="auto" w:fill="FFFFFF"/>
        </w:rPr>
        <w:t>区</w:t>
      </w:r>
      <w:r>
        <w:rPr>
          <w:rFonts w:hint="eastAsia" w:cs="Times New Roman"/>
          <w:color w:val="333333"/>
          <w:shd w:val="clear" w:color="auto" w:fill="FFFFFF"/>
          <w:lang w:val="en-US" w:eastAsia="zh-CN"/>
        </w:rPr>
        <w:t>农作物播种</w:t>
      </w:r>
      <w:r>
        <w:rPr>
          <w:rFonts w:hint="eastAsia" w:cs="Times New Roman"/>
          <w:color w:val="333333"/>
          <w:shd w:val="clear" w:color="auto" w:fill="FFFFFF"/>
        </w:rPr>
        <w:t>面积</w:t>
      </w:r>
      <w:r>
        <w:rPr>
          <w:rFonts w:hint="eastAsia" w:cs="Times New Roman"/>
          <w:color w:val="333333"/>
          <w:shd w:val="clear" w:color="auto" w:fill="FFFFFF"/>
          <w:lang w:val="en-US" w:eastAsia="zh-CN"/>
        </w:rPr>
        <w:t>132.21</w:t>
      </w:r>
      <w:r>
        <w:rPr>
          <w:rFonts w:hint="eastAsia" w:cs="Times New Roman"/>
          <w:color w:val="333333"/>
          <w:shd w:val="clear" w:color="auto" w:fill="FFFFFF"/>
        </w:rPr>
        <w:t>万亩，其中</w:t>
      </w:r>
      <w:r>
        <w:rPr>
          <w:rFonts w:hint="eastAsia" w:cs="Times New Roman"/>
          <w:color w:val="333333"/>
          <w:shd w:val="clear" w:color="auto" w:fill="FFFFFF"/>
          <w:lang w:val="en-US" w:eastAsia="zh-CN"/>
        </w:rPr>
        <w:t>稻谷种植面积24.82万亩</w:t>
      </w:r>
      <w:r>
        <w:rPr>
          <w:rFonts w:hint="eastAsia" w:cs="Times New Roman"/>
          <w:color w:val="333333"/>
          <w:shd w:val="clear" w:color="auto" w:fill="FFFFFF"/>
        </w:rPr>
        <w:t>，</w:t>
      </w:r>
      <w:r>
        <w:rPr>
          <w:rFonts w:hint="eastAsia" w:cs="Times New Roman"/>
          <w:color w:val="333333"/>
          <w:shd w:val="clear" w:color="auto" w:fill="FFFFFF"/>
          <w:lang w:val="en-US" w:eastAsia="zh-CN"/>
        </w:rPr>
        <w:t>玉米种植面积18.81万亩，小麦种植面积19.98万亩，薯类种植面积18.86万亩，油料种植面积18.53万亩</w:t>
      </w:r>
      <w:r>
        <w:rPr>
          <w:rFonts w:cs="Times New Roman"/>
          <w:color w:val="333333"/>
          <w:shd w:val="clear" w:color="auto" w:fill="FFFFFF"/>
        </w:rPr>
        <w:t>。</w:t>
      </w:r>
    </w:p>
    <w:p>
      <w:pPr>
        <w:ind w:firstLine="560" w:firstLineChars="200"/>
        <w:rPr>
          <w:rFonts w:hint="eastAsia" w:eastAsia="仿宋"/>
          <w:lang w:eastAsia="zh-CN"/>
        </w:rPr>
      </w:pPr>
      <w:r>
        <w:rPr>
          <w:rFonts w:hint="eastAsia"/>
        </w:rPr>
        <w:t>仅就现有耕地种植的农作物产量进行全区土地承载力计算表明，可以承载</w:t>
      </w:r>
      <w:r>
        <w:rPr>
          <w:rFonts w:hint="eastAsia"/>
          <w:lang w:eastAsia="zh-CN"/>
        </w:rPr>
        <w:t>。</w:t>
      </w:r>
    </w:p>
    <w:p>
      <w:pPr>
        <w:pStyle w:val="51"/>
        <w:ind w:firstLine="560" w:firstLineChars="200"/>
        <w:rPr>
          <w:b w:val="0"/>
        </w:rPr>
      </w:pPr>
      <w:r>
        <w:rPr>
          <w:rFonts w:hint="eastAsia"/>
          <w:b w:val="0"/>
          <w:lang w:eastAsia="zh-CN"/>
        </w:rPr>
        <w:t>巴州区</w:t>
      </w:r>
      <w:r>
        <w:rPr>
          <w:rFonts w:hint="eastAsia"/>
          <w:b w:val="0"/>
        </w:rPr>
        <w:t>畜禽养殖种类主要有生猪、肉牛、羊、蛋鸡、</w:t>
      </w:r>
      <w:r>
        <w:rPr>
          <w:rFonts w:hint="eastAsia"/>
          <w:b w:val="0"/>
          <w:lang w:val="en-US" w:eastAsia="zh-CN"/>
        </w:rPr>
        <w:t>兼用型鸡</w:t>
      </w:r>
      <w:r>
        <w:rPr>
          <w:rFonts w:hint="eastAsia"/>
          <w:b w:val="0"/>
        </w:rPr>
        <w:t>等。按照《畜禽养殖防治规划编制指南（试行）》（环办土壤函〔2021〕465号），各畜禽存栏量以出栏量折算，猪当量折算按表2-4-1折算，2020年区畜禽养殖总量为</w:t>
      </w:r>
      <w:r>
        <w:rPr>
          <w:rFonts w:hint="eastAsia"/>
          <w:b w:val="0"/>
          <w:lang w:val="en-US" w:eastAsia="zh-CN"/>
        </w:rPr>
        <w:t>99</w:t>
      </w:r>
      <w:r>
        <w:rPr>
          <w:rFonts w:hint="eastAsia"/>
          <w:b w:val="0"/>
        </w:rPr>
        <w:t>万猪当量。</w:t>
      </w:r>
    </w:p>
    <w:p>
      <w:pPr>
        <w:pStyle w:val="51"/>
        <w:ind w:firstLine="560" w:firstLineChars="200"/>
        <w:rPr>
          <w:b w:val="0"/>
        </w:rPr>
      </w:pPr>
      <w:r>
        <w:rPr>
          <w:rFonts w:hint="eastAsia"/>
          <w:b w:val="0"/>
        </w:rPr>
        <w:t>因此，耕地的粪污土地承载力充足，具备了粪污土地消纳能力，为实现畜禽养殖粪污防治目标和种养平衡提供了土地条件。</w:t>
      </w:r>
    </w:p>
    <w:p>
      <w:pPr>
        <w:pStyle w:val="51"/>
        <w:ind w:firstLine="560" w:firstLineChars="200"/>
        <w:rPr>
          <w:b w:val="0"/>
        </w:rPr>
      </w:pPr>
      <w:r>
        <w:rPr>
          <w:rFonts w:hint="eastAsia"/>
          <w:b w:val="0"/>
        </w:rPr>
        <w:t>（2）畜禽养殖粪污防治与资源化利用已具规模</w:t>
      </w:r>
    </w:p>
    <w:p>
      <w:pPr>
        <w:ind w:firstLine="560" w:firstLineChars="200"/>
      </w:pPr>
      <w:r>
        <w:rPr>
          <w:rFonts w:hint="eastAsia"/>
          <w:lang w:eastAsia="zh-CN"/>
        </w:rPr>
        <w:t>巴州区</w:t>
      </w:r>
      <w:r>
        <w:rPr>
          <w:rFonts w:hint="eastAsia"/>
        </w:rPr>
        <w:t>认真贯彻《国务院办公厅关于加快推进畜禽养殖废弃物资源化利用的意见》（国办发〔2017〕48号）、《农业面源污染治理与监督指导实施方案（试行）》（环办土壤〔2021〕8号）、《关于促进畜禽粪污还田利用依法加强养殖污染治理的指导意见》（农办牧〔2019〕84号）、《关于进一步明确畜禽粪污还田利用要求强化养殖污染监管的通知》（农办牧〔2020〕23号）、《关于进一步规范畜禽养殖禁养区管理的通知》（环办土壤函〔2020〕33号）等文件通知，在全区广泛进行宣传，统一粪污防治思想，广大农民已经意识到粪污无害化和资源化的经济效益。</w:t>
      </w:r>
    </w:p>
    <w:p>
      <w:pPr>
        <w:ind w:firstLine="560" w:firstLineChars="200"/>
      </w:pPr>
      <w:r>
        <w:rPr>
          <w:rFonts w:hint="eastAsia"/>
        </w:rPr>
        <w:t>（3）畜禽粪污资源化技术能力具备</w:t>
      </w:r>
    </w:p>
    <w:p>
      <w:pPr>
        <w:ind w:firstLine="560" w:firstLineChars="200"/>
      </w:pPr>
      <w:r>
        <w:rPr>
          <w:rFonts w:hint="eastAsia"/>
        </w:rPr>
        <w:t>畜禽粪污无害化和资源化技术已经在全区规模以上养殖场和部分养殖户中推广使用，培养了一批具有粪污无害化和资源化处理的技术人员和养殖业主。广大养殖户已经逐渐了解了堆肥发酵、还田利用等相关技术，为粪污污染防治目标的实现提供了技术条件。</w:t>
      </w:r>
    </w:p>
    <w:p>
      <w:pPr>
        <w:ind w:firstLine="560" w:firstLineChars="200"/>
      </w:pPr>
      <w:r>
        <w:rPr>
          <w:rFonts w:hint="eastAsia"/>
        </w:rPr>
        <w:t>（4）资金筹措条件具备</w:t>
      </w:r>
    </w:p>
    <w:p>
      <w:pPr>
        <w:ind w:firstLine="560" w:firstLineChars="200"/>
        <w:rPr>
          <w:szCs w:val="28"/>
        </w:rPr>
      </w:pPr>
      <w:r>
        <w:t>粪污资源化的实施</w:t>
      </w:r>
      <w:r>
        <w:rPr>
          <w:rFonts w:hint="eastAsia"/>
        </w:rPr>
        <w:t>，具有</w:t>
      </w:r>
      <w:r>
        <w:t>先期投入</w:t>
      </w:r>
      <w:r>
        <w:rPr>
          <w:rFonts w:hint="eastAsia"/>
        </w:rPr>
        <w:t>，</w:t>
      </w:r>
      <w:r>
        <w:t>后期收获的特点</w:t>
      </w:r>
      <w:r>
        <w:rPr>
          <w:rFonts w:hint="eastAsia"/>
        </w:rPr>
        <w:t>。为保障区和广大农民收入发展绿色农业、扩大经济效益的需求，区政府拟采取争取国家资金、吸纳第三方资金的方法先期对粪污处理设施进行试点建设，引导养殖业主积极筹措资金，节省化肥购置费用，并在发展绿色农业的过程中，获得绿色农作物产品的增值收益，已补偿投入的粪污资源化设施的前期投入，充分调动养殖业主防治污染的积极性，变被动防治为主动防治，在防治过程中获得收益</w:t>
      </w:r>
      <w:r>
        <w:rPr>
          <w:rFonts w:hint="eastAsia" w:ascii="仿宋" w:hAnsi="仿宋"/>
          <w:kern w:val="0"/>
          <w:szCs w:val="28"/>
        </w:rPr>
        <w:t>。</w:t>
      </w:r>
    </w:p>
    <w:p/>
    <w:p>
      <w:pPr>
        <w:sectPr>
          <w:type w:val="continuous"/>
          <w:pgSz w:w="11906" w:h="16838"/>
          <w:pgMar w:top="1440" w:right="1797" w:bottom="1440" w:left="1797" w:header="851" w:footer="992" w:gutter="0"/>
          <w:cols w:space="425" w:num="1"/>
          <w:docGrid w:type="lines" w:linePitch="381" w:charSpace="0"/>
        </w:sectPr>
      </w:pPr>
    </w:p>
    <w:p>
      <w:pPr>
        <w:pStyle w:val="3"/>
        <w:pageBreakBefore/>
        <w:spacing w:before="381" w:after="381"/>
      </w:pPr>
      <w:bookmarkStart w:id="99" w:name="_Toc13501"/>
      <w:bookmarkStart w:id="100" w:name="_Toc22120"/>
      <w:r>
        <w:rPr>
          <w:rFonts w:hint="eastAsia"/>
        </w:rPr>
        <w:t>第四章 主要任务</w:t>
      </w:r>
      <w:bookmarkEnd w:id="99"/>
      <w:bookmarkEnd w:id="100"/>
    </w:p>
    <w:p>
      <w:pPr>
        <w:pStyle w:val="4"/>
        <w:spacing w:before="190" w:after="190"/>
      </w:pPr>
      <w:bookmarkStart w:id="101" w:name="_Toc503"/>
      <w:bookmarkStart w:id="102" w:name="_Toc22496"/>
      <w:r>
        <w:t>4</w:t>
      </w:r>
      <w:r>
        <w:rPr>
          <w:rFonts w:hint="eastAsia"/>
        </w:rPr>
        <w:t>.</w:t>
      </w:r>
      <w:r>
        <w:t>1</w:t>
      </w:r>
      <w:r>
        <w:rPr>
          <w:rFonts w:hint="eastAsia"/>
        </w:rPr>
        <w:t xml:space="preserve"> 明确畜禽养殖污染治理总体要求</w:t>
      </w:r>
      <w:bookmarkEnd w:id="101"/>
      <w:bookmarkEnd w:id="102"/>
    </w:p>
    <w:p>
      <w:pPr>
        <w:ind w:firstLine="560" w:firstLineChars="200"/>
        <w:rPr>
          <w:rFonts w:ascii="仿宋" w:hAnsi="仿宋"/>
          <w:szCs w:val="28"/>
        </w:rPr>
      </w:pPr>
      <w:r>
        <w:rPr>
          <w:rFonts w:hint="eastAsia" w:ascii="仿宋" w:hAnsi="仿宋"/>
          <w:szCs w:val="28"/>
        </w:rPr>
        <w:t>种养结合指种植业产生的秸秆为养殖业提供饲料来源，养殖业产生的畜禽粪便为种植业提供有机肥料来源，实现物质和能量在种植业与养殖业之间进行转换循环，促进区域内农作物秸秆和畜禽粪便的资源化利用。种养结合通过将畜禽粪便堆肥还田，可减少农田化肥的施用量，能实现区域内畜禽粪便资源化利用，促进农业绿色发展。畜禽粪便中含有大量的氮、磷、钾等多种营养元素，这些营养元素是植物生长需要的关键元素之一，畜禽粪便经处理后制作有机肥进行还田利用，可以改善土壤质量，提高作物品质和产量。</w:t>
      </w:r>
    </w:p>
    <w:p>
      <w:pPr>
        <w:pStyle w:val="2"/>
        <w:spacing w:line="360" w:lineRule="auto"/>
      </w:pPr>
      <w:bookmarkStart w:id="103" w:name="_Toc80904914"/>
      <w:bookmarkStart w:id="104" w:name="_Toc18673"/>
      <w:bookmarkStart w:id="105" w:name="_Toc17947"/>
      <w:bookmarkStart w:id="106" w:name="_Toc81878834"/>
      <w:r>
        <w:rPr>
          <w:rFonts w:hint="eastAsia"/>
        </w:rPr>
        <w:t>4</w:t>
      </w:r>
      <w:r>
        <w:t>.</w:t>
      </w:r>
      <w:r>
        <w:rPr>
          <w:rFonts w:hint="eastAsia"/>
        </w:rPr>
        <w:t>1</w:t>
      </w:r>
      <w:r>
        <w:t>.</w:t>
      </w:r>
      <w:r>
        <w:rPr>
          <w:rFonts w:hint="eastAsia"/>
          <w:lang w:val="en-US" w:eastAsia="zh-CN"/>
        </w:rPr>
        <w:t>1</w:t>
      </w:r>
      <w:r>
        <w:rPr>
          <w:rFonts w:hint="eastAsia"/>
        </w:rPr>
        <w:t xml:space="preserve"> </w:t>
      </w:r>
      <w:r>
        <w:t>引导畜禽养殖业合理布局</w:t>
      </w:r>
      <w:bookmarkEnd w:id="103"/>
      <w:bookmarkEnd w:id="104"/>
      <w:bookmarkEnd w:id="105"/>
      <w:bookmarkEnd w:id="106"/>
    </w:p>
    <w:p>
      <w:pPr>
        <w:ind w:firstLine="560" w:firstLineChars="200"/>
        <w:rPr>
          <w:rFonts w:ascii="仿宋" w:hAnsi="仿宋"/>
          <w:szCs w:val="28"/>
        </w:rPr>
      </w:pPr>
      <w:r>
        <w:rPr>
          <w:rFonts w:hint="eastAsia" w:ascii="仿宋" w:hAnsi="仿宋"/>
          <w:szCs w:val="28"/>
        </w:rPr>
        <w:t>坚持政府支持、企业主体、市场化运作的方针，坚持源头减量、过程控制、末端利用的治理路径，以畜禽规模养殖场和散养密集区为重点，以建设粪污无害化处理设施为主要贮存方式，以农用有机肥还田为主要利用方向，推进种养平衡、循环发展，健全制度体系，强化属地管理责任，落实畜禽养殖场业主主体责任，完善扶持政策，依法严格监管，全面推进畜禽养殖废弃物资源化利用工作，建立有效的可持续运营机制。</w:t>
      </w:r>
    </w:p>
    <w:p>
      <w:pPr>
        <w:ind w:firstLine="560" w:firstLineChars="200"/>
      </w:pPr>
      <w:r>
        <w:rPr>
          <w:rFonts w:hint="eastAsia" w:ascii="仿宋" w:hAnsi="仿宋"/>
          <w:bCs/>
          <w:szCs w:val="28"/>
          <w:lang w:eastAsia="zh-CN"/>
        </w:rPr>
        <w:t>巴州区</w:t>
      </w:r>
      <w:r>
        <w:rPr>
          <w:rFonts w:hint="eastAsia" w:ascii="仿宋" w:hAnsi="仿宋"/>
          <w:bCs/>
          <w:szCs w:val="28"/>
        </w:rPr>
        <w:t>应</w:t>
      </w:r>
      <w:r>
        <w:rPr>
          <w:rFonts w:ascii="仿宋" w:hAnsi="仿宋"/>
          <w:bCs/>
          <w:szCs w:val="28"/>
        </w:rPr>
        <w:t>按照</w:t>
      </w:r>
      <w:r>
        <w:rPr>
          <w:rFonts w:hint="eastAsia" w:ascii="仿宋" w:hAnsi="仿宋"/>
          <w:bCs/>
          <w:szCs w:val="28"/>
        </w:rPr>
        <w:t>“</w:t>
      </w:r>
      <w:r>
        <w:rPr>
          <w:rFonts w:ascii="仿宋" w:hAnsi="仿宋"/>
          <w:bCs/>
          <w:szCs w:val="28"/>
        </w:rPr>
        <w:t>农牧结合、</w:t>
      </w:r>
      <w:r>
        <w:rPr>
          <w:rFonts w:hint="eastAsia" w:ascii="仿宋" w:hAnsi="仿宋"/>
          <w:bCs/>
          <w:szCs w:val="28"/>
        </w:rPr>
        <w:t>种养结合”</w:t>
      </w:r>
      <w:r>
        <w:rPr>
          <w:rFonts w:ascii="仿宋" w:hAnsi="仿宋"/>
          <w:bCs/>
          <w:szCs w:val="28"/>
        </w:rPr>
        <w:t>的原则引导畜禽养殖业合理布局，在山区等土地资源丰富的区域可适当发展畜禽养殖；</w:t>
      </w:r>
    </w:p>
    <w:p>
      <w:pPr>
        <w:ind w:firstLine="560" w:firstLineChars="200"/>
        <w:rPr>
          <w:bCs/>
        </w:rPr>
      </w:pPr>
      <w:r>
        <w:rPr>
          <w:rFonts w:cs="Times New Roman"/>
          <w:szCs w:val="28"/>
        </w:rPr>
        <w:t>全区畜禽粪污</w:t>
      </w:r>
      <w:r>
        <w:rPr>
          <w:rFonts w:hint="eastAsia" w:cs="Times New Roman"/>
          <w:szCs w:val="28"/>
          <w:lang w:val="en-US" w:eastAsia="zh-CN"/>
        </w:rPr>
        <w:t>可</w:t>
      </w:r>
      <w:r>
        <w:rPr>
          <w:rFonts w:cs="Times New Roman"/>
          <w:szCs w:val="28"/>
        </w:rPr>
        <w:t>采用两种处理方式：一是建设有机肥厂，生产有机肥销售；二是养殖场及养殖户建设粪便堆积发酵场、污水贮存池分别处理粪便和污水，经处理后的粪污送到区域田间粪污贮存场继续发酵处理，产生的粪肥或由养殖场（户）回购利用</w:t>
      </w:r>
      <w:r>
        <w:rPr>
          <w:rFonts w:hint="eastAsia" w:cs="Times New Roman"/>
          <w:szCs w:val="28"/>
          <w:lang w:eastAsia="zh-CN"/>
        </w:rPr>
        <w:t>，或</w:t>
      </w:r>
      <w:r>
        <w:rPr>
          <w:rFonts w:cs="Times New Roman"/>
          <w:szCs w:val="28"/>
        </w:rPr>
        <w:t>由签订消纳协议的种植大户按协议回用</w:t>
      </w:r>
      <w:r>
        <w:rPr>
          <w:rFonts w:hint="eastAsia" w:cs="Times New Roman"/>
          <w:szCs w:val="28"/>
          <w:lang w:eastAsia="zh-CN"/>
        </w:rPr>
        <w:t>，或</w:t>
      </w:r>
      <w:r>
        <w:rPr>
          <w:rFonts w:cs="Times New Roman"/>
          <w:szCs w:val="28"/>
        </w:rPr>
        <w:t>售给有需求的种植户及有机肥厂。</w:t>
      </w:r>
      <w:r>
        <w:rPr>
          <w:rFonts w:hint="eastAsia" w:ascii="仿宋" w:hAnsi="仿宋"/>
          <w:szCs w:val="28"/>
        </w:rPr>
        <w:t>全区做好项目技术培训和项目后的粪污利用，重点是按照“种养结合、农牧循环、就近消纳、综合利用”要求，在粪便、污水输送过程中，不得洒漏，避免造成二次污染；粪污利用主要选择在宜果宜林山地和蔬菜大棚施用，播撒要均匀，避免过度施肥影响耕作。</w:t>
      </w:r>
    </w:p>
    <w:p>
      <w:pPr>
        <w:pStyle w:val="2"/>
        <w:spacing w:line="360" w:lineRule="auto"/>
        <w:rPr>
          <w:rFonts w:eastAsia="方正仿宋简体"/>
          <w:b w:val="0"/>
        </w:rPr>
      </w:pPr>
      <w:bookmarkStart w:id="107" w:name="_Toc81878835"/>
      <w:bookmarkStart w:id="108" w:name="_Toc80904915"/>
      <w:bookmarkStart w:id="109" w:name="_Toc26782"/>
      <w:bookmarkStart w:id="110" w:name="_Toc13374"/>
      <w:r>
        <w:rPr>
          <w:rFonts w:hint="eastAsia"/>
        </w:rPr>
        <w:t>4</w:t>
      </w:r>
      <w:r>
        <w:t>.</w:t>
      </w:r>
      <w:r>
        <w:rPr>
          <w:rFonts w:hint="eastAsia"/>
        </w:rPr>
        <w:t>1</w:t>
      </w:r>
      <w:r>
        <w:t>.</w:t>
      </w:r>
      <w:r>
        <w:rPr>
          <w:rFonts w:hint="eastAsia"/>
          <w:lang w:val="en-US" w:eastAsia="zh-CN"/>
        </w:rPr>
        <w:t>2</w:t>
      </w:r>
      <w:r>
        <w:rPr>
          <w:rFonts w:hint="eastAsia"/>
        </w:rPr>
        <w:t xml:space="preserve"> </w:t>
      </w:r>
      <w:r>
        <w:t>畜禽养殖空间布局优化建议</w:t>
      </w:r>
      <w:bookmarkEnd w:id="107"/>
      <w:bookmarkEnd w:id="108"/>
      <w:bookmarkEnd w:id="109"/>
      <w:bookmarkEnd w:id="110"/>
    </w:p>
    <w:p>
      <w:pPr>
        <w:ind w:firstLine="560" w:firstLineChars="200"/>
        <w:rPr>
          <w:bCs/>
        </w:rPr>
      </w:pPr>
      <w:r>
        <w:rPr>
          <w:rFonts w:hint="eastAsia"/>
          <w:bCs/>
          <w:lang w:eastAsia="zh-CN"/>
        </w:rPr>
        <w:t>巴州区</w:t>
      </w:r>
      <w:r>
        <w:rPr>
          <w:rFonts w:hint="eastAsia"/>
          <w:bCs/>
        </w:rPr>
        <w:t>畜禽养殖区划分为禁养区、限养区和非禁养区。畜禽禁养区是指按照法律、法规、行政规章等规定，在指定范围内禁止建设规模化畜禽养殖场、规模化畜禽养殖小区和畜禽养殖专业户。畜禽养殖限养区是指按照法律、法规、行政规章等规定，在一定区域内限定畜禽养殖数量。畜禽养殖非禁养区是指除禁养区、限养区以外区域，原则上作为畜禽养殖可养区。在畜禽养殖非禁养区内从事畜禽养殖的，应当遵守国家有关建设项目环境保护管理规定，开展环境影响评价，其污染防治措施及畜禽排泄物综合利用措施必须与主体工程同时设计、同时施工、同时投产使用，其污染物排放不得超过国家和地方规定的排放标准和总量控制要求。</w:t>
      </w:r>
    </w:p>
    <w:p>
      <w:pPr>
        <w:ind w:firstLine="560" w:firstLineChars="200"/>
        <w:rPr>
          <w:bCs/>
        </w:rPr>
      </w:pPr>
      <w:r>
        <w:rPr>
          <w:rFonts w:hint="eastAsia" w:ascii="仿宋" w:hAnsi="仿宋"/>
          <w:szCs w:val="28"/>
          <w:lang w:eastAsia="zh-CN"/>
        </w:rPr>
        <w:t>巴州区</w:t>
      </w:r>
      <w:r>
        <w:rPr>
          <w:rFonts w:hint="eastAsia"/>
          <w:bCs/>
        </w:rPr>
        <w:t>根据土地承载能力确定发展畜禽规模，实现以地定养、种养平衡。以畜禽养殖废弃物资源化利用为重点，协同推进生产发展和环境保护，走畜牧业绿色发展道路。严把新</w:t>
      </w:r>
      <w:r>
        <w:rPr>
          <w:rFonts w:hint="eastAsia"/>
          <w:bCs/>
          <w:lang w:eastAsia="zh-CN"/>
        </w:rPr>
        <w:t>（</w:t>
      </w:r>
      <w:r>
        <w:rPr>
          <w:rFonts w:hint="eastAsia"/>
          <w:bCs/>
        </w:rPr>
        <w:t>改、扩</w:t>
      </w:r>
      <w:r>
        <w:rPr>
          <w:rFonts w:hint="eastAsia"/>
          <w:bCs/>
          <w:lang w:eastAsia="zh-CN"/>
        </w:rPr>
        <w:t>）</w:t>
      </w:r>
      <w:r>
        <w:rPr>
          <w:rFonts w:hint="eastAsia"/>
          <w:bCs/>
        </w:rPr>
        <w:t>建场环保关，严格执行“三同时”制度。推进病死畜禽无害化处理，严防进入人的食物链。严格执法监管，加强生态保护和科学利用。</w:t>
      </w:r>
    </w:p>
    <w:p>
      <w:pPr>
        <w:pStyle w:val="2"/>
        <w:spacing w:line="360" w:lineRule="auto"/>
        <w:rPr>
          <w:rFonts w:hint="eastAsia"/>
          <w:highlight w:val="none"/>
          <w:lang w:eastAsia="zh-CN"/>
        </w:rPr>
      </w:pPr>
      <w:bookmarkStart w:id="111" w:name="_Toc6665"/>
      <w:bookmarkStart w:id="112" w:name="_Toc16963"/>
      <w:r>
        <w:rPr>
          <w:highlight w:val="none"/>
        </w:rPr>
        <w:t>4</w:t>
      </w:r>
      <w:r>
        <w:rPr>
          <w:rFonts w:hint="eastAsia"/>
          <w:highlight w:val="none"/>
        </w:rPr>
        <w:t>.</w:t>
      </w:r>
      <w:r>
        <w:rPr>
          <w:rFonts w:hint="eastAsia"/>
          <w:highlight w:val="none"/>
          <w:lang w:val="en-US" w:eastAsia="zh-CN"/>
        </w:rPr>
        <w:t>2</w:t>
      </w:r>
      <w:r>
        <w:rPr>
          <w:rFonts w:hint="eastAsia"/>
          <w:highlight w:val="none"/>
        </w:rPr>
        <w:t xml:space="preserve"> </w:t>
      </w:r>
      <w:r>
        <w:rPr>
          <w:rFonts w:hint="eastAsia"/>
          <w:highlight w:val="none"/>
          <w:lang w:eastAsia="zh-CN"/>
        </w:rPr>
        <w:t>贯彻落实畜禽养殖污染防治政策和标准</w:t>
      </w:r>
      <w:bookmarkEnd w:id="111"/>
    </w:p>
    <w:p>
      <w:pPr>
        <w:pStyle w:val="2"/>
        <w:spacing w:line="360" w:lineRule="auto"/>
        <w:rPr>
          <w:rFonts w:hint="eastAsia" w:eastAsia="仿宋"/>
          <w:highlight w:val="none"/>
          <w:lang w:eastAsia="zh-CN"/>
        </w:rPr>
      </w:pPr>
      <w:bookmarkStart w:id="113" w:name="_Toc2047"/>
      <w:r>
        <w:rPr>
          <w:rFonts w:hint="eastAsia"/>
          <w:highlight w:val="none"/>
        </w:rPr>
        <w:t>4.</w:t>
      </w:r>
      <w:r>
        <w:rPr>
          <w:rFonts w:hint="eastAsia"/>
          <w:highlight w:val="none"/>
          <w:lang w:val="en-US" w:eastAsia="zh-CN"/>
        </w:rPr>
        <w:t>2</w:t>
      </w:r>
      <w:r>
        <w:rPr>
          <w:rFonts w:hint="eastAsia"/>
          <w:highlight w:val="none"/>
        </w:rPr>
        <w:t xml:space="preserve">.1 </w:t>
      </w:r>
      <w:r>
        <w:rPr>
          <w:rFonts w:hint="eastAsia"/>
          <w:highlight w:val="none"/>
          <w:lang w:eastAsia="zh-CN"/>
        </w:rPr>
        <w:t>完善污染防治法规配套政策措施</w:t>
      </w:r>
      <w:bookmarkEnd w:id="113"/>
    </w:p>
    <w:p>
      <w:pPr>
        <w:pStyle w:val="4"/>
        <w:spacing w:before="190" w:after="190"/>
        <w:ind w:firstLine="560" w:firstLineChars="200"/>
        <w:rPr>
          <w:rFonts w:hint="eastAsia" w:ascii="Times New Roman" w:hAnsi="Times New Roman" w:eastAsia="仿宋" w:cstheme="minorBidi"/>
          <w:b w:val="0"/>
          <w:bCs/>
          <w:kern w:val="2"/>
          <w:sz w:val="28"/>
          <w:szCs w:val="22"/>
          <w:highlight w:val="none"/>
          <w:lang w:val="en-US" w:eastAsia="zh-CN" w:bidi="ar-SA"/>
        </w:rPr>
      </w:pPr>
      <w:bookmarkStart w:id="114" w:name="_Toc25991"/>
      <w:bookmarkStart w:id="115" w:name="_Toc29825"/>
      <w:bookmarkStart w:id="116" w:name="_Toc29345"/>
      <w:bookmarkStart w:id="117" w:name="_Toc16011"/>
      <w:bookmarkStart w:id="118" w:name="_Toc23752"/>
      <w:r>
        <w:rPr>
          <w:rFonts w:hint="eastAsia" w:cstheme="minorBidi"/>
          <w:b w:val="0"/>
          <w:bCs/>
          <w:kern w:val="2"/>
          <w:sz w:val="28"/>
          <w:szCs w:val="22"/>
          <w:highlight w:val="none"/>
          <w:lang w:val="en-US" w:eastAsia="zh-CN" w:bidi="ar-SA"/>
        </w:rPr>
        <w:t>规范土地备案、环评审批手续。对非禁养区内整治已达标，但因历史遗留问题造成手续不全的畜禽养殖场（养殖小区），各级政府要主动指导并帮助做好畜禽养殖用地备案、环境影响评价及防疫条件审查等工作，使之规范、合法和可持续发展。新建、改建和扩建畜禽养殖场，应当符合畜牧业发展规划和畜禽养殖污染防治规划，按照国家和省地方政府有关规定进行环境影响评价，并严格加以落实，有序推进全区畜禽养殖企业实现持证排污</w:t>
      </w:r>
      <w:r>
        <w:rPr>
          <w:rFonts w:hint="eastAsia" w:ascii="Times New Roman" w:hAnsi="Times New Roman" w:eastAsia="仿宋" w:cstheme="minorBidi"/>
          <w:b w:val="0"/>
          <w:bCs/>
          <w:kern w:val="2"/>
          <w:sz w:val="28"/>
          <w:szCs w:val="22"/>
          <w:highlight w:val="none"/>
          <w:lang w:val="en-US" w:eastAsia="zh-CN" w:bidi="ar-SA"/>
        </w:rPr>
        <w:t>。</w:t>
      </w:r>
      <w:bookmarkEnd w:id="114"/>
      <w:bookmarkEnd w:id="115"/>
      <w:bookmarkEnd w:id="116"/>
      <w:bookmarkEnd w:id="117"/>
      <w:bookmarkEnd w:id="118"/>
    </w:p>
    <w:p>
      <w:pPr>
        <w:pStyle w:val="2"/>
        <w:spacing w:line="360" w:lineRule="auto"/>
        <w:rPr>
          <w:rFonts w:hint="eastAsia" w:eastAsia="仿宋"/>
          <w:highlight w:val="none"/>
          <w:lang w:eastAsia="zh-CN"/>
        </w:rPr>
      </w:pPr>
      <w:bookmarkStart w:id="119" w:name="_Toc19553"/>
      <w:r>
        <w:rPr>
          <w:rFonts w:hint="eastAsia"/>
          <w:highlight w:val="none"/>
        </w:rPr>
        <w:t>4.</w:t>
      </w: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 xml:space="preserve"> </w:t>
      </w:r>
      <w:r>
        <w:rPr>
          <w:rFonts w:hint="eastAsia"/>
          <w:highlight w:val="none"/>
          <w:lang w:eastAsia="zh-CN"/>
        </w:rPr>
        <w:t>完善畜禽养殖污染防治标准体系</w:t>
      </w:r>
      <w:bookmarkEnd w:id="119"/>
    </w:p>
    <w:p>
      <w:pPr>
        <w:ind w:firstLine="560" w:firstLineChars="200"/>
        <w:rPr>
          <w:highlight w:val="none"/>
        </w:rPr>
      </w:pPr>
      <w:r>
        <w:rPr>
          <w:rFonts w:hint="eastAsia" w:cstheme="minorBidi"/>
          <w:b w:val="0"/>
          <w:bCs/>
          <w:kern w:val="2"/>
          <w:sz w:val="28"/>
          <w:szCs w:val="22"/>
          <w:highlight w:val="none"/>
          <w:lang w:val="en-US" w:eastAsia="zh-CN" w:bidi="ar-SA"/>
        </w:rPr>
        <w:t>环保、农业等有关部门制定畜禽养殖生产环境安全控制标准，严格控制饲料中抗生素、激素、铜、锌，以及铬、砷等重金属物质使用量。建立和完善畜禽养殖业污染环境监测技术标准体系。根据国家有关标准和畜禽养殖污染防治实际工作，组织制定地方畜禽让制污染排放标准。对于畜禽粪便中的重金属含量应严格满足《农用污泥污染物控制标准》（GB 4284-2018）对于兽药使用应严格符合《兽药管理暂行条例》《兽药注册管理办法》等法规。</w:t>
      </w:r>
    </w:p>
    <w:p>
      <w:pPr>
        <w:pStyle w:val="4"/>
        <w:spacing w:before="190" w:after="190"/>
        <w:rPr>
          <w:highlight w:val="none"/>
        </w:rPr>
      </w:pPr>
      <w:bookmarkStart w:id="120" w:name="_Toc5612"/>
      <w:r>
        <w:rPr>
          <w:highlight w:val="none"/>
        </w:rPr>
        <w:t>4</w:t>
      </w:r>
      <w:r>
        <w:rPr>
          <w:rFonts w:hint="eastAsia"/>
          <w:highlight w:val="none"/>
        </w:rPr>
        <w:t>.</w:t>
      </w:r>
      <w:r>
        <w:rPr>
          <w:rFonts w:hint="eastAsia"/>
          <w:highlight w:val="none"/>
          <w:lang w:val="en-US" w:eastAsia="zh-CN"/>
        </w:rPr>
        <w:t>3</w:t>
      </w:r>
      <w:r>
        <w:rPr>
          <w:rFonts w:hint="eastAsia"/>
          <w:highlight w:val="none"/>
        </w:rPr>
        <w:t xml:space="preserve"> 提升畜禽粪污资源化利用水平</w:t>
      </w:r>
      <w:bookmarkEnd w:id="112"/>
      <w:bookmarkEnd w:id="120"/>
    </w:p>
    <w:p>
      <w:pPr>
        <w:pStyle w:val="2"/>
        <w:spacing w:line="360" w:lineRule="auto"/>
        <w:rPr>
          <w:highlight w:val="none"/>
        </w:rPr>
      </w:pPr>
      <w:bookmarkStart w:id="121" w:name="_Toc81878837"/>
      <w:bookmarkStart w:id="122" w:name="_Toc80904917"/>
      <w:bookmarkStart w:id="123" w:name="_Toc9341"/>
      <w:bookmarkStart w:id="124" w:name="_Toc2485"/>
      <w:r>
        <w:rPr>
          <w:rFonts w:hint="eastAsia"/>
          <w:highlight w:val="none"/>
        </w:rPr>
        <w:t>4.</w:t>
      </w:r>
      <w:r>
        <w:rPr>
          <w:rFonts w:hint="eastAsia"/>
          <w:highlight w:val="none"/>
          <w:lang w:val="en-US" w:eastAsia="zh-CN"/>
        </w:rPr>
        <w:t>3</w:t>
      </w:r>
      <w:r>
        <w:rPr>
          <w:rFonts w:hint="eastAsia"/>
          <w:highlight w:val="none"/>
        </w:rPr>
        <w:t>.1 消纳土地充足区域粪肥处理利用模式</w:t>
      </w:r>
      <w:bookmarkEnd w:id="121"/>
      <w:bookmarkEnd w:id="122"/>
      <w:bookmarkEnd w:id="123"/>
      <w:bookmarkEnd w:id="124"/>
    </w:p>
    <w:p>
      <w:pPr>
        <w:ind w:firstLine="560" w:firstLineChars="200"/>
        <w:rPr>
          <w:rFonts w:cs="Times New Roman"/>
          <w:szCs w:val="28"/>
        </w:rPr>
      </w:pPr>
      <w:r>
        <w:rPr>
          <w:rFonts w:hint="eastAsia" w:cs="Times New Roman"/>
          <w:szCs w:val="28"/>
          <w:highlight w:val="none"/>
        </w:rPr>
        <w:t>土地承载力阈值</w:t>
      </w:r>
      <w:r>
        <w:rPr>
          <w:rFonts w:cs="Times New Roman"/>
          <w:szCs w:val="28"/>
          <w:highlight w:val="none"/>
        </w:rPr>
        <w:t>测算结果表明</w:t>
      </w:r>
      <w:r>
        <w:rPr>
          <w:rFonts w:hint="eastAsia" w:cs="Times New Roman"/>
          <w:szCs w:val="28"/>
          <w:highlight w:val="none"/>
        </w:rPr>
        <w:t>，</w:t>
      </w:r>
      <w:r>
        <w:rPr>
          <w:rFonts w:hint="eastAsia"/>
          <w:bCs/>
          <w:highlight w:val="none"/>
          <w:lang w:val="en-US" w:eastAsia="zh-CN"/>
        </w:rPr>
        <w:t>巴州区</w:t>
      </w:r>
      <w:r>
        <w:rPr>
          <w:rFonts w:cs="Times New Roman"/>
          <w:szCs w:val="28"/>
          <w:highlight w:val="none"/>
        </w:rPr>
        <w:t>属于消纳土地充足</w:t>
      </w:r>
      <w:r>
        <w:rPr>
          <w:rFonts w:hint="eastAsia" w:cs="Times New Roman"/>
          <w:szCs w:val="28"/>
          <w:highlight w:val="none"/>
        </w:rPr>
        <w:t>的</w:t>
      </w:r>
      <w:r>
        <w:rPr>
          <w:rFonts w:hint="eastAsia" w:cs="Times New Roman"/>
          <w:szCs w:val="28"/>
          <w:highlight w:val="none"/>
          <w:lang w:eastAsia="zh-CN"/>
        </w:rPr>
        <w:t>地区</w:t>
      </w:r>
      <w:r>
        <w:rPr>
          <w:rFonts w:hint="eastAsia" w:cs="Times New Roman"/>
          <w:szCs w:val="28"/>
          <w:highlight w:val="none"/>
        </w:rPr>
        <w:t>，能够满足规模养殖场、规模以下养殖户和散养户的配套</w:t>
      </w:r>
      <w:r>
        <w:rPr>
          <w:rFonts w:hint="eastAsia" w:cs="Times New Roman"/>
          <w:szCs w:val="28"/>
        </w:rPr>
        <w:t>土地需求。</w:t>
      </w:r>
    </w:p>
    <w:p>
      <w:pPr>
        <w:ind w:firstLine="560" w:firstLineChars="200"/>
        <w:rPr>
          <w:rFonts w:cs="Times New Roman"/>
          <w:szCs w:val="28"/>
        </w:rPr>
      </w:pPr>
      <w:r>
        <w:rPr>
          <w:rFonts w:hint="eastAsia"/>
          <w:bCs/>
          <w:lang w:val="en-US" w:eastAsia="zh-CN"/>
        </w:rPr>
        <w:t>推荐</w:t>
      </w:r>
      <w:r>
        <w:rPr>
          <w:rFonts w:cs="Times New Roman"/>
          <w:szCs w:val="28"/>
        </w:rPr>
        <w:t>优先采用粪肥还田利用模式和低成本、低排放、易操作的粪污处理工艺，以养分平衡为核心，完善粪污收集</w:t>
      </w:r>
      <w:r>
        <w:rPr>
          <w:rFonts w:hint="eastAsia" w:cs="Times New Roman"/>
          <w:szCs w:val="28"/>
          <w:lang w:eastAsia="zh-CN"/>
        </w:rPr>
        <w:t>－</w:t>
      </w:r>
      <w:r>
        <w:rPr>
          <w:rFonts w:cs="Times New Roman"/>
          <w:szCs w:val="28"/>
        </w:rPr>
        <w:t>贮存</w:t>
      </w:r>
      <w:r>
        <w:rPr>
          <w:rFonts w:hint="eastAsia" w:cs="Times New Roman"/>
          <w:szCs w:val="28"/>
          <w:lang w:eastAsia="zh-CN"/>
        </w:rPr>
        <w:t>－</w:t>
      </w:r>
      <w:r>
        <w:rPr>
          <w:rFonts w:cs="Times New Roman"/>
          <w:szCs w:val="28"/>
        </w:rPr>
        <w:t>转运</w:t>
      </w:r>
      <w:r>
        <w:rPr>
          <w:rFonts w:hint="eastAsia" w:cs="Times New Roman"/>
          <w:szCs w:val="28"/>
          <w:lang w:eastAsia="zh-CN"/>
        </w:rPr>
        <w:t>－</w:t>
      </w:r>
      <w:r>
        <w:rPr>
          <w:rFonts w:cs="Times New Roman"/>
          <w:szCs w:val="28"/>
        </w:rPr>
        <w:t>利用体系。</w:t>
      </w:r>
    </w:p>
    <w:p>
      <w:pPr>
        <w:ind w:firstLine="560" w:firstLineChars="200"/>
      </w:pPr>
      <w:r>
        <w:rPr>
          <w:rFonts w:hint="eastAsia"/>
        </w:rPr>
        <w:t>对于消纳粪污土地面积充足的</w:t>
      </w:r>
      <w:r>
        <w:rPr>
          <w:rFonts w:hint="eastAsia"/>
          <w:lang w:eastAsia="zh-CN"/>
        </w:rPr>
        <w:t>地区</w:t>
      </w:r>
      <w:r>
        <w:rPr>
          <w:rFonts w:hint="eastAsia"/>
        </w:rPr>
        <w:t>，按照《畜禽粪便无害化卫生要求（GB7959-2012）》和《畜禽粪便无害化处理技术规范（GB/T36195-2018）》有关要求，可采用粪污规范贮存堆沤后就近还田或厌氧发酵后就近还田两种模式。对于粪污规范贮存堆沤后就近还田，要注意保障粪污堆沤时长，确保达到无害化处理利用要求后施用。</w:t>
      </w:r>
    </w:p>
    <w:p>
      <w:pPr>
        <w:pStyle w:val="2"/>
        <w:spacing w:line="360" w:lineRule="auto"/>
      </w:pPr>
      <w:bookmarkStart w:id="125" w:name="_Toc80904918"/>
      <w:bookmarkStart w:id="126" w:name="_Toc22594"/>
      <w:bookmarkStart w:id="127" w:name="_Toc12495"/>
      <w:bookmarkStart w:id="128" w:name="_Toc81878838"/>
      <w:r>
        <w:rPr>
          <w:rFonts w:hint="eastAsia"/>
        </w:rPr>
        <w:t>4.</w:t>
      </w:r>
      <w:r>
        <w:rPr>
          <w:rFonts w:hint="eastAsia"/>
          <w:lang w:val="en-US" w:eastAsia="zh-CN"/>
        </w:rPr>
        <w:t>3</w:t>
      </w:r>
      <w:r>
        <w:rPr>
          <w:rFonts w:hint="eastAsia"/>
        </w:rPr>
        <w:t>.2 消纳土地不足区域粪肥处理利用模式</w:t>
      </w:r>
      <w:bookmarkEnd w:id="125"/>
      <w:bookmarkEnd w:id="126"/>
      <w:bookmarkEnd w:id="127"/>
      <w:bookmarkEnd w:id="128"/>
    </w:p>
    <w:p>
      <w:pPr>
        <w:ind w:firstLine="560" w:firstLineChars="200"/>
      </w:pPr>
      <w:r>
        <w:rPr>
          <w:rFonts w:hint="eastAsia"/>
        </w:rPr>
        <w:t>（1）规模养殖场</w:t>
      </w:r>
    </w:p>
    <w:p>
      <w:pPr>
        <w:ind w:firstLine="560" w:firstLineChars="200"/>
      </w:pPr>
      <w:r>
        <w:rPr>
          <w:rFonts w:hint="eastAsia"/>
        </w:rPr>
        <w:t>规模养殖场周边配套农地不足时，规模养殖场优先将液体粪肥用于周边农地消纳，固体粪肥委托第三方处理后外销。确实无法通过配套土地消纳的养殖场和养殖户，进一步采用固体粪便生产商品有机肥外销或者作为基质种植蘑菇等综合利用方式，尿液污水经过深度处理后达标排放。</w:t>
      </w:r>
    </w:p>
    <w:p>
      <w:pPr>
        <w:ind w:firstLine="560" w:firstLineChars="200"/>
      </w:pPr>
      <w:r>
        <w:rPr>
          <w:rFonts w:hint="eastAsia"/>
        </w:rPr>
        <w:t>（2）养殖户</w:t>
      </w:r>
    </w:p>
    <w:p>
      <w:pPr>
        <w:ind w:firstLine="560" w:firstLineChars="200"/>
      </w:pPr>
      <w:r>
        <w:rPr>
          <w:rFonts w:hint="eastAsia"/>
        </w:rPr>
        <w:t>优先调整养殖结构，核减规模以下养殖量。在治理模式上，以镇或村为单元，对规模以下养殖户粪污数量进行摸底统计，建设粪污转运中心，实施统一收集和处理利用，固体粪便可生产有机肥外销，液体粪污堆肥后就近农用。</w:t>
      </w:r>
    </w:p>
    <w:p>
      <w:pPr>
        <w:pStyle w:val="2"/>
        <w:spacing w:line="360" w:lineRule="auto"/>
      </w:pPr>
      <w:bookmarkStart w:id="129" w:name="_Toc81878839"/>
      <w:bookmarkStart w:id="130" w:name="_Toc6419"/>
      <w:bookmarkStart w:id="131" w:name="_Toc30151"/>
      <w:r>
        <w:rPr>
          <w:rFonts w:hint="eastAsia"/>
        </w:rPr>
        <w:t>4.</w:t>
      </w:r>
      <w:r>
        <w:rPr>
          <w:rFonts w:hint="eastAsia"/>
          <w:lang w:val="en-US" w:eastAsia="zh-CN"/>
        </w:rPr>
        <w:t>3</w:t>
      </w:r>
      <w:r>
        <w:rPr>
          <w:rFonts w:hint="eastAsia"/>
        </w:rPr>
        <w:t>.3 畜禽粪污无害化处理总流程</w:t>
      </w:r>
      <w:bookmarkEnd w:id="129"/>
      <w:bookmarkEnd w:id="130"/>
      <w:bookmarkEnd w:id="131"/>
    </w:p>
    <w:p>
      <w:pPr>
        <w:ind w:firstLine="560" w:firstLineChars="200"/>
        <w:rPr>
          <w:bCs/>
        </w:rPr>
      </w:pPr>
      <w:r>
        <w:rPr>
          <w:rFonts w:hint="eastAsia"/>
          <w:bCs/>
        </w:rPr>
        <w:t>根据粪便排放量和作物生长需要，将养殖产生的废水和粪便无害化处理后施用于田地、林地、果园，实现种养平衡。粪污无害化处理总流程如图4-2-5所示。</w:t>
      </w:r>
    </w:p>
    <w:p>
      <w:pPr>
        <w:jc w:val="center"/>
      </w:pPr>
      <w:r>
        <w:drawing>
          <wp:inline distT="0" distB="0" distL="0" distR="0">
            <wp:extent cx="5255260" cy="2955290"/>
            <wp:effectExtent l="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55260" cy="2955290"/>
                    </a:xfrm>
                    <a:prstGeom prst="rect">
                      <a:avLst/>
                    </a:prstGeom>
                    <a:noFill/>
                    <a:ln>
                      <a:noFill/>
                    </a:ln>
                  </pic:spPr>
                </pic:pic>
              </a:graphicData>
            </a:graphic>
          </wp:inline>
        </w:drawing>
      </w:r>
    </w:p>
    <w:p>
      <w:pPr>
        <w:ind w:firstLine="482" w:firstLineChars="200"/>
        <w:jc w:val="center"/>
        <w:rPr>
          <w:b/>
          <w:bCs/>
          <w:sz w:val="24"/>
          <w:szCs w:val="24"/>
        </w:rPr>
      </w:pPr>
      <w:r>
        <w:rPr>
          <w:rFonts w:hint="eastAsia"/>
          <w:b/>
          <w:bCs/>
          <w:sz w:val="24"/>
          <w:szCs w:val="24"/>
        </w:rPr>
        <w:t>图4-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1</w:t>
      </w:r>
      <w:r>
        <w:rPr>
          <w:rFonts w:hint="eastAsia"/>
          <w:b/>
          <w:bCs/>
          <w:sz w:val="24"/>
          <w:szCs w:val="24"/>
        </w:rPr>
        <w:t xml:space="preserve"> 粪污处理和资源化利用工艺流程总图</w:t>
      </w:r>
    </w:p>
    <w:p>
      <w:pPr>
        <w:ind w:firstLine="560" w:firstLineChars="200"/>
      </w:pPr>
      <w:r>
        <w:rPr>
          <w:rFonts w:hint="eastAsia"/>
          <w:bCs/>
        </w:rPr>
        <w:t>规模化养殖场及规模以下养殖户，建设粪便堆积发酵场、污水贮存池，分别对粪便和污水进行处理。贮存时间根据区消纳土地的种植品种实际情况及粪污发酵成熟所需时间确定为不低于</w:t>
      </w:r>
      <w:r>
        <w:rPr>
          <w:rFonts w:hint="eastAsia"/>
          <w:bCs/>
          <w:lang w:val="en-US" w:eastAsia="zh-CN"/>
        </w:rPr>
        <w:t>3</w:t>
      </w:r>
      <w:r>
        <w:rPr>
          <w:rFonts w:hint="eastAsia"/>
          <w:bCs/>
        </w:rPr>
        <w:t>个月</w:t>
      </w:r>
      <w:r>
        <w:rPr>
          <w:rFonts w:hint="eastAsia"/>
          <w:bCs/>
          <w:lang w:eastAsia="zh-CN"/>
        </w:rPr>
        <w:t>，在满足《农田灌溉水质标准》后可综合利用</w:t>
      </w:r>
      <w:r>
        <w:rPr>
          <w:rFonts w:hint="eastAsia"/>
          <w:bCs/>
        </w:rPr>
        <w:t>。</w:t>
      </w:r>
    </w:p>
    <w:p>
      <w:pPr>
        <w:pStyle w:val="4"/>
        <w:spacing w:before="190" w:after="190"/>
      </w:pPr>
      <w:bookmarkStart w:id="132" w:name="_Toc22720"/>
      <w:bookmarkStart w:id="133" w:name="_Toc23085"/>
      <w:r>
        <w:t>4</w:t>
      </w:r>
      <w:r>
        <w:rPr>
          <w:rFonts w:hint="eastAsia"/>
        </w:rPr>
        <w:t>.</w:t>
      </w:r>
      <w:r>
        <w:rPr>
          <w:rFonts w:hint="eastAsia"/>
          <w:lang w:val="en-US" w:eastAsia="zh-CN"/>
        </w:rPr>
        <w:t>4</w:t>
      </w:r>
      <w:r>
        <w:rPr>
          <w:rFonts w:hint="eastAsia"/>
        </w:rPr>
        <w:t xml:space="preserve"> 完善粪污处理和利用设施</w:t>
      </w:r>
      <w:bookmarkEnd w:id="132"/>
      <w:bookmarkEnd w:id="133"/>
    </w:p>
    <w:p>
      <w:pPr>
        <w:pStyle w:val="2"/>
        <w:spacing w:line="360" w:lineRule="auto"/>
      </w:pPr>
      <w:bookmarkStart w:id="134" w:name="_Toc32711"/>
      <w:bookmarkStart w:id="135" w:name="_Toc15551"/>
      <w:r>
        <w:rPr>
          <w:rFonts w:hint="eastAsia"/>
        </w:rPr>
        <w:t>4</w:t>
      </w:r>
      <w:r>
        <w:t>.</w:t>
      </w:r>
      <w:r>
        <w:rPr>
          <w:rFonts w:hint="eastAsia"/>
          <w:lang w:val="en-US" w:eastAsia="zh-CN"/>
        </w:rPr>
        <w:t>4</w:t>
      </w:r>
      <w:r>
        <w:t xml:space="preserve">.1 </w:t>
      </w:r>
      <w:r>
        <w:rPr>
          <w:rFonts w:hint="eastAsia"/>
        </w:rPr>
        <w:t>养殖场（户）设施建设</w:t>
      </w:r>
      <w:bookmarkEnd w:id="134"/>
      <w:bookmarkEnd w:id="135"/>
    </w:p>
    <w:p>
      <w:pPr>
        <w:ind w:firstLine="562" w:firstLineChars="200"/>
        <w:rPr>
          <w:b/>
          <w:bCs/>
        </w:rPr>
      </w:pPr>
      <w:r>
        <w:rPr>
          <w:rFonts w:hint="eastAsia"/>
          <w:b/>
          <w:bCs/>
        </w:rPr>
        <w:t>（1）畜禽规模养殖场清洁生产设施建设</w:t>
      </w:r>
    </w:p>
    <w:p>
      <w:pPr>
        <w:ind w:firstLine="560" w:firstLineChars="200"/>
        <w:rPr>
          <w:bCs/>
        </w:rPr>
      </w:pPr>
      <w:r>
        <w:rPr>
          <w:rFonts w:hint="eastAsia"/>
          <w:bCs/>
        </w:rPr>
        <w:t>结合实际情况，</w:t>
      </w:r>
      <w:r>
        <w:rPr>
          <w:rFonts w:hint="eastAsia"/>
          <w:bCs/>
          <w:lang w:eastAsia="zh-CN"/>
        </w:rPr>
        <w:t>区</w:t>
      </w:r>
      <w:r>
        <w:rPr>
          <w:rFonts w:hint="eastAsia"/>
          <w:bCs/>
        </w:rPr>
        <w:t>畜禽规模养殖场清洁生产设施的建设主要按照“12321”原则，即“一控”：改进节水设备，改造畜禽饮水器，从源头控制用水量；“两分”：圈舍及粪污贮存设施进行雨污分流改造。建设雨污分流、暗沟布设的污水收集输送系统，实现雨污分离，推行干清粪，实现干湿分离；“三防”：配套设施符合防渗、防雨、防溢流要求；“两配套”：配套建设储粪场和污水储存池；“一基本”：推进畜禽粪污基本实现全量收集、无害化处理和资源化利用，明确提出整改时限及配建要求。从源头节水、优化清粪方式、雨污分流、栏舍臭气控制几个方面对</w:t>
      </w:r>
      <w:r>
        <w:rPr>
          <w:rFonts w:hint="eastAsia"/>
          <w:bCs/>
          <w:lang w:eastAsia="zh-CN"/>
        </w:rPr>
        <w:t>区</w:t>
      </w:r>
      <w:r>
        <w:rPr>
          <w:rFonts w:hint="eastAsia"/>
          <w:bCs/>
        </w:rPr>
        <w:t>规模养殖场进行清洁生产设施的建设和改造。</w:t>
      </w:r>
    </w:p>
    <w:p>
      <w:pPr>
        <w:ind w:firstLine="562" w:firstLineChars="200"/>
        <w:rPr>
          <w:b/>
        </w:rPr>
      </w:pPr>
      <w:r>
        <w:rPr>
          <w:rFonts w:hint="eastAsia"/>
          <w:b/>
        </w:rPr>
        <w:t>（2）畜禽规模养殖场粪污处理利用设施建设</w:t>
      </w:r>
    </w:p>
    <w:p>
      <w:pPr>
        <w:ind w:firstLine="560" w:firstLineChars="200"/>
        <w:rPr>
          <w:bCs/>
        </w:rPr>
      </w:pPr>
      <w:r>
        <w:rPr>
          <w:rFonts w:hint="eastAsia"/>
          <w:bCs/>
          <w:lang w:eastAsia="zh-CN"/>
        </w:rPr>
        <w:t>巴州区</w:t>
      </w:r>
      <w:r>
        <w:rPr>
          <w:rFonts w:hint="eastAsia"/>
          <w:bCs/>
        </w:rPr>
        <w:t>畜禽规模养殖场建设新一代粪污处理设施，实现畜禽排泄物的资源化。通过高温快速干燥法、分离法等对畜禽排泄物进行处理，杀死其中所携带的病原菌等，将畜禽粪便转化为饲料。然后将已经处理的畜禽排泄物按照相应的比例与其他畜禽所需营养元素进行科学配比，对其加工，生产出更加适合畜禽生长需要的饲料，实现畜禽排泄物的饲料化、商品化。</w:t>
      </w:r>
    </w:p>
    <w:p>
      <w:pPr>
        <w:ind w:firstLine="562" w:firstLineChars="200"/>
        <w:rPr>
          <w:b/>
        </w:rPr>
      </w:pPr>
      <w:r>
        <w:rPr>
          <w:rFonts w:hint="eastAsia"/>
          <w:b/>
        </w:rPr>
        <w:t>（3）规模以下养殖户清洁生产设施建设</w:t>
      </w:r>
    </w:p>
    <w:p>
      <w:pPr>
        <w:ind w:firstLine="560" w:firstLineChars="200"/>
        <w:rPr>
          <w:bCs/>
        </w:rPr>
      </w:pPr>
      <w:r>
        <w:rPr>
          <w:rFonts w:hint="eastAsia"/>
          <w:bCs/>
          <w:lang w:eastAsia="zh-CN"/>
        </w:rPr>
        <w:t>区</w:t>
      </w:r>
      <w:r>
        <w:rPr>
          <w:rFonts w:hint="eastAsia"/>
          <w:bCs/>
        </w:rPr>
        <w:t>现有规模以下养殖户逐步淘汰全程水冲粪等清粪方式，新建养殖户杜绝水冲粪清粪方式，实现废水源头减量。主要任务主要包括粪污输送管道以及排水系统的建设和改造。</w:t>
      </w:r>
    </w:p>
    <w:p>
      <w:pPr>
        <w:ind w:firstLine="562" w:firstLineChars="200"/>
        <w:rPr>
          <w:b/>
        </w:rPr>
      </w:pPr>
      <w:r>
        <w:rPr>
          <w:rFonts w:hint="eastAsia"/>
          <w:b/>
        </w:rPr>
        <w:t>（4）规模以下养殖户粪污处理利用设施建设</w:t>
      </w:r>
    </w:p>
    <w:p>
      <w:pPr>
        <w:ind w:firstLine="560" w:firstLineChars="200"/>
        <w:rPr>
          <w:rFonts w:hint="eastAsia"/>
          <w:bCs/>
        </w:rPr>
      </w:pPr>
      <w:r>
        <w:rPr>
          <w:rFonts w:hint="eastAsia"/>
          <w:bCs/>
        </w:rPr>
        <w:t>“十四五”期间，大力推进规模以下养殖户粪污治理设施建设，并保持正常运行，委托第三方进行粪污处理的要签订协议，明确相互责任，确保粪污资源化利用。因此，</w:t>
      </w:r>
      <w:r>
        <w:rPr>
          <w:rFonts w:hint="eastAsia"/>
          <w:bCs/>
          <w:lang w:eastAsia="zh-CN"/>
        </w:rPr>
        <w:t>区</w:t>
      </w:r>
      <w:r>
        <w:rPr>
          <w:rFonts w:hint="eastAsia"/>
          <w:bCs/>
        </w:rPr>
        <w:t>应当加强区域统筹，主要面向中小规模畜禽养殖场，建设区域粪污集中处理中心，大力推进基于第三方的畜禽粪污集中处理与资源化利用模式，促进种养循环发展。</w:t>
      </w:r>
    </w:p>
    <w:p>
      <w:pPr>
        <w:ind w:firstLine="560" w:firstLineChars="200"/>
        <w:rPr>
          <w:bCs/>
        </w:rPr>
      </w:pPr>
      <w:r>
        <w:rPr>
          <w:rFonts w:hint="eastAsia"/>
          <w:bCs/>
          <w:lang w:eastAsia="zh-CN"/>
        </w:rPr>
        <w:t>巴州区</w:t>
      </w:r>
      <w:r>
        <w:rPr>
          <w:rFonts w:hint="eastAsia"/>
          <w:bCs/>
        </w:rPr>
        <w:t>需要对</w:t>
      </w:r>
      <w:r>
        <w:rPr>
          <w:rFonts w:hint="eastAsia"/>
          <w:bCs/>
          <w:lang w:val="en-US" w:eastAsia="zh-CN"/>
        </w:rPr>
        <w:t>160</w:t>
      </w:r>
      <w:r>
        <w:rPr>
          <w:rFonts w:hint="eastAsia"/>
          <w:bCs/>
        </w:rPr>
        <w:t>家规模以</w:t>
      </w:r>
      <w:r>
        <w:rPr>
          <w:rFonts w:hint="eastAsia"/>
          <w:bCs/>
          <w:lang w:val="en-US" w:eastAsia="zh-CN"/>
        </w:rPr>
        <w:t>下</w:t>
      </w:r>
      <w:r>
        <w:rPr>
          <w:rFonts w:hint="eastAsia"/>
          <w:bCs/>
        </w:rPr>
        <w:t>养殖户建设粪污处理设施，包括堆粪场和污水贮存池。</w:t>
      </w:r>
    </w:p>
    <w:p>
      <w:pPr>
        <w:pStyle w:val="2"/>
        <w:spacing w:line="360" w:lineRule="auto"/>
      </w:pPr>
      <w:bookmarkStart w:id="136" w:name="_Toc14725"/>
      <w:bookmarkStart w:id="137" w:name="_Toc16990"/>
      <w:r>
        <w:rPr>
          <w:rFonts w:hint="eastAsia"/>
        </w:rPr>
        <w:t>4</w:t>
      </w:r>
      <w:r>
        <w:t>.</w:t>
      </w:r>
      <w:r>
        <w:rPr>
          <w:rFonts w:hint="eastAsia"/>
          <w:lang w:val="en-US" w:eastAsia="zh-CN"/>
        </w:rPr>
        <w:t>4</w:t>
      </w:r>
      <w:r>
        <w:t xml:space="preserve">.2 </w:t>
      </w:r>
      <w:r>
        <w:rPr>
          <w:rFonts w:hint="eastAsia"/>
        </w:rPr>
        <w:t>田间配套设施建设</w:t>
      </w:r>
      <w:bookmarkEnd w:id="136"/>
      <w:bookmarkEnd w:id="137"/>
    </w:p>
    <w:p>
      <w:pPr>
        <w:ind w:firstLine="560" w:firstLineChars="200"/>
        <w:rPr>
          <w:bCs/>
        </w:rPr>
      </w:pPr>
      <w:r>
        <w:rPr>
          <w:rFonts w:hint="eastAsia"/>
          <w:bCs/>
        </w:rPr>
        <w:t>区域田间粪污贮存场作为后续处理工艺，处理规模化养殖场和规模以下养殖户未能发酵成熟的粪污，存储时间为</w:t>
      </w:r>
      <w:r>
        <w:rPr>
          <w:rFonts w:hint="eastAsia"/>
          <w:bCs/>
          <w:lang w:val="en-US" w:eastAsia="zh-CN"/>
        </w:rPr>
        <w:t>3</w:t>
      </w:r>
      <w:r>
        <w:rPr>
          <w:rFonts w:hint="eastAsia"/>
          <w:bCs/>
        </w:rPr>
        <w:t>个月。发酵成熟的粪污，按协议消纳还田（林、果）或出售。</w:t>
      </w:r>
    </w:p>
    <w:p>
      <w:pPr>
        <w:ind w:firstLine="560" w:firstLineChars="200"/>
        <w:rPr>
          <w:bCs/>
        </w:rPr>
      </w:pPr>
      <w:r>
        <w:rPr>
          <w:rFonts w:hint="eastAsia"/>
          <w:bCs/>
        </w:rPr>
        <w:t>区畜禽养殖量较大的村，需建设田间配套粪污无害化设施，包括粪便堆放场和污水贮存池。</w:t>
      </w:r>
    </w:p>
    <w:p>
      <w:pPr>
        <w:pStyle w:val="2"/>
        <w:spacing w:line="360" w:lineRule="auto"/>
      </w:pPr>
      <w:bookmarkStart w:id="138" w:name="_Toc3232"/>
      <w:bookmarkStart w:id="139" w:name="_Toc25561"/>
      <w:bookmarkStart w:id="140" w:name="_Toc81878843"/>
      <w:r>
        <w:t>4</w:t>
      </w:r>
      <w:r>
        <w:rPr>
          <w:rFonts w:hint="eastAsia"/>
        </w:rPr>
        <w:t>.</w:t>
      </w:r>
      <w:r>
        <w:rPr>
          <w:rFonts w:hint="eastAsia"/>
          <w:lang w:val="en-US" w:eastAsia="zh-CN"/>
        </w:rPr>
        <w:t>4</w:t>
      </w:r>
      <w:r>
        <w:rPr>
          <w:rFonts w:hint="eastAsia"/>
        </w:rPr>
        <w:t>.3粪污转运及集中处理中心</w:t>
      </w:r>
      <w:bookmarkEnd w:id="138"/>
      <w:bookmarkEnd w:id="139"/>
      <w:bookmarkEnd w:id="140"/>
    </w:p>
    <w:p>
      <w:pPr>
        <w:ind w:firstLine="560" w:firstLineChars="200"/>
      </w:pPr>
      <w:r>
        <w:rPr>
          <w:rFonts w:hint="eastAsia"/>
        </w:rPr>
        <w:t>根据粪污处理利用需求，建设畜禽粪污转运及集中处理中心。粪污转运中心的主要目的是针对</w:t>
      </w:r>
      <w:r>
        <w:rPr>
          <w:rFonts w:hint="eastAsia"/>
          <w:lang w:eastAsia="zh-CN"/>
        </w:rPr>
        <w:t>鼎山镇和</w:t>
      </w:r>
      <w:r>
        <w:rPr>
          <w:rFonts w:hint="eastAsia"/>
          <w:bCs/>
          <w:lang w:eastAsia="zh-CN"/>
        </w:rPr>
        <w:t>清江镇</w:t>
      </w:r>
      <w:r>
        <w:rPr>
          <w:rFonts w:hint="eastAsia"/>
        </w:rPr>
        <w:t>的畜禽数量较大，</w:t>
      </w:r>
      <w:r>
        <w:rPr>
          <w:rFonts w:hint="eastAsia"/>
          <w:lang w:eastAsia="zh-CN"/>
        </w:rPr>
        <w:t>地区养殖配套面积需求较高，故</w:t>
      </w:r>
      <w:r>
        <w:rPr>
          <w:rFonts w:hint="eastAsia"/>
        </w:rPr>
        <w:t>需要建设</w:t>
      </w:r>
      <w:r>
        <w:rPr>
          <w:rFonts w:hint="eastAsia"/>
          <w:lang w:val="en-US" w:eastAsia="zh-CN"/>
        </w:rPr>
        <w:t>2</w:t>
      </w:r>
      <w:r>
        <w:rPr>
          <w:rFonts w:hint="eastAsia"/>
        </w:rPr>
        <w:t>个粪污转运及集中处理中心，</w:t>
      </w:r>
      <w:r>
        <w:rPr>
          <w:rFonts w:hint="eastAsia"/>
          <w:lang w:eastAsia="zh-CN"/>
        </w:rPr>
        <w:t>分别位于鼎山镇（兼顾梁永镇）和清江镇每个能够实现年产</w:t>
      </w:r>
      <w:r>
        <w:rPr>
          <w:rFonts w:hint="eastAsia"/>
          <w:lang w:val="en-US" w:eastAsia="zh-CN"/>
        </w:rPr>
        <w:t>10万吨有机肥的生产能力，对鼎山镇和清江镇的粪污收集处理率达到50%，</w:t>
      </w:r>
      <w:r>
        <w:rPr>
          <w:rFonts w:hint="eastAsia"/>
        </w:rPr>
        <w:t>将粪污进行无害化处理后，运输至签订土地消纳协议的乡镇进行资源化利用。</w:t>
      </w:r>
    </w:p>
    <w:p>
      <w:pPr>
        <w:pStyle w:val="4"/>
        <w:spacing w:before="190" w:after="190"/>
      </w:pPr>
      <w:bookmarkStart w:id="141" w:name="_Toc6314"/>
      <w:bookmarkStart w:id="142" w:name="_Toc3247"/>
      <w:r>
        <w:t>4</w:t>
      </w:r>
      <w:r>
        <w:rPr>
          <w:rFonts w:hint="eastAsia"/>
        </w:rPr>
        <w:t>.</w:t>
      </w:r>
      <w:r>
        <w:rPr>
          <w:rFonts w:hint="eastAsia"/>
          <w:lang w:val="en-US" w:eastAsia="zh-CN"/>
        </w:rPr>
        <w:t>5</w:t>
      </w:r>
      <w:r>
        <w:rPr>
          <w:rFonts w:hint="eastAsia"/>
        </w:rPr>
        <w:t xml:space="preserve"> 建立健全台账管理制度</w:t>
      </w:r>
      <w:bookmarkEnd w:id="141"/>
      <w:bookmarkEnd w:id="142"/>
    </w:p>
    <w:p>
      <w:pPr>
        <w:ind w:firstLine="560" w:firstLineChars="200"/>
      </w:pPr>
      <w:r>
        <w:rPr>
          <w:rFonts w:hint="eastAsia"/>
        </w:rPr>
        <w:t>为规范养殖场档案管理，增强养殖场档案的实用性和有效性，需完善畜禽规模养殖场和规模以下养殖户畜禽粪污资源化利用计划和台账管理制度。</w:t>
      </w:r>
    </w:p>
    <w:p>
      <w:pPr>
        <w:ind w:firstLine="560" w:firstLineChars="200"/>
      </w:pPr>
      <w:r>
        <w:rPr>
          <w:rFonts w:hint="eastAsia"/>
          <w:lang w:eastAsia="zh-CN"/>
        </w:rPr>
        <w:t>巴州区</w:t>
      </w:r>
      <w:r>
        <w:rPr>
          <w:rFonts w:hint="eastAsia"/>
        </w:rPr>
        <w:t>应当按照“先备案后监管”原则，不增加前置备案条件，确保养殖场全部备案，对养殖场实行全覆盖监管和服务。完善镇、街道政府粪污资源化利用培训指导和监督检查方案，加大技术指导服务和培训推广力度，提升养殖场（户）粪污资源化利用水平，从而实现加快完善畜禽养殖粪污监管制度、落实规模养殖场主体责任制度、健全绩效评价考核制度。</w:t>
      </w:r>
    </w:p>
    <w:p>
      <w:pPr>
        <w:pStyle w:val="4"/>
        <w:spacing w:before="190" w:after="190"/>
      </w:pPr>
      <w:bookmarkStart w:id="143" w:name="_Toc24435"/>
      <w:bookmarkStart w:id="144" w:name="_Toc28545"/>
      <w:r>
        <w:t>4</w:t>
      </w:r>
      <w:r>
        <w:rPr>
          <w:rFonts w:hint="eastAsia"/>
        </w:rPr>
        <w:t>.</w:t>
      </w:r>
      <w:r>
        <w:rPr>
          <w:rFonts w:hint="eastAsia"/>
          <w:lang w:val="en-US" w:eastAsia="zh-CN"/>
        </w:rPr>
        <w:t>6</w:t>
      </w:r>
      <w:r>
        <w:rPr>
          <w:rFonts w:hint="eastAsia"/>
        </w:rPr>
        <w:t xml:space="preserve"> </w:t>
      </w:r>
      <w:r>
        <w:rPr>
          <w:rFonts w:hint="eastAsia"/>
          <w:lang w:eastAsia="zh-CN"/>
        </w:rPr>
        <w:t>完善畜禽养殖业环境监测体系</w:t>
      </w:r>
      <w:bookmarkEnd w:id="143"/>
    </w:p>
    <w:p>
      <w:pPr>
        <w:ind w:firstLine="560" w:firstLineChars="200"/>
        <w:rPr>
          <w:rFonts w:hint="eastAsia"/>
          <w:lang w:eastAsia="zh-CN"/>
        </w:rPr>
      </w:pPr>
      <w:r>
        <w:rPr>
          <w:rFonts w:hint="eastAsia"/>
          <w:lang w:eastAsia="zh-CN"/>
        </w:rPr>
        <w:t>提升环境监测能力，畜禽养殖业环境监测工作需要，同时根据《排污许可证申请与合法技术规范</w:t>
      </w:r>
      <w:r>
        <w:rPr>
          <w:rFonts w:hint="eastAsia"/>
          <w:lang w:val="en-US" w:eastAsia="zh-CN"/>
        </w:rPr>
        <w:t xml:space="preserve"> 畜禽养殖行业</w:t>
      </w:r>
      <w:r>
        <w:rPr>
          <w:rFonts w:hint="eastAsia"/>
          <w:lang w:eastAsia="zh-CN"/>
        </w:rPr>
        <w:t>》中各类指标监测要求，进一步完善监测队伍建设，完善监测设备，全面提升监测水平。</w:t>
      </w:r>
    </w:p>
    <w:p>
      <w:pPr>
        <w:ind w:firstLine="560" w:firstLineChars="200"/>
      </w:pPr>
      <w:r>
        <w:rPr>
          <w:rFonts w:hint="eastAsia"/>
          <w:lang w:eastAsia="zh-CN"/>
        </w:rPr>
        <w:t>属地生态管理部门应当依据职责对畜禽养殖污染防治情况进行监督检查，并加强对畜禽养殖环境污染的检测，探索购买第三方服务，开展线下巡查等工作，做到及时发现问题并提出整改要求，强化养殖场户例行监测意识，并保证环境信访举报途径畅通，及时查处养殖场户将畜禽粪污直排外环境的违法行为</w:t>
      </w:r>
      <w:r>
        <w:rPr>
          <w:rFonts w:hint="eastAsia"/>
        </w:rPr>
        <w:t>。</w:t>
      </w:r>
    </w:p>
    <w:p>
      <w:pPr>
        <w:pStyle w:val="4"/>
        <w:spacing w:before="190" w:after="190"/>
      </w:pPr>
      <w:bookmarkStart w:id="145" w:name="_Toc24580"/>
      <w:r>
        <w:t>4</w:t>
      </w:r>
      <w:r>
        <w:rPr>
          <w:rFonts w:hint="eastAsia"/>
        </w:rPr>
        <w:t>.</w:t>
      </w:r>
      <w:r>
        <w:rPr>
          <w:rFonts w:hint="eastAsia"/>
          <w:lang w:val="en-US" w:eastAsia="zh-CN"/>
        </w:rPr>
        <w:t>7</w:t>
      </w:r>
      <w:r>
        <w:rPr>
          <w:rFonts w:hint="eastAsia"/>
        </w:rPr>
        <w:t xml:space="preserve"> 培育社会化服务组织</w:t>
      </w:r>
      <w:bookmarkEnd w:id="144"/>
      <w:bookmarkEnd w:id="145"/>
    </w:p>
    <w:p>
      <w:pPr>
        <w:ind w:firstLine="560" w:firstLineChars="200"/>
      </w:pPr>
      <w:r>
        <w:rPr>
          <w:rFonts w:hint="eastAsia"/>
        </w:rPr>
        <w:t>按照政府支持、企业主体、市场化运作的方针，以集中进行粪污处理、资源化利用的全量化能源利用模式，以及规模养殖场粪污处理和沼气利用并重的厌氧发酵技术路线为重点，加大PPP模式支持力度，健全畜禽粪污资源化利用市场机制，培育壮大第三方治理企业和社会化服务组织，在全区形成专业化生产、市场化运营的畜禽粪污处理利用体系。</w:t>
      </w:r>
    </w:p>
    <w:p>
      <w:pPr>
        <w:pStyle w:val="4"/>
        <w:spacing w:before="190" w:after="190"/>
      </w:pPr>
      <w:bookmarkStart w:id="146" w:name="_Toc6410"/>
      <w:bookmarkStart w:id="147" w:name="_Toc24231"/>
      <w:r>
        <w:t>4</w:t>
      </w:r>
      <w:r>
        <w:rPr>
          <w:rFonts w:hint="eastAsia"/>
        </w:rPr>
        <w:t>.</w:t>
      </w:r>
      <w:r>
        <w:rPr>
          <w:rFonts w:hint="eastAsia"/>
          <w:lang w:val="en-US" w:eastAsia="zh-CN"/>
        </w:rPr>
        <w:t>8</w:t>
      </w:r>
      <w:r>
        <w:rPr>
          <w:rFonts w:hint="eastAsia"/>
        </w:rPr>
        <w:t xml:space="preserve"> 强化环境监管</w:t>
      </w:r>
      <w:bookmarkEnd w:id="146"/>
      <w:bookmarkEnd w:id="147"/>
    </w:p>
    <w:p>
      <w:pPr>
        <w:ind w:firstLine="560" w:firstLineChars="200"/>
      </w:pPr>
      <w:r>
        <w:rPr>
          <w:rFonts w:hint="eastAsia"/>
        </w:rPr>
        <w:t>（1）加强宣传引导，规范审批程序</w:t>
      </w:r>
    </w:p>
    <w:p>
      <w:pPr>
        <w:ind w:firstLine="560" w:firstLineChars="200"/>
      </w:pPr>
      <w:r>
        <w:rPr>
          <w:rFonts w:hint="eastAsia"/>
        </w:rPr>
        <w:t>采取多种形式，大力宣传《环境保护法</w:t>
      </w:r>
      <w:r>
        <w:rPr>
          <w:rFonts w:hint="eastAsia"/>
          <w:lang w:eastAsia="zh-CN"/>
        </w:rPr>
        <w:t>》《</w:t>
      </w:r>
      <w:r>
        <w:rPr>
          <w:rFonts w:hint="eastAsia"/>
        </w:rPr>
        <w:t>畜禽规模养殖污染防治条例》等法律法规和相关政策，发放宣传册、张贴告知书、明白纸等方式，落实告知承诺和畜禽养殖业主环保主体责任，利用反面典型，开展警示教育。严格</w:t>
      </w:r>
      <w:r>
        <w:rPr>
          <w:rFonts w:hint="eastAsia"/>
          <w:lang w:val="en-US" w:eastAsia="zh-CN"/>
        </w:rPr>
        <w:t>畜禽养殖项目环境准入，依法落实环境影响评价</w:t>
      </w:r>
      <w:r>
        <w:rPr>
          <w:rFonts w:hint="eastAsia"/>
        </w:rPr>
        <w:t>。</w:t>
      </w:r>
    </w:p>
    <w:p>
      <w:pPr>
        <w:ind w:firstLine="560" w:firstLineChars="200"/>
      </w:pPr>
      <w:r>
        <w:rPr>
          <w:rFonts w:hint="eastAsia"/>
        </w:rPr>
        <w:t>（2）加强日常监管</w:t>
      </w:r>
    </w:p>
    <w:p>
      <w:pPr>
        <w:ind w:firstLine="560" w:firstLineChars="200"/>
      </w:pPr>
      <w:r>
        <w:rPr>
          <w:rFonts w:hint="eastAsia"/>
        </w:rPr>
        <w:t>不定期到养殖场进行技术指导，开展检查，督促规模养殖场粪污处理设施正常运行；</w:t>
      </w:r>
      <w:r>
        <w:rPr>
          <w:rFonts w:hint="eastAsia"/>
          <w:lang w:val="en-US" w:eastAsia="zh-CN"/>
        </w:rPr>
        <w:t>严格落实排污许可制度，监督指导规模养殖场依法持证排污、按证排污或进行排污登记，遵守排污许可证管理规定。督促设有排污口的畜禽规模养殖场按排污许可监管要求定期开展自行监测</w:t>
      </w:r>
      <w:r>
        <w:rPr>
          <w:rFonts w:hint="eastAsia"/>
        </w:rPr>
        <w:t>。</w:t>
      </w:r>
    </w:p>
    <w:p>
      <w:pPr>
        <w:ind w:firstLine="560" w:firstLineChars="200"/>
      </w:pPr>
      <w:r>
        <w:rPr>
          <w:rFonts w:hint="eastAsia"/>
        </w:rPr>
        <w:t>（3）加强部门协作，防范污染风险</w:t>
      </w:r>
    </w:p>
    <w:p>
      <w:pPr>
        <w:ind w:firstLine="560" w:firstLineChars="200"/>
        <w:rPr>
          <w:rFonts w:hint="eastAsia" w:eastAsia="仿宋"/>
          <w:lang w:eastAsia="zh-CN"/>
        </w:rPr>
      </w:pPr>
      <w:r>
        <w:rPr>
          <w:rFonts w:hint="eastAsia"/>
        </w:rPr>
        <w:t>农业部门联合环保部门</w:t>
      </w:r>
      <w:r>
        <w:rPr>
          <w:rFonts w:hint="eastAsia"/>
          <w:lang w:eastAsia="zh-CN"/>
        </w:rPr>
        <w:t>和属地部门</w:t>
      </w:r>
      <w:r>
        <w:rPr>
          <w:rFonts w:hint="eastAsia"/>
        </w:rPr>
        <w:t>对规模养殖场粪污处理设施配套情况进行随机检查，促进配建设施稳定运行，督促畜禽规模养殖场粪污资源化利用设施加快配建。强化养殖场（小区）落实主体责任，提升和完善畜禽养殖粪污处理设施配套建设，结合当地种养情况和环境压力制定污染风险防范措施。</w:t>
      </w:r>
    </w:p>
    <w:p>
      <w:pPr>
        <w:ind w:firstLine="560" w:firstLineChars="200"/>
        <w:rPr>
          <w:rFonts w:hint="eastAsia"/>
          <w:lang w:val="en-US" w:eastAsia="zh-CN"/>
        </w:rPr>
      </w:pPr>
      <w:r>
        <w:rPr>
          <w:rFonts w:hint="eastAsia"/>
          <w:lang w:val="en-US" w:eastAsia="zh-CN"/>
        </w:rPr>
        <w:t>（4）加强沟通渠道建设，发挥基层管理部门功能</w:t>
      </w:r>
    </w:p>
    <w:p>
      <w:pPr>
        <w:pStyle w:val="4"/>
        <w:spacing w:before="190" w:after="190"/>
        <w:ind w:firstLine="560" w:firstLineChars="200"/>
        <w:rPr>
          <w:rFonts w:hint="eastAsia" w:ascii="Times New Roman" w:hAnsi="Times New Roman" w:eastAsia="仿宋" w:cstheme="minorBidi"/>
          <w:b w:val="0"/>
          <w:bCs w:val="0"/>
          <w:kern w:val="2"/>
          <w:sz w:val="28"/>
          <w:szCs w:val="22"/>
          <w:lang w:val="en-US" w:eastAsia="zh-CN" w:bidi="ar-SA"/>
        </w:rPr>
      </w:pPr>
      <w:bookmarkStart w:id="148" w:name="_Toc3992"/>
      <w:bookmarkStart w:id="149" w:name="_Toc24813"/>
      <w:bookmarkStart w:id="150" w:name="_Toc23078"/>
      <w:bookmarkStart w:id="151" w:name="_Toc19749"/>
      <w:bookmarkStart w:id="152" w:name="_Toc15105"/>
      <w:r>
        <w:rPr>
          <w:rFonts w:hint="eastAsia" w:ascii="Times New Roman" w:hAnsi="Times New Roman" w:eastAsia="仿宋" w:cstheme="minorBidi"/>
          <w:b w:val="0"/>
          <w:bCs w:val="0"/>
          <w:kern w:val="2"/>
          <w:sz w:val="28"/>
          <w:szCs w:val="22"/>
          <w:lang w:val="en-US" w:eastAsia="zh-CN" w:bidi="ar-SA"/>
        </w:rPr>
        <w:t>针对规模以下养殖场户污染问题，需加强上下沟通渠道建设，污染问题要能及时反馈至管理部门，管理部门可要求技术部门开展定期突击检查，对出现污染问题的规模以下养殖场户进行指导教育及整改，基层管理部门需做好后续影响对接工作，对受影响群众定期回访，确保问题得到充分解决。</w:t>
      </w:r>
      <w:bookmarkEnd w:id="148"/>
      <w:bookmarkEnd w:id="149"/>
      <w:bookmarkEnd w:id="150"/>
      <w:bookmarkEnd w:id="151"/>
      <w:bookmarkEnd w:id="152"/>
    </w:p>
    <w:p>
      <w:pPr>
        <w:pStyle w:val="4"/>
        <w:spacing w:before="190" w:after="190"/>
        <w:rPr>
          <w:rFonts w:hint="eastAsia" w:eastAsia="仿宋"/>
          <w:lang w:eastAsia="zh-CN"/>
        </w:rPr>
      </w:pPr>
      <w:bookmarkStart w:id="153" w:name="_Toc8705"/>
      <w:r>
        <w:t>4</w:t>
      </w:r>
      <w:r>
        <w:rPr>
          <w:rFonts w:hint="eastAsia"/>
        </w:rPr>
        <w:t>.</w:t>
      </w:r>
      <w:r>
        <w:rPr>
          <w:rFonts w:hint="eastAsia"/>
          <w:lang w:val="en-US" w:eastAsia="zh-CN"/>
        </w:rPr>
        <w:t>9</w:t>
      </w:r>
      <w:r>
        <w:rPr>
          <w:rFonts w:hint="eastAsia"/>
        </w:rPr>
        <w:t xml:space="preserve"> </w:t>
      </w:r>
      <w:r>
        <w:rPr>
          <w:rFonts w:hint="eastAsia"/>
          <w:lang w:eastAsia="zh-CN"/>
        </w:rPr>
        <w:t>强化畜禽养殖业环境监督执法</w:t>
      </w:r>
      <w:bookmarkEnd w:id="153"/>
    </w:p>
    <w:p>
      <w:pPr>
        <w:ind w:firstLine="560" w:firstLineChars="200"/>
        <w:rPr>
          <w:rFonts w:hint="eastAsia" w:eastAsia="仿宋"/>
          <w:lang w:eastAsia="zh-CN"/>
        </w:rPr>
      </w:pPr>
      <w:r>
        <w:rPr>
          <w:rFonts w:hint="eastAsia"/>
        </w:rPr>
        <w:t>（1）加强</w:t>
      </w:r>
      <w:r>
        <w:rPr>
          <w:rFonts w:hint="eastAsia"/>
          <w:lang w:eastAsia="zh-CN"/>
        </w:rPr>
        <w:t>监督执法能力建设</w:t>
      </w:r>
    </w:p>
    <w:p>
      <w:pPr>
        <w:ind w:firstLine="560" w:firstLineChars="200"/>
      </w:pPr>
      <w:r>
        <w:rPr>
          <w:rFonts w:hint="eastAsia"/>
          <w:lang w:eastAsia="zh-CN"/>
        </w:rPr>
        <w:t>按照《全国环境监察标准化建设标准》要求，加强环境监察机构队伍建设，完善执法设备，全面提升执法人员水平。加强网格化管理，加强各地畜禽养殖污染网格化防控机制建设和“联村联厂”执法，重点检查瞒报漏报、应治未治的养殖情况，以及偷排、漏排，超养、新养、复养等行为。检查治污设施运行情况与验收核定的养殖上限匹配情况等</w:t>
      </w:r>
      <w:r>
        <w:rPr>
          <w:rFonts w:hint="eastAsia"/>
        </w:rPr>
        <w:t>。</w:t>
      </w:r>
    </w:p>
    <w:p>
      <w:pPr>
        <w:ind w:firstLine="560" w:firstLineChars="200"/>
        <w:rPr>
          <w:rFonts w:hint="eastAsia" w:eastAsia="仿宋"/>
          <w:lang w:eastAsia="zh-CN"/>
        </w:rPr>
      </w:pPr>
      <w:r>
        <w:rPr>
          <w:rFonts w:hint="eastAsia"/>
        </w:rPr>
        <w:t>（2）</w:t>
      </w:r>
      <w:r>
        <w:rPr>
          <w:rFonts w:hint="eastAsia"/>
          <w:lang w:eastAsia="zh-CN"/>
        </w:rPr>
        <w:t>加大执法力度</w:t>
      </w:r>
    </w:p>
    <w:p>
      <w:pPr>
        <w:ind w:firstLine="560" w:firstLineChars="200"/>
        <w:rPr>
          <w:rFonts w:hint="eastAsia"/>
        </w:rPr>
      </w:pPr>
      <w:r>
        <w:rPr>
          <w:rFonts w:hint="eastAsia"/>
        </w:rPr>
        <w:t>依法严格查处违反环境影响评价和“三同时”制度、擅自停运污染防治设施、超标排污，以及在禁养区内擅自建设畜禽养殖场</w:t>
      </w:r>
      <w:r>
        <w:rPr>
          <w:rFonts w:hint="eastAsia"/>
          <w:lang w:eastAsia="zh-CN"/>
        </w:rPr>
        <w:t>（</w:t>
      </w:r>
      <w:r>
        <w:rPr>
          <w:rFonts w:hint="eastAsia"/>
        </w:rPr>
        <w:t>养殖小区</w:t>
      </w:r>
      <w:r>
        <w:rPr>
          <w:rFonts w:hint="eastAsia"/>
          <w:lang w:eastAsia="zh-CN"/>
        </w:rPr>
        <w:t>）</w:t>
      </w:r>
      <w:r>
        <w:rPr>
          <w:rFonts w:hint="eastAsia"/>
        </w:rPr>
        <w:t>等环境违法</w:t>
      </w:r>
      <w:r>
        <w:rPr>
          <w:rFonts w:hint="default" w:ascii="Times New Roman" w:hAnsi="Times New Roman" w:cs="Times New Roman"/>
        </w:rPr>
        <w:t>行为。采取环保、农业部门联动执法，</w:t>
      </w:r>
      <w:r>
        <w:rPr>
          <w:rFonts w:hint="eastAsia"/>
        </w:rPr>
        <w:t>加强行政监管，开展对养殖场污染现象日常巡查监管。</w:t>
      </w:r>
    </w:p>
    <w:p>
      <w:pPr>
        <w:ind w:firstLine="560" w:firstLineChars="200"/>
        <w:rPr>
          <w:rFonts w:hint="eastAsia"/>
        </w:rPr>
      </w:pPr>
      <w:r>
        <w:rPr>
          <w:rFonts w:hint="eastAsia"/>
        </w:rPr>
        <w:t>定期组织开展畜禽养殖污染防治专项检查</w:t>
      </w:r>
      <w:r>
        <w:rPr>
          <w:rFonts w:hint="eastAsia"/>
          <w:lang w:eastAsia="zh-CN"/>
        </w:rPr>
        <w:t>，</w:t>
      </w:r>
      <w:r>
        <w:rPr>
          <w:rFonts w:hint="eastAsia"/>
        </w:rPr>
        <w:t>对污染防治设施建而不用、未建设污染防治配套设施、已建污染防治配套设施不合格、违法排污等问题，严格按照《畜禽规模养殖污染防治条例》</w:t>
      </w:r>
      <w:r>
        <w:rPr>
          <w:rFonts w:hint="eastAsia"/>
          <w:lang w:eastAsia="zh-CN"/>
        </w:rPr>
        <w:t>（</w:t>
      </w:r>
      <w:r>
        <w:rPr>
          <w:rFonts w:hint="eastAsia"/>
        </w:rPr>
        <w:t>国务院令第643号</w:t>
      </w:r>
      <w:r>
        <w:rPr>
          <w:rFonts w:hint="eastAsia"/>
          <w:lang w:eastAsia="zh-CN"/>
        </w:rPr>
        <w:t>）</w:t>
      </w:r>
      <w:r>
        <w:rPr>
          <w:rFonts w:hint="eastAsia"/>
        </w:rPr>
        <w:t>规定予以查处，并责令限期整改。对在畜禽养殖污染防治工作中不认真履职，造成严重后果的，要依法追究相关责任人的责任。</w:t>
      </w:r>
    </w:p>
    <w:p>
      <w:pPr>
        <w:pStyle w:val="4"/>
        <w:spacing w:before="190" w:after="190"/>
        <w:rPr>
          <w:rFonts w:hint="eastAsia" w:eastAsia="仿宋"/>
          <w:lang w:eastAsia="zh-CN"/>
        </w:rPr>
      </w:pPr>
      <w:bookmarkStart w:id="154" w:name="_Toc32705"/>
      <w:r>
        <w:t>4</w:t>
      </w:r>
      <w:r>
        <w:rPr>
          <w:rFonts w:hint="eastAsia"/>
        </w:rPr>
        <w:t>.</w:t>
      </w:r>
      <w:r>
        <w:rPr>
          <w:rFonts w:hint="eastAsia"/>
          <w:lang w:val="en-US" w:eastAsia="zh-CN"/>
        </w:rPr>
        <w:t>10</w:t>
      </w:r>
      <w:r>
        <w:rPr>
          <w:rFonts w:hint="eastAsia"/>
        </w:rPr>
        <w:t xml:space="preserve"> </w:t>
      </w:r>
      <w:r>
        <w:rPr>
          <w:rFonts w:hint="eastAsia"/>
          <w:lang w:eastAsia="zh-CN"/>
        </w:rPr>
        <w:t>提升畜禽养殖信息化管理水平</w:t>
      </w:r>
      <w:bookmarkEnd w:id="154"/>
    </w:p>
    <w:p>
      <w:pPr>
        <w:ind w:firstLine="560" w:firstLineChars="200"/>
      </w:pPr>
      <w:r>
        <w:rPr>
          <w:rFonts w:hint="eastAsia"/>
        </w:rPr>
        <w:t>建立全区畜禽养殖污染源数据库</w:t>
      </w:r>
      <w:r>
        <w:rPr>
          <w:rFonts w:hint="eastAsia"/>
          <w:lang w:eastAsia="zh-CN"/>
        </w:rPr>
        <w:t>，</w:t>
      </w:r>
      <w:r>
        <w:rPr>
          <w:rFonts w:hint="eastAsia"/>
        </w:rPr>
        <w:t>建设</w:t>
      </w:r>
      <w:r>
        <w:rPr>
          <w:rFonts w:hint="eastAsia"/>
          <w:lang w:eastAsia="zh-CN"/>
        </w:rPr>
        <w:t>巴州区</w:t>
      </w:r>
      <w:r>
        <w:rPr>
          <w:rFonts w:hint="eastAsia"/>
        </w:rPr>
        <w:t>畜禽养殖环境信息化管理平台，全面掌握各地畜禽养殖污染源分布、主要污染物排放</w:t>
      </w:r>
      <w:r>
        <w:rPr>
          <w:rFonts w:hint="eastAsia"/>
          <w:lang w:eastAsia="zh-CN"/>
        </w:rPr>
        <w:t>、</w:t>
      </w:r>
      <w:r>
        <w:rPr>
          <w:rFonts w:hint="eastAsia"/>
        </w:rPr>
        <w:t>废弃物综合利用、污染防治设施建设、环境管理相关制度执行等情况，为畜禽养殖主要污染物减排和畜禽养殖业环境监管工作奠定基础。</w:t>
      </w:r>
    </w:p>
    <w:p>
      <w:pPr>
        <w:pStyle w:val="2"/>
      </w:pPr>
    </w:p>
    <w:p>
      <w:pPr>
        <w:pStyle w:val="3"/>
        <w:pageBreakBefore/>
        <w:spacing w:before="381" w:after="381"/>
      </w:pPr>
      <w:bookmarkStart w:id="155" w:name="_Toc10353"/>
      <w:bookmarkStart w:id="156" w:name="_Toc22907"/>
      <w:r>
        <w:rPr>
          <w:rFonts w:hint="eastAsia"/>
        </w:rPr>
        <w:t>第五章 重点工程</w:t>
      </w:r>
      <w:bookmarkEnd w:id="155"/>
      <w:bookmarkEnd w:id="156"/>
    </w:p>
    <w:p>
      <w:pPr>
        <w:pStyle w:val="4"/>
        <w:spacing w:before="190" w:after="190"/>
      </w:pPr>
      <w:bookmarkStart w:id="157" w:name="_Toc21417"/>
      <w:bookmarkStart w:id="158" w:name="_Toc12688"/>
      <w:r>
        <w:t>5</w:t>
      </w:r>
      <w:r>
        <w:rPr>
          <w:rFonts w:hint="eastAsia"/>
        </w:rPr>
        <w:t>.</w:t>
      </w:r>
      <w:r>
        <w:t>1</w:t>
      </w:r>
      <w:r>
        <w:rPr>
          <w:rFonts w:hint="eastAsia"/>
        </w:rPr>
        <w:t>畜禽养殖场户粪污处理设施建设</w:t>
      </w:r>
      <w:bookmarkEnd w:id="157"/>
      <w:bookmarkEnd w:id="158"/>
    </w:p>
    <w:p>
      <w:pPr>
        <w:ind w:firstLine="560" w:firstLineChars="200"/>
        <w:rPr>
          <w:rFonts w:hAnsi="仿宋" w:cs="Times New Roman"/>
          <w:szCs w:val="28"/>
        </w:rPr>
      </w:pPr>
      <w:r>
        <w:rPr>
          <w:rFonts w:hint="eastAsia" w:hAnsi="仿宋" w:cs="Times New Roman"/>
          <w:szCs w:val="28"/>
        </w:rPr>
        <w:t>规模化养殖场及规模以下养殖户建设堆粪发酵场、污水贮存池，分别对粪便和污水进行发酵或厌氧处理。根据粪污发酵成熟的平均时间，发酵时间应不低于</w:t>
      </w:r>
      <w:r>
        <w:rPr>
          <w:rFonts w:hint="eastAsia" w:hAnsi="仿宋" w:cs="Times New Roman"/>
          <w:szCs w:val="28"/>
          <w:lang w:val="en-US" w:eastAsia="zh-CN"/>
        </w:rPr>
        <w:t>3</w:t>
      </w:r>
      <w:r>
        <w:rPr>
          <w:rFonts w:hint="eastAsia" w:hAnsi="仿宋" w:cs="Times New Roman"/>
          <w:szCs w:val="28"/>
        </w:rPr>
        <w:t>个月。设施农业或其他农作物对粪肥发酵时间另有需求的，实际施工设计时可将粪便堆积发酵场和污水贮存池适当扩大，由此发生的资金由养殖场户出资或与肥料用户协商解决。</w:t>
      </w:r>
    </w:p>
    <w:p>
      <w:pPr>
        <w:ind w:firstLine="560" w:firstLineChars="200"/>
        <w:rPr>
          <w:rFonts w:hAnsi="仿宋" w:cs="Times New Roman"/>
          <w:szCs w:val="28"/>
        </w:rPr>
      </w:pPr>
      <w:r>
        <w:rPr>
          <w:rFonts w:hint="eastAsia" w:hAnsi="仿宋" w:cs="Times New Roman"/>
          <w:szCs w:val="28"/>
        </w:rPr>
        <w:t>因此，本规划粪污设施发酵或处理的时间确定为</w:t>
      </w:r>
      <w:r>
        <w:rPr>
          <w:rFonts w:hint="eastAsia" w:hAnsi="仿宋" w:cs="Times New Roman"/>
          <w:szCs w:val="28"/>
          <w:lang w:val="en-US" w:eastAsia="zh-CN"/>
        </w:rPr>
        <w:t>3</w:t>
      </w:r>
      <w:r>
        <w:rPr>
          <w:rFonts w:hint="eastAsia" w:hAnsi="仿宋" w:cs="Times New Roman"/>
          <w:szCs w:val="28"/>
        </w:rPr>
        <w:t>个月。</w:t>
      </w:r>
    </w:p>
    <w:p>
      <w:pPr>
        <w:ind w:firstLine="560" w:firstLineChars="200"/>
        <w:rPr>
          <w:rFonts w:cs="Times New Roman"/>
          <w:szCs w:val="28"/>
        </w:rPr>
      </w:pPr>
      <w:r>
        <w:rPr>
          <w:rFonts w:hint="eastAsia" w:hAnsi="仿宋" w:cs="Times New Roman"/>
          <w:szCs w:val="28"/>
          <w:lang w:eastAsia="zh-CN"/>
        </w:rPr>
        <w:t>（</w:t>
      </w:r>
      <w:r>
        <w:rPr>
          <w:rFonts w:hint="eastAsia" w:hAnsi="仿宋" w:cs="Times New Roman"/>
          <w:szCs w:val="28"/>
          <w:lang w:val="en-US" w:eastAsia="zh-CN"/>
        </w:rPr>
        <w:t>1</w:t>
      </w:r>
      <w:r>
        <w:rPr>
          <w:rFonts w:hint="eastAsia" w:hAnsi="仿宋" w:cs="Times New Roman"/>
          <w:szCs w:val="28"/>
          <w:lang w:eastAsia="zh-CN"/>
        </w:rPr>
        <w:t>）</w:t>
      </w:r>
      <w:r>
        <w:rPr>
          <w:rFonts w:hAnsi="仿宋" w:cs="Times New Roman"/>
          <w:szCs w:val="28"/>
        </w:rPr>
        <w:t>粪污处理指标</w:t>
      </w:r>
    </w:p>
    <w:p>
      <w:pPr>
        <w:ind w:firstLine="560" w:firstLineChars="200"/>
        <w:rPr>
          <w:rFonts w:cs="Times New Roman"/>
          <w:szCs w:val="28"/>
        </w:rPr>
      </w:pPr>
      <w:r>
        <w:rPr>
          <w:rFonts w:hAnsi="仿宋" w:cs="Times New Roman"/>
          <w:szCs w:val="28"/>
        </w:rPr>
        <w:t>贮存设施有效容积设计对应养殖场最大畜禽存栏量，粪便容重为</w:t>
      </w:r>
      <w:r>
        <w:rPr>
          <w:rFonts w:cs="Times New Roman"/>
          <w:szCs w:val="28"/>
        </w:rPr>
        <w:t>800 kg/m</w:t>
      </w:r>
      <w:r>
        <w:rPr>
          <w:rFonts w:cs="Times New Roman"/>
          <w:szCs w:val="28"/>
          <w:vertAlign w:val="superscript"/>
        </w:rPr>
        <w:t>3</w:t>
      </w:r>
      <w:r>
        <w:rPr>
          <w:rFonts w:hAnsi="仿宋" w:cs="Times New Roman"/>
          <w:szCs w:val="28"/>
        </w:rPr>
        <w:t>，污水容重为</w:t>
      </w:r>
      <w:r>
        <w:rPr>
          <w:rFonts w:cs="Times New Roman"/>
          <w:szCs w:val="28"/>
        </w:rPr>
        <w:t>1000 kg/m</w:t>
      </w:r>
      <w:r>
        <w:rPr>
          <w:rFonts w:cs="Times New Roman"/>
          <w:szCs w:val="28"/>
          <w:vertAlign w:val="superscript"/>
        </w:rPr>
        <w:t>3</w:t>
      </w:r>
      <w:r>
        <w:rPr>
          <w:rFonts w:hAnsi="仿宋" w:cs="Times New Roman"/>
          <w:szCs w:val="28"/>
        </w:rPr>
        <w:t>。粪污处理依据的指标参数如表</w:t>
      </w:r>
      <w:r>
        <w:rPr>
          <w:rFonts w:cs="Times New Roman"/>
          <w:szCs w:val="28"/>
        </w:rPr>
        <w:t>5-1-1</w:t>
      </w:r>
      <w:r>
        <w:rPr>
          <w:rFonts w:hAnsi="仿宋" w:cs="Times New Roman"/>
          <w:szCs w:val="28"/>
        </w:rPr>
        <w:t>所示。</w:t>
      </w:r>
    </w:p>
    <w:p>
      <w:pPr>
        <w:pStyle w:val="60"/>
        <w:spacing w:beforeLines="0" w:afterLines="0"/>
        <w:ind w:firstLine="0" w:firstLineChars="0"/>
        <w:rPr>
          <w:rFonts w:eastAsia="仿宋"/>
        </w:rPr>
      </w:pPr>
      <w:r>
        <w:rPr>
          <w:rFonts w:hAnsi="仿宋" w:eastAsia="仿宋"/>
        </w:rPr>
        <w:t>表</w:t>
      </w:r>
      <w:r>
        <w:rPr>
          <w:rFonts w:eastAsia="仿宋"/>
        </w:rPr>
        <w:t xml:space="preserve">5-1-1 </w:t>
      </w:r>
      <w:r>
        <w:rPr>
          <w:rFonts w:hAnsi="仿宋" w:eastAsia="仿宋"/>
        </w:rPr>
        <w:t>粪污处理指标参数表</w:t>
      </w:r>
    </w:p>
    <w:tbl>
      <w:tblPr>
        <w:tblStyle w:val="23"/>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701"/>
        <w:gridCol w:w="1954"/>
        <w:gridCol w:w="201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畜禽</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单产粪便</w:t>
            </w:r>
          </w:p>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w:t>
            </w:r>
            <w:r>
              <w:rPr>
                <w:rFonts w:hint="default" w:cs="Times New Roman"/>
                <w:sz w:val="24"/>
                <w:szCs w:val="24"/>
              </w:rPr>
              <w:t>kg</w:t>
            </w:r>
            <w:r>
              <w:rPr>
                <w:rFonts w:hint="default" w:hAnsi="仿宋" w:cs="Times New Roman"/>
                <w:b/>
                <w:sz w:val="24"/>
                <w:szCs w:val="24"/>
              </w:rPr>
              <w:t>）</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eastAsia" w:cs="Times New Roman"/>
                <w:b/>
                <w:sz w:val="24"/>
                <w:szCs w:val="24"/>
                <w:lang w:val="en-US" w:eastAsia="zh-CN"/>
              </w:rPr>
              <w:t>3</w:t>
            </w:r>
            <w:r>
              <w:rPr>
                <w:rFonts w:hint="default" w:hAnsi="仿宋" w:cs="Times New Roman"/>
                <w:b/>
                <w:sz w:val="24"/>
                <w:szCs w:val="24"/>
              </w:rPr>
              <w:t>个月</w:t>
            </w:r>
          </w:p>
          <w:p>
            <w:pPr>
              <w:keepNext w:val="0"/>
              <w:keepLines w:val="0"/>
              <w:suppressLineNumbers w:val="0"/>
              <w:spacing w:before="0" w:beforeAutospacing="0" w:after="0" w:afterAutospacing="0" w:line="240" w:lineRule="atLeast"/>
              <w:ind w:left="0" w:right="0"/>
              <w:jc w:val="center"/>
              <w:rPr>
                <w:rFonts w:hint="default" w:cs="Times New Roman"/>
                <w:b/>
                <w:sz w:val="24"/>
                <w:szCs w:val="24"/>
                <w:highlight w:val="yellow"/>
              </w:rPr>
            </w:pPr>
            <w:r>
              <w:rPr>
                <w:rFonts w:hint="default" w:hAnsi="仿宋" w:cs="Times New Roman"/>
                <w:b/>
                <w:sz w:val="24"/>
                <w:szCs w:val="24"/>
              </w:rPr>
              <w:t>（</w:t>
            </w:r>
            <w:r>
              <w:rPr>
                <w:rFonts w:hint="default" w:cs="Times New Roman"/>
                <w:b/>
                <w:sz w:val="24"/>
                <w:szCs w:val="24"/>
              </w:rPr>
              <w:t>kg</w:t>
            </w:r>
            <w:r>
              <w:rPr>
                <w:rFonts w:hint="default" w:hAnsi="仿宋" w:cs="Times New Roman"/>
                <w:b/>
                <w:sz w:val="24"/>
                <w:szCs w:val="24"/>
              </w:rPr>
              <w:t>）</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容积</w:t>
            </w:r>
          </w:p>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w:t>
            </w:r>
            <w:r>
              <w:rPr>
                <w:rFonts w:hint="default" w:cs="Times New Roman"/>
                <w:b/>
                <w:sz w:val="24"/>
                <w:szCs w:val="24"/>
              </w:rPr>
              <w:t>800</w:t>
            </w:r>
            <w:r>
              <w:rPr>
                <w:rFonts w:hint="default" w:cs="Times New Roman"/>
                <w:sz w:val="24"/>
                <w:szCs w:val="24"/>
              </w:rPr>
              <w:t xml:space="preserve"> kg/m</w:t>
            </w:r>
            <w:r>
              <w:rPr>
                <w:rFonts w:hint="default" w:cs="Times New Roman"/>
                <w:sz w:val="24"/>
                <w:szCs w:val="24"/>
                <w:vertAlign w:val="superscript"/>
              </w:rPr>
              <w:t>3</w:t>
            </w:r>
            <w:r>
              <w:rPr>
                <w:rFonts w:hint="default" w:hAnsi="仿宋" w:cs="Times New Roman"/>
                <w:b/>
                <w:sz w:val="24"/>
                <w:szCs w:val="24"/>
              </w:rPr>
              <w:t>）</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堆粪场容积</w:t>
            </w:r>
          </w:p>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w:t>
            </w:r>
            <w:r>
              <w:rPr>
                <w:rFonts w:hint="default" w:cs="Times New Roman"/>
                <w:sz w:val="24"/>
                <w:szCs w:val="24"/>
              </w:rPr>
              <w:t>m</w:t>
            </w:r>
            <w:r>
              <w:rPr>
                <w:rFonts w:hint="default" w:cs="Times New Roman"/>
                <w:sz w:val="24"/>
                <w:szCs w:val="24"/>
                <w:vertAlign w:val="superscript"/>
              </w:rPr>
              <w:t>3</w:t>
            </w:r>
            <w:r>
              <w:rPr>
                <w:rFonts w:hint="default" w:hAnsi="仿宋" w:cs="Times New Roman"/>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猪</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1.5</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270</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0.338</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0.338×</w:t>
            </w:r>
            <w:r>
              <w:rPr>
                <w:rFonts w:hint="default" w:hAnsi="仿宋" w:cs="Times New Roman"/>
                <w:color w:val="000000"/>
                <w:sz w:val="24"/>
                <w:szCs w:val="24"/>
              </w:rPr>
              <w:t>最大存栏量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肉牛</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20</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360</w:t>
            </w:r>
            <w:r>
              <w:rPr>
                <w:rFonts w:hint="eastAsia" w:cs="Times New Roman"/>
                <w:color w:val="000000"/>
                <w:sz w:val="24"/>
                <w:szCs w:val="24"/>
              </w:rPr>
              <w:t>0</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4.500</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4.500×</w:t>
            </w:r>
            <w:r>
              <w:rPr>
                <w:rFonts w:hint="default" w:hAnsi="仿宋" w:cs="Times New Roman"/>
                <w:color w:val="000000"/>
                <w:sz w:val="24"/>
                <w:szCs w:val="24"/>
              </w:rPr>
              <w:t>最大存栏量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蛋鸡</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0.1</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18</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0.023</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0.023×</w:t>
            </w:r>
            <w:r>
              <w:rPr>
                <w:rFonts w:hint="default" w:hAnsi="仿宋" w:cs="Times New Roman"/>
                <w:color w:val="000000"/>
                <w:sz w:val="24"/>
                <w:szCs w:val="24"/>
              </w:rPr>
              <w:t>最大存栏量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肉鸡</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0.15</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27</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0.034</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0.034×</w:t>
            </w:r>
            <w:r>
              <w:rPr>
                <w:rFonts w:hint="default" w:hAnsi="仿宋" w:cs="Times New Roman"/>
                <w:color w:val="000000"/>
                <w:sz w:val="24"/>
                <w:szCs w:val="24"/>
              </w:rPr>
              <w:t>最大存栏量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羊</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color w:val="000000"/>
                <w:sz w:val="24"/>
                <w:szCs w:val="24"/>
              </w:rPr>
            </w:pPr>
            <w:r>
              <w:rPr>
                <w:rFonts w:hint="default" w:cs="Times New Roman"/>
                <w:color w:val="000000"/>
                <w:sz w:val="24"/>
                <w:szCs w:val="24"/>
              </w:rPr>
              <w:t>2.6</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color w:val="000000"/>
                <w:sz w:val="24"/>
                <w:szCs w:val="24"/>
              </w:rPr>
            </w:pPr>
            <w:r>
              <w:rPr>
                <w:rFonts w:hint="default" w:cs="Times New Roman"/>
                <w:color w:val="000000"/>
                <w:sz w:val="24"/>
                <w:szCs w:val="24"/>
              </w:rPr>
              <w:t>468</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color w:val="000000"/>
                <w:sz w:val="24"/>
                <w:szCs w:val="24"/>
              </w:rPr>
            </w:pPr>
            <w:r>
              <w:rPr>
                <w:rFonts w:hint="default" w:cs="Times New Roman"/>
                <w:color w:val="000000"/>
                <w:sz w:val="24"/>
                <w:szCs w:val="24"/>
              </w:rPr>
              <w:t>0.585</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color w:val="000000"/>
                <w:sz w:val="24"/>
                <w:szCs w:val="24"/>
              </w:rPr>
            </w:pPr>
            <w:r>
              <w:rPr>
                <w:rFonts w:hint="default" w:cs="Times New Roman"/>
                <w:color w:val="000000"/>
                <w:sz w:val="24"/>
                <w:szCs w:val="24"/>
              </w:rPr>
              <w:t>0.585×</w:t>
            </w:r>
            <w:r>
              <w:rPr>
                <w:rFonts w:hint="default" w:hAnsi="仿宋" w:cs="Times New Roman"/>
                <w:color w:val="000000"/>
                <w:sz w:val="24"/>
                <w:szCs w:val="24"/>
              </w:rPr>
              <w:t>最大存栏量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畜禽</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b/>
                <w:bCs/>
                <w:color w:val="000000"/>
                <w:sz w:val="24"/>
                <w:szCs w:val="24"/>
              </w:rPr>
            </w:pPr>
            <w:r>
              <w:rPr>
                <w:rFonts w:hint="default" w:hAnsi="仿宋" w:cs="Times New Roman"/>
                <w:b/>
                <w:bCs/>
                <w:color w:val="000000"/>
                <w:sz w:val="24"/>
                <w:szCs w:val="24"/>
              </w:rPr>
              <w:t>单产污水</w:t>
            </w:r>
          </w:p>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sz w:val="24"/>
                <w:szCs w:val="24"/>
              </w:rPr>
              <w:t>（</w:t>
            </w:r>
            <w:r>
              <w:rPr>
                <w:rFonts w:hint="default" w:cs="Times New Roman"/>
                <w:sz w:val="24"/>
                <w:szCs w:val="24"/>
              </w:rPr>
              <w:t>kg</w:t>
            </w:r>
            <w:r>
              <w:rPr>
                <w:rFonts w:hint="default" w:hAnsi="仿宋" w:cs="Times New Roman"/>
                <w:b/>
                <w:sz w:val="24"/>
                <w:szCs w:val="24"/>
              </w:rPr>
              <w:t>）</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b/>
                <w:bCs/>
                <w:color w:val="000000"/>
                <w:sz w:val="24"/>
                <w:szCs w:val="24"/>
              </w:rPr>
            </w:pPr>
            <w:r>
              <w:rPr>
                <w:rFonts w:hint="eastAsia" w:cs="Times New Roman"/>
                <w:b/>
                <w:bCs/>
                <w:color w:val="000000"/>
                <w:sz w:val="24"/>
                <w:szCs w:val="24"/>
                <w:lang w:val="en-US" w:eastAsia="zh-CN"/>
              </w:rPr>
              <w:t>3</w:t>
            </w:r>
            <w:r>
              <w:rPr>
                <w:rFonts w:hint="default" w:hAnsi="仿宋" w:cs="Times New Roman"/>
                <w:b/>
                <w:bCs/>
                <w:color w:val="000000"/>
                <w:sz w:val="24"/>
                <w:szCs w:val="24"/>
              </w:rPr>
              <w:t>个月</w:t>
            </w:r>
          </w:p>
          <w:p>
            <w:pPr>
              <w:keepNext w:val="0"/>
              <w:keepLines w:val="0"/>
              <w:suppressLineNumbers w:val="0"/>
              <w:spacing w:before="0" w:beforeAutospacing="0" w:after="0" w:afterAutospacing="0" w:line="240" w:lineRule="atLeast"/>
              <w:ind w:left="0" w:right="0"/>
              <w:jc w:val="center"/>
              <w:rPr>
                <w:rFonts w:hint="default" w:cs="Times New Roman"/>
                <w:b/>
                <w:bCs/>
                <w:color w:val="000000"/>
                <w:sz w:val="24"/>
                <w:szCs w:val="24"/>
              </w:rPr>
            </w:pPr>
            <w:r>
              <w:rPr>
                <w:rFonts w:hint="default" w:hAnsi="仿宋" w:cs="Times New Roman"/>
                <w:b/>
                <w:bCs/>
                <w:color w:val="000000"/>
                <w:sz w:val="24"/>
                <w:szCs w:val="24"/>
              </w:rPr>
              <w:t>（</w:t>
            </w:r>
            <w:r>
              <w:rPr>
                <w:rFonts w:hint="default" w:cs="Times New Roman"/>
                <w:sz w:val="24"/>
                <w:szCs w:val="24"/>
              </w:rPr>
              <w:t>kg</w:t>
            </w:r>
            <w:r>
              <w:rPr>
                <w:rFonts w:hint="default" w:hAnsi="仿宋" w:cs="Times New Roman"/>
                <w:b/>
                <w:bCs/>
                <w:color w:val="000000"/>
                <w:sz w:val="24"/>
                <w:szCs w:val="24"/>
              </w:rPr>
              <w:t>）</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b/>
                <w:bCs/>
                <w:color w:val="000000"/>
                <w:sz w:val="24"/>
                <w:szCs w:val="24"/>
              </w:rPr>
            </w:pPr>
            <w:r>
              <w:rPr>
                <w:rFonts w:hint="default" w:hAnsi="仿宋" w:cs="Times New Roman"/>
                <w:b/>
                <w:bCs/>
                <w:color w:val="000000"/>
                <w:sz w:val="24"/>
                <w:szCs w:val="24"/>
              </w:rPr>
              <w:t>容积</w:t>
            </w:r>
          </w:p>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bCs/>
                <w:color w:val="000000"/>
                <w:sz w:val="24"/>
                <w:szCs w:val="24"/>
              </w:rPr>
              <w:t>（</w:t>
            </w:r>
            <w:r>
              <w:rPr>
                <w:rFonts w:hint="default" w:cs="Times New Roman"/>
                <w:b/>
                <w:bCs/>
                <w:color w:val="000000"/>
                <w:sz w:val="24"/>
                <w:szCs w:val="24"/>
              </w:rPr>
              <w:t>1000</w:t>
            </w:r>
            <w:r>
              <w:rPr>
                <w:rFonts w:hint="default" w:cs="Times New Roman"/>
                <w:sz w:val="24"/>
                <w:szCs w:val="24"/>
              </w:rPr>
              <w:t xml:space="preserve"> kg/m</w:t>
            </w:r>
            <w:r>
              <w:rPr>
                <w:rFonts w:hint="default" w:cs="Times New Roman"/>
                <w:sz w:val="24"/>
                <w:szCs w:val="24"/>
                <w:vertAlign w:val="superscript"/>
              </w:rPr>
              <w:t>3</w:t>
            </w:r>
            <w:r>
              <w:rPr>
                <w:rFonts w:hint="default" w:hAnsi="仿宋" w:cs="Times New Roman"/>
                <w:b/>
                <w:bCs/>
                <w:color w:val="000000"/>
                <w:sz w:val="24"/>
                <w:szCs w:val="24"/>
              </w:rPr>
              <w:t>）</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b/>
                <w:bCs/>
                <w:color w:val="000000"/>
                <w:sz w:val="24"/>
                <w:szCs w:val="24"/>
              </w:rPr>
            </w:pPr>
            <w:r>
              <w:rPr>
                <w:rFonts w:hint="default" w:hAnsi="仿宋" w:cs="Times New Roman"/>
                <w:b/>
                <w:bCs/>
                <w:color w:val="000000"/>
                <w:sz w:val="24"/>
                <w:szCs w:val="24"/>
              </w:rPr>
              <w:t>贮存池容积</w:t>
            </w:r>
          </w:p>
          <w:p>
            <w:pPr>
              <w:keepNext w:val="0"/>
              <w:keepLines w:val="0"/>
              <w:suppressLineNumbers w:val="0"/>
              <w:spacing w:before="0" w:beforeAutospacing="0" w:after="0" w:afterAutospacing="0" w:line="240" w:lineRule="atLeast"/>
              <w:ind w:left="0" w:right="0"/>
              <w:jc w:val="center"/>
              <w:rPr>
                <w:rFonts w:hint="default" w:cs="Times New Roman"/>
                <w:b/>
                <w:sz w:val="24"/>
                <w:szCs w:val="24"/>
              </w:rPr>
            </w:pPr>
            <w:r>
              <w:rPr>
                <w:rFonts w:hint="default" w:hAnsi="仿宋" w:cs="Times New Roman"/>
                <w:b/>
                <w:bCs/>
                <w:color w:val="000000"/>
                <w:sz w:val="24"/>
                <w:szCs w:val="24"/>
              </w:rPr>
              <w:t>（</w:t>
            </w:r>
            <w:r>
              <w:rPr>
                <w:rFonts w:hint="default" w:cs="Times New Roman"/>
                <w:sz w:val="24"/>
                <w:szCs w:val="24"/>
              </w:rPr>
              <w:t>m</w:t>
            </w:r>
            <w:r>
              <w:rPr>
                <w:rFonts w:hint="default" w:cs="Times New Roman"/>
                <w:sz w:val="24"/>
                <w:szCs w:val="24"/>
                <w:vertAlign w:val="superscript"/>
              </w:rPr>
              <w:t>3</w:t>
            </w:r>
            <w:r>
              <w:rPr>
                <w:rFonts w:hint="default" w:hAnsi="仿宋" w:cs="Times New Roman"/>
                <w:b/>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猪</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sz w:val="24"/>
                <w:szCs w:val="24"/>
              </w:rPr>
              <w:t>5</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sz w:val="24"/>
                <w:szCs w:val="24"/>
              </w:rPr>
              <w:t>900</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color w:val="000000"/>
                <w:sz w:val="24"/>
                <w:szCs w:val="24"/>
              </w:rPr>
            </w:pPr>
            <w:r>
              <w:rPr>
                <w:rFonts w:hint="default" w:cs="Times New Roman"/>
                <w:color w:val="000000"/>
                <w:sz w:val="24"/>
                <w:szCs w:val="24"/>
              </w:rPr>
              <w:t>0.900</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0.900×</w:t>
            </w:r>
            <w:r>
              <w:rPr>
                <w:rFonts w:hint="default" w:hAnsi="仿宋" w:cs="Times New Roman"/>
                <w:color w:val="000000"/>
                <w:sz w:val="24"/>
                <w:szCs w:val="24"/>
              </w:rPr>
              <w:t>最大存栏量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hAnsi="仿宋" w:cs="Times New Roman"/>
                <w:sz w:val="24"/>
                <w:szCs w:val="24"/>
              </w:rPr>
              <w:t>肉牛</w:t>
            </w:r>
          </w:p>
        </w:tc>
        <w:tc>
          <w:tcPr>
            <w:tcW w:w="1701"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10</w:t>
            </w:r>
          </w:p>
        </w:tc>
        <w:tc>
          <w:tcPr>
            <w:tcW w:w="1954"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1800</w:t>
            </w:r>
          </w:p>
        </w:tc>
        <w:tc>
          <w:tcPr>
            <w:tcW w:w="2015" w:type="dxa"/>
            <w:vAlign w:val="center"/>
          </w:tcPr>
          <w:p>
            <w:pPr>
              <w:keepNext w:val="0"/>
              <w:keepLines w:val="0"/>
              <w:suppressLineNumbers w:val="0"/>
              <w:spacing w:before="0" w:beforeAutospacing="0" w:after="0" w:afterAutospacing="0" w:line="240" w:lineRule="atLeast"/>
              <w:ind w:left="0" w:right="0"/>
              <w:jc w:val="center"/>
              <w:rPr>
                <w:rFonts w:hint="default" w:cs="Times New Roman"/>
                <w:color w:val="000000"/>
                <w:sz w:val="24"/>
                <w:szCs w:val="24"/>
              </w:rPr>
            </w:pPr>
            <w:r>
              <w:rPr>
                <w:rFonts w:hint="default" w:cs="Times New Roman"/>
                <w:color w:val="000000"/>
                <w:sz w:val="24"/>
                <w:szCs w:val="24"/>
              </w:rPr>
              <w:t>1.800</w:t>
            </w:r>
          </w:p>
        </w:tc>
        <w:tc>
          <w:tcPr>
            <w:tcW w:w="2835" w:type="dxa"/>
            <w:vAlign w:val="center"/>
          </w:tcPr>
          <w:p>
            <w:pPr>
              <w:keepNext w:val="0"/>
              <w:keepLines w:val="0"/>
              <w:suppressLineNumbers w:val="0"/>
              <w:spacing w:before="0" w:beforeAutospacing="0" w:after="0" w:afterAutospacing="0" w:line="240" w:lineRule="atLeast"/>
              <w:ind w:left="0" w:right="0"/>
              <w:jc w:val="center"/>
              <w:rPr>
                <w:rFonts w:hint="default" w:cs="Times New Roman"/>
                <w:sz w:val="24"/>
                <w:szCs w:val="24"/>
              </w:rPr>
            </w:pPr>
            <w:r>
              <w:rPr>
                <w:rFonts w:hint="default" w:cs="Times New Roman"/>
                <w:color w:val="000000"/>
                <w:sz w:val="24"/>
                <w:szCs w:val="24"/>
              </w:rPr>
              <w:t>1.800×</w:t>
            </w:r>
            <w:r>
              <w:rPr>
                <w:rFonts w:hint="default" w:hAnsi="仿宋" w:cs="Times New Roman"/>
                <w:color w:val="000000"/>
                <w:sz w:val="24"/>
                <w:szCs w:val="24"/>
              </w:rPr>
              <w:t>最大存栏量</w:t>
            </w:r>
          </w:p>
        </w:tc>
      </w:tr>
    </w:tbl>
    <w:p>
      <w:pPr>
        <w:ind w:firstLine="560" w:firstLineChars="200"/>
        <w:rPr>
          <w:rFonts w:cs="Times New Roman"/>
          <w:szCs w:val="28"/>
        </w:rPr>
      </w:pPr>
      <w:r>
        <w:rPr>
          <w:rFonts w:hAnsi="仿宋" w:cs="Times New Roman"/>
          <w:szCs w:val="28"/>
        </w:rPr>
        <w:t>（</w:t>
      </w:r>
      <w:r>
        <w:rPr>
          <w:rFonts w:cs="Times New Roman"/>
          <w:szCs w:val="28"/>
        </w:rPr>
        <w:t>2</w:t>
      </w:r>
      <w:r>
        <w:rPr>
          <w:rFonts w:hAnsi="仿宋" w:cs="Times New Roman"/>
          <w:szCs w:val="28"/>
        </w:rPr>
        <w:t>）平面布置原则</w:t>
      </w:r>
    </w:p>
    <w:p>
      <w:pPr>
        <w:ind w:firstLine="560" w:firstLineChars="200"/>
        <w:rPr>
          <w:rFonts w:cs="Times New Roman"/>
          <w:szCs w:val="28"/>
        </w:rPr>
      </w:pPr>
      <w:r>
        <w:rPr>
          <w:rFonts w:hint="eastAsia" w:cs="Times New Roman"/>
          <w:szCs w:val="28"/>
        </w:rPr>
        <w:t>1）污水贮存池</w:t>
      </w:r>
    </w:p>
    <w:p>
      <w:pPr>
        <w:ind w:firstLine="560" w:firstLineChars="200"/>
        <w:rPr>
          <w:rFonts w:hint="eastAsia" w:eastAsia="仿宋" w:cs="Times New Roman"/>
          <w:szCs w:val="28"/>
          <w:lang w:eastAsia="zh-CN"/>
        </w:rPr>
      </w:pPr>
      <w:r>
        <w:rPr>
          <w:rFonts w:hint="eastAsia" w:cs="Times New Roman"/>
          <w:szCs w:val="28"/>
        </w:rPr>
        <w:t>污水贮存池采用钢筋混凝土结构，底面和壁面按《</w:t>
      </w:r>
      <w:r>
        <w:rPr>
          <w:rFonts w:hint="eastAsia" w:cs="Times New Roman"/>
          <w:szCs w:val="28"/>
          <w:lang w:eastAsia="zh-CN"/>
        </w:rPr>
        <w:t>污水自然处理工程技术规程</w:t>
      </w:r>
      <w:r>
        <w:rPr>
          <w:rFonts w:hint="eastAsia" w:cs="Times New Roman"/>
          <w:szCs w:val="28"/>
        </w:rPr>
        <w:t>》（</w:t>
      </w:r>
      <w:r>
        <w:rPr>
          <w:rFonts w:hint="eastAsia" w:cs="Times New Roman"/>
          <w:szCs w:val="28"/>
          <w:lang w:eastAsia="zh-CN"/>
        </w:rPr>
        <w:t>CJJ/T 54-2017</w:t>
      </w:r>
      <w:r>
        <w:rPr>
          <w:rFonts w:hint="eastAsia" w:cs="Times New Roman"/>
          <w:szCs w:val="28"/>
        </w:rPr>
        <w:t>）中第七部分“塘体设计”中相关规定执行。内壁和底面应做防渗处理，具体参照《给水排水工程构筑物结构设计规范》（GB 50069-2002）相关规定执行。</w:t>
      </w:r>
    </w:p>
    <w:p>
      <w:pPr>
        <w:ind w:firstLine="560" w:firstLineChars="200"/>
        <w:rPr>
          <w:rFonts w:hint="default" w:eastAsia="仿宋" w:cs="Times New Roman"/>
          <w:szCs w:val="28"/>
          <w:lang w:val="en-US" w:eastAsia="zh-CN"/>
        </w:rPr>
      </w:pPr>
      <w:r>
        <w:rPr>
          <w:rFonts w:hint="eastAsia" w:cs="Times New Roman"/>
          <w:szCs w:val="28"/>
          <w:lang w:val="en-US" w:eastAsia="zh-CN"/>
        </w:rPr>
        <w:t>污水贮存池出水水质要求能够满足《农田灌溉水质标准》。</w:t>
      </w:r>
    </w:p>
    <w:p>
      <w:pPr>
        <w:ind w:firstLine="560" w:firstLineChars="200"/>
        <w:rPr>
          <w:rFonts w:cs="Times New Roman"/>
          <w:szCs w:val="28"/>
          <w:lang w:val="zh-CN"/>
        </w:rPr>
      </w:pPr>
      <w:r>
        <w:rPr>
          <w:rFonts w:cs="Times New Roman"/>
          <w:szCs w:val="28"/>
          <w:lang w:val="zh-CN"/>
        </w:rPr>
        <w:t>2</w:t>
      </w:r>
      <w:r>
        <w:rPr>
          <w:rFonts w:hAnsi="仿宋" w:cs="Times New Roman"/>
          <w:szCs w:val="28"/>
          <w:lang w:val="zh-CN"/>
        </w:rPr>
        <w:t>）粪便堆积发酵场</w:t>
      </w:r>
    </w:p>
    <w:p>
      <w:pPr>
        <w:snapToGrid w:val="0"/>
        <w:ind w:firstLine="560" w:firstLineChars="200"/>
        <w:rPr>
          <w:rFonts w:cs="Times New Roman"/>
          <w:szCs w:val="28"/>
        </w:rPr>
      </w:pPr>
      <w:r>
        <w:rPr>
          <w:rFonts w:hAnsi="仿宋" w:cs="Times New Roman"/>
          <w:szCs w:val="28"/>
        </w:rPr>
        <w:t>粪便堆积发酵场宜采用</w:t>
      </w:r>
      <w:r>
        <w:rPr>
          <w:rFonts w:cs="Times New Roman"/>
          <w:szCs w:val="28"/>
        </w:rPr>
        <w:t>“</w:t>
      </w:r>
      <w:r>
        <w:rPr>
          <w:rFonts w:hAnsi="仿宋" w:cs="Times New Roman"/>
          <w:szCs w:val="28"/>
        </w:rPr>
        <w:t>三防</w:t>
      </w:r>
      <w:r>
        <w:rPr>
          <w:rFonts w:cs="Times New Roman"/>
          <w:szCs w:val="28"/>
        </w:rPr>
        <w:t>”</w:t>
      </w:r>
      <w:r>
        <w:rPr>
          <w:rFonts w:hAnsi="仿宋" w:cs="Times New Roman"/>
          <w:szCs w:val="28"/>
        </w:rPr>
        <w:t>堆粪场。</w:t>
      </w:r>
    </w:p>
    <w:p>
      <w:pPr>
        <w:snapToGrid w:val="0"/>
        <w:ind w:firstLine="560" w:firstLineChars="200"/>
        <w:rPr>
          <w:rFonts w:cs="Times New Roman"/>
          <w:szCs w:val="28"/>
        </w:rPr>
      </w:pPr>
      <w:r>
        <w:rPr>
          <w:rFonts w:hint="eastAsia" w:hAnsi="仿宋" w:cs="Times New Roman"/>
          <w:szCs w:val="28"/>
        </w:rPr>
        <w:t>地面为混凝土结构，应进行防水处理，做法参见《畜禽粪便贮存设施设计要求》（GB/T27622-2011）附录A。地面防渗性能要求满足《危险废物填埋污染控制标准》</w:t>
      </w:r>
      <w:r>
        <w:rPr>
          <w:rFonts w:hint="eastAsia" w:hAnsi="仿宋" w:cs="Times New Roman"/>
          <w:szCs w:val="28"/>
          <w:lang w:eastAsia="zh-CN"/>
        </w:rPr>
        <w:t>（</w:t>
      </w:r>
      <w:r>
        <w:rPr>
          <w:rFonts w:hint="eastAsia" w:hAnsi="仿宋" w:cs="Times New Roman"/>
          <w:szCs w:val="28"/>
        </w:rPr>
        <w:t>GB 18598-2019</w:t>
      </w:r>
      <w:r>
        <w:rPr>
          <w:rFonts w:hint="eastAsia" w:hAnsi="仿宋" w:cs="Times New Roman"/>
          <w:szCs w:val="28"/>
          <w:lang w:eastAsia="zh-CN"/>
        </w:rPr>
        <w:t>）</w:t>
      </w:r>
      <w:r>
        <w:rPr>
          <w:rFonts w:hint="eastAsia" w:hAnsi="仿宋" w:cs="Times New Roman"/>
          <w:szCs w:val="28"/>
        </w:rPr>
        <w:t>相关规定执行。</w:t>
      </w:r>
    </w:p>
    <w:p>
      <w:pPr>
        <w:ind w:firstLine="560" w:firstLineChars="200"/>
        <w:jc w:val="left"/>
        <w:rPr>
          <w:rFonts w:cs="Times New Roman"/>
          <w:szCs w:val="28"/>
          <w:lang w:val="zh-CN"/>
        </w:rPr>
      </w:pPr>
      <w:r>
        <w:rPr>
          <w:rFonts w:hint="eastAsia" w:cs="Times New Roman"/>
          <w:szCs w:val="28"/>
          <w:lang w:val="zh-CN"/>
        </w:rPr>
        <w:t>3）设备厂房</w:t>
      </w:r>
    </w:p>
    <w:p>
      <w:pPr>
        <w:ind w:firstLine="560" w:firstLineChars="200"/>
        <w:jc w:val="left"/>
        <w:rPr>
          <w:rFonts w:cs="Times New Roman"/>
          <w:szCs w:val="28"/>
          <w:lang w:val="zh-CN"/>
        </w:rPr>
      </w:pPr>
      <w:r>
        <w:rPr>
          <w:rFonts w:hint="eastAsia" w:cs="Times New Roman"/>
          <w:szCs w:val="28"/>
          <w:lang w:val="zh-CN"/>
        </w:rPr>
        <w:t>墙体1.20 m以下采用砖墙，室内外面层抹水泥砂浆，内外墙刷涂料，1.20m以上墙体采用轻钢彩板围护，屋面采用0.6 mm厚双层夹心彩钢板，外侧为灰色，内侧为白色。大门采用推拉式钢门，窗采用塑钢高侧窗。</w:t>
      </w:r>
    </w:p>
    <w:p>
      <w:pPr>
        <w:ind w:firstLine="560" w:firstLineChars="200"/>
        <w:jc w:val="left"/>
        <w:rPr>
          <w:rFonts w:cs="Times New Roman"/>
          <w:szCs w:val="28"/>
        </w:rPr>
      </w:pPr>
      <w:r>
        <w:rPr>
          <w:rFonts w:hint="eastAsia" w:cs="Times New Roman"/>
          <w:szCs w:val="28"/>
          <w:lang w:val="zh-CN"/>
        </w:rPr>
        <w:t>梁柱采用Q345A钢，其他构件采用Q235B。墙梁每900mm设1根。屋面水平支撑采用直径28圆钢。檩条、墙梁拉条采用直径12圆钢，两端车丝各60mm。钢构件采用喷砂除锈，达到Sa2.5要求，刷防锈漆一至二遍，涂饰调和漆二遍。</w:t>
      </w:r>
    </w:p>
    <w:p>
      <w:pPr>
        <w:ind w:firstLine="560" w:firstLineChars="200"/>
        <w:jc w:val="left"/>
        <w:rPr>
          <w:rFonts w:cs="Times New Roman"/>
          <w:szCs w:val="28"/>
        </w:rPr>
      </w:pPr>
      <w:r>
        <w:rPr>
          <w:rFonts w:hAnsi="仿宋" w:cs="Times New Roman"/>
          <w:szCs w:val="28"/>
        </w:rPr>
        <w:t>（</w:t>
      </w:r>
      <w:r>
        <w:rPr>
          <w:rFonts w:cs="Times New Roman"/>
          <w:szCs w:val="28"/>
        </w:rPr>
        <w:t>4</w:t>
      </w:r>
      <w:r>
        <w:rPr>
          <w:rFonts w:hAnsi="仿宋" w:cs="Times New Roman"/>
          <w:szCs w:val="28"/>
        </w:rPr>
        <w:t>）估算指标</w:t>
      </w:r>
    </w:p>
    <w:p>
      <w:pPr>
        <w:ind w:firstLine="560" w:firstLineChars="200"/>
        <w:rPr>
          <w:rFonts w:cs="Times New Roman"/>
          <w:szCs w:val="28"/>
        </w:rPr>
      </w:pPr>
      <w:r>
        <w:rPr>
          <w:rFonts w:hAnsi="仿宋" w:cs="Times New Roman"/>
          <w:szCs w:val="28"/>
        </w:rPr>
        <w:t>粪便堆积发酵场及配套管线、遮雨棚等按发酵场每平方米</w:t>
      </w:r>
      <w:r>
        <w:rPr>
          <w:rFonts w:cs="Times New Roman"/>
          <w:szCs w:val="28"/>
        </w:rPr>
        <w:t>0.0395</w:t>
      </w:r>
      <w:r>
        <w:rPr>
          <w:rFonts w:hAnsi="仿宋" w:cs="Times New Roman"/>
          <w:szCs w:val="28"/>
        </w:rPr>
        <w:t>万元估算，污水贮存池及配套明渠管线、遮雨棚等按贮存池每立方米</w:t>
      </w:r>
      <w:r>
        <w:rPr>
          <w:rFonts w:cs="Times New Roman"/>
          <w:szCs w:val="28"/>
        </w:rPr>
        <w:t>0.0385</w:t>
      </w:r>
      <w:r>
        <w:rPr>
          <w:rFonts w:hAnsi="仿宋" w:cs="Times New Roman"/>
          <w:szCs w:val="28"/>
        </w:rPr>
        <w:t>万元估算。</w:t>
      </w:r>
    </w:p>
    <w:p>
      <w:pPr>
        <w:pStyle w:val="2"/>
        <w:spacing w:line="360" w:lineRule="auto"/>
      </w:pPr>
      <w:bookmarkStart w:id="159" w:name="_Toc81878850"/>
      <w:bookmarkStart w:id="160" w:name="_Toc3430"/>
      <w:bookmarkStart w:id="161" w:name="_Toc80904929"/>
      <w:bookmarkStart w:id="162" w:name="_Toc32505"/>
      <w:r>
        <w:rPr>
          <w:rFonts w:hint="eastAsia"/>
        </w:rPr>
        <w:t>5.1.1 畜禽规模养殖场</w:t>
      </w:r>
      <w:bookmarkEnd w:id="159"/>
      <w:bookmarkEnd w:id="160"/>
      <w:bookmarkEnd w:id="161"/>
      <w:bookmarkEnd w:id="162"/>
    </w:p>
    <w:p>
      <w:pPr>
        <w:ind w:firstLine="560" w:firstLineChars="200"/>
      </w:pPr>
      <w:r>
        <w:rPr>
          <w:rFonts w:hint="eastAsia"/>
          <w:lang w:eastAsia="zh-CN"/>
        </w:rPr>
        <w:t>巴州区</w:t>
      </w:r>
      <w:r>
        <w:rPr>
          <w:rFonts w:hint="eastAsia" w:ascii="仿宋" w:hAnsi="仿宋"/>
        </w:rPr>
        <w:t>生猪、肉牛及家禽规模养殖场粪污处理利用设施已经建设完成，按照设计适用要求进行使用。</w:t>
      </w:r>
    </w:p>
    <w:p>
      <w:pPr>
        <w:pStyle w:val="2"/>
        <w:spacing w:line="360" w:lineRule="auto"/>
      </w:pPr>
      <w:bookmarkStart w:id="163" w:name="_Toc5871"/>
      <w:bookmarkStart w:id="164" w:name="_Toc17781"/>
      <w:bookmarkStart w:id="165" w:name="_Toc81878851"/>
      <w:bookmarkStart w:id="166" w:name="_Toc80904930"/>
      <w:r>
        <w:rPr>
          <w:rFonts w:hint="eastAsia"/>
        </w:rPr>
        <w:t>5.1.2 畜禽规模以下养殖户</w:t>
      </w:r>
      <w:bookmarkEnd w:id="163"/>
      <w:bookmarkEnd w:id="164"/>
      <w:bookmarkEnd w:id="165"/>
      <w:bookmarkEnd w:id="166"/>
    </w:p>
    <w:p>
      <w:pPr>
        <w:ind w:firstLine="560" w:firstLineChars="200"/>
      </w:pPr>
      <w:r>
        <w:rPr>
          <w:rFonts w:hint="eastAsia"/>
        </w:rPr>
        <w:t>规模以下养殖户主要建设内容为堆粪场和污水贮存设施，已有设施无需重新建设，缺少相应设施的养殖户进行补充建设。</w:t>
      </w:r>
    </w:p>
    <w:p>
      <w:pPr>
        <w:ind w:firstLine="560" w:firstLineChars="200"/>
      </w:pPr>
      <w:r>
        <w:rPr>
          <w:rFonts w:hint="eastAsia"/>
          <w:highlight w:val="none"/>
          <w:lang w:eastAsia="zh-CN"/>
        </w:rPr>
        <w:t>巴州区</w:t>
      </w:r>
      <w:r>
        <w:rPr>
          <w:rFonts w:hint="eastAsia"/>
          <w:highlight w:val="none"/>
        </w:rPr>
        <w:t>规模以下养殖户</w:t>
      </w:r>
      <w:r>
        <w:rPr>
          <w:rFonts w:hint="eastAsia"/>
          <w:highlight w:val="none"/>
          <w:lang w:val="en-US" w:eastAsia="zh-CN"/>
        </w:rPr>
        <w:t>160</w:t>
      </w:r>
      <w:r>
        <w:rPr>
          <w:rFonts w:hint="eastAsia"/>
          <w:highlight w:val="none"/>
        </w:rPr>
        <w:t>家，粪污处理设施尚需完善或新建，见表5-1-2（见本章末）。各乡镇街道规模以下养殖户粪污处理设施及配套设施工程汇总见表5-1-3（见本章末）。</w:t>
      </w:r>
    </w:p>
    <w:p>
      <w:pPr>
        <w:pStyle w:val="4"/>
        <w:spacing w:before="190" w:after="190"/>
      </w:pPr>
      <w:bookmarkStart w:id="167" w:name="_Toc90756598"/>
      <w:bookmarkStart w:id="168" w:name="_Toc5833"/>
      <w:bookmarkStart w:id="169" w:name="_Toc23364"/>
      <w:r>
        <w:t>5</w:t>
      </w:r>
      <w:r>
        <w:rPr>
          <w:rFonts w:hint="eastAsia"/>
        </w:rPr>
        <w:t>.</w:t>
      </w:r>
      <w:r>
        <w:t>2</w:t>
      </w:r>
      <w:r>
        <w:rPr>
          <w:rFonts w:hint="eastAsia"/>
        </w:rPr>
        <w:t xml:space="preserve"> 畜禽粪污集中处理设施建设</w:t>
      </w:r>
      <w:bookmarkEnd w:id="167"/>
      <w:bookmarkEnd w:id="168"/>
      <w:bookmarkEnd w:id="169"/>
    </w:p>
    <w:p>
      <w:pPr>
        <w:ind w:firstLine="560" w:firstLineChars="200"/>
        <w:rPr>
          <w:highlight w:val="none"/>
        </w:rPr>
      </w:pPr>
      <w:r>
        <w:rPr>
          <w:rFonts w:hint="eastAsia"/>
          <w:lang w:eastAsia="zh-CN"/>
        </w:rPr>
        <w:t>考</w:t>
      </w:r>
      <w:r>
        <w:rPr>
          <w:rFonts w:hint="eastAsia"/>
          <w:highlight w:val="none"/>
          <w:lang w:eastAsia="zh-CN"/>
        </w:rPr>
        <w:t>虑鼎山镇及清江镇规模化养殖场户较多，拟</w:t>
      </w:r>
      <w:r>
        <w:rPr>
          <w:rFonts w:hint="eastAsia"/>
          <w:highlight w:val="none"/>
        </w:rPr>
        <w:t>建设</w:t>
      </w:r>
      <w:r>
        <w:rPr>
          <w:rFonts w:hint="eastAsia"/>
          <w:highlight w:val="none"/>
          <w:lang w:val="en-US" w:eastAsia="zh-CN"/>
        </w:rPr>
        <w:t>2</w:t>
      </w:r>
      <w:r>
        <w:rPr>
          <w:rFonts w:hint="eastAsia"/>
          <w:highlight w:val="none"/>
        </w:rPr>
        <w:t>处畜禽粪污转运及集中处理中心，将富余的粪污进行无害化处理后，运输至签订土地消纳协议的乡镇进行资源化利用。</w:t>
      </w:r>
      <w:r>
        <w:rPr>
          <w:rFonts w:hint="eastAsia"/>
          <w:highlight w:val="none"/>
          <w:lang w:eastAsia="zh-CN"/>
        </w:rPr>
        <w:t>巴州</w:t>
      </w:r>
      <w:r>
        <w:rPr>
          <w:rFonts w:hint="eastAsia"/>
          <w:highlight w:val="none"/>
        </w:rPr>
        <w:t>区畜禽粪污转运及集中处理中心建设工程清单见表5</w:t>
      </w:r>
      <w:r>
        <w:rPr>
          <w:highlight w:val="none"/>
        </w:rPr>
        <w:t>-2-1</w:t>
      </w:r>
      <w:r>
        <w:rPr>
          <w:rFonts w:hint="eastAsia"/>
          <w:highlight w:val="none"/>
        </w:rPr>
        <w:t>所示。</w:t>
      </w:r>
    </w:p>
    <w:p>
      <w:pPr>
        <w:pStyle w:val="57"/>
        <w:spacing w:before="190" w:after="190"/>
        <w:ind w:firstLine="0"/>
        <w:rPr>
          <w:sz w:val="21"/>
          <w:szCs w:val="21"/>
        </w:rPr>
      </w:pPr>
      <w:r>
        <w:rPr>
          <w:rFonts w:eastAsia="仿宋"/>
          <w:kern w:val="2"/>
          <w:szCs w:val="24"/>
          <w:highlight w:val="none"/>
        </w:rPr>
        <w:t>表5</w:t>
      </w:r>
      <w:r>
        <w:rPr>
          <w:rFonts w:eastAsia="仿宋"/>
          <w:kern w:val="2"/>
          <w:szCs w:val="24"/>
        </w:rPr>
        <w:t>-2-1</w:t>
      </w:r>
      <w:r>
        <w:rPr>
          <w:rFonts w:hint="eastAsia" w:eastAsia="仿宋"/>
          <w:kern w:val="2"/>
          <w:szCs w:val="24"/>
        </w:rPr>
        <w:t xml:space="preserve"> 区畜禽粪污集中处理设施建设工程清单</w:t>
      </w:r>
      <w:r>
        <w:rPr>
          <w:rFonts w:eastAsia="仿宋"/>
          <w:kern w:val="2"/>
          <w:szCs w:val="24"/>
        </w:rPr>
        <w:t>表</w:t>
      </w:r>
    </w:p>
    <w:tbl>
      <w:tblPr>
        <w:tblStyle w:val="62"/>
        <w:tblW w:w="10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75"/>
        <w:gridCol w:w="1621"/>
        <w:gridCol w:w="1245"/>
        <w:gridCol w:w="1335"/>
        <w:gridCol w:w="983"/>
        <w:gridCol w:w="851"/>
        <w:gridCol w:w="1134"/>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序号</w:t>
            </w:r>
          </w:p>
        </w:tc>
        <w:tc>
          <w:tcPr>
            <w:tcW w:w="1275"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项目名称</w:t>
            </w:r>
          </w:p>
        </w:tc>
        <w:tc>
          <w:tcPr>
            <w:tcW w:w="16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项目内容</w:t>
            </w:r>
          </w:p>
        </w:tc>
        <w:tc>
          <w:tcPr>
            <w:tcW w:w="1245"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建设地点</w:t>
            </w:r>
          </w:p>
        </w:tc>
        <w:tc>
          <w:tcPr>
            <w:tcW w:w="1335"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建设数量</w:t>
            </w:r>
          </w:p>
        </w:tc>
        <w:tc>
          <w:tcPr>
            <w:tcW w:w="983"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服务</w:t>
            </w:r>
          </w:p>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半径</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Times New Roman"/>
                <w:b/>
                <w:color w:val="000000" w:themeColor="text1"/>
                <w:sz w:val="24"/>
                <w:szCs w:val="24"/>
                <w:lang w:eastAsia="zh-CN"/>
                <w14:textFill>
                  <w14:solidFill>
                    <w14:schemeClr w14:val="tx1"/>
                  </w14:solidFill>
                </w14:textFill>
              </w:rPr>
            </w:pPr>
            <w:r>
              <w:rPr>
                <w:rFonts w:hint="eastAsia" w:ascii="仿宋" w:hAnsi="仿宋" w:cs="Times New Roman"/>
                <w:b/>
                <w:color w:val="000000" w:themeColor="text1"/>
                <w:sz w:val="24"/>
                <w:szCs w:val="24"/>
                <w:lang w:val="en-US" w:eastAsia="zh-CN"/>
                <w14:textFill>
                  <w14:solidFill>
                    <w14:schemeClr w14:val="tx1"/>
                  </w14:solidFill>
                </w14:textFill>
              </w:rPr>
              <w:t>完成时间</w:t>
            </w:r>
          </w:p>
        </w:tc>
        <w:tc>
          <w:tcPr>
            <w:tcW w:w="1134"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投资</w:t>
            </w:r>
          </w:p>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（万元）</w:t>
            </w:r>
          </w:p>
        </w:tc>
        <w:tc>
          <w:tcPr>
            <w:tcW w:w="1343"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责任</w:t>
            </w:r>
          </w:p>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cs="Times New Roman"/>
                <w:b/>
                <w:color w:val="000000" w:themeColor="text1"/>
                <w:sz w:val="24"/>
                <w:szCs w:val="24"/>
                <w14:textFill>
                  <w14:solidFill>
                    <w14:schemeClr w14:val="tx1"/>
                  </w14:solidFill>
                </w14:textFill>
              </w:rPr>
            </w:pPr>
            <w:r>
              <w:rPr>
                <w:rFonts w:hint="default" w:ascii="仿宋" w:hAnsi="仿宋" w:cs="Times New Roman"/>
                <w:b/>
                <w:color w:val="000000" w:themeColor="text1"/>
                <w:sz w:val="24"/>
                <w:szCs w:val="24"/>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54" w:type="dxa"/>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1</w:t>
            </w:r>
          </w:p>
        </w:tc>
        <w:tc>
          <w:tcPr>
            <w:tcW w:w="1275"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eastAsia" w:ascii="仿宋" w:hAnsi="仿宋" w:cs="Times New Roman"/>
                <w:color w:val="000000" w:themeColor="text1"/>
                <w:sz w:val="24"/>
                <w:szCs w:val="24"/>
                <w14:textFill>
                  <w14:solidFill>
                    <w14:schemeClr w14:val="tx1"/>
                  </w14:solidFill>
                </w14:textFill>
              </w:rPr>
              <w:t>畜禽</w:t>
            </w:r>
            <w:r>
              <w:rPr>
                <w:rFonts w:hint="default" w:ascii="仿宋" w:hAnsi="仿宋" w:cs="Times New Roman"/>
                <w:color w:val="000000" w:themeColor="text1"/>
                <w:sz w:val="24"/>
                <w:szCs w:val="24"/>
                <w14:textFill>
                  <w14:solidFill>
                    <w14:schemeClr w14:val="tx1"/>
                  </w14:solidFill>
                </w14:textFill>
              </w:rPr>
              <w:t>粪污集中处理中心</w:t>
            </w:r>
          </w:p>
        </w:tc>
        <w:tc>
          <w:tcPr>
            <w:tcW w:w="1621"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对</w:t>
            </w:r>
            <w:r>
              <w:rPr>
                <w:rFonts w:hint="eastAsia" w:ascii="仿宋" w:hAnsi="仿宋" w:cs="Times New Roman"/>
                <w:color w:val="000000" w:themeColor="text1"/>
                <w:sz w:val="24"/>
                <w:szCs w:val="24"/>
                <w14:textFill>
                  <w14:solidFill>
                    <w14:schemeClr w14:val="tx1"/>
                  </w14:solidFill>
                </w14:textFill>
              </w:rPr>
              <w:t>乡镇畜禽</w:t>
            </w:r>
            <w:r>
              <w:rPr>
                <w:rFonts w:hint="default" w:ascii="仿宋" w:hAnsi="仿宋" w:cs="Times New Roman"/>
                <w:color w:val="000000" w:themeColor="text1"/>
                <w:sz w:val="24"/>
                <w:szCs w:val="24"/>
                <w14:textFill>
                  <w14:solidFill>
                    <w14:schemeClr w14:val="tx1"/>
                  </w14:solidFill>
                </w14:textFill>
              </w:rPr>
              <w:t>粪污进行收集</w:t>
            </w:r>
            <w:r>
              <w:rPr>
                <w:rFonts w:hint="eastAsia" w:ascii="仿宋" w:hAnsi="仿宋" w:cs="Times New Roman"/>
                <w:color w:val="000000" w:themeColor="text1"/>
                <w:sz w:val="24"/>
                <w:szCs w:val="24"/>
                <w14:textFill>
                  <w14:solidFill>
                    <w14:schemeClr w14:val="tx1"/>
                  </w14:solidFill>
                </w14:textFill>
              </w:rPr>
              <w:t>、集中处理和转运。</w:t>
            </w:r>
          </w:p>
        </w:tc>
        <w:tc>
          <w:tcPr>
            <w:tcW w:w="1245"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eastAsia" w:ascii="仿宋" w:hAnsi="仿宋" w:cs="Times New Roman"/>
                <w:color w:val="000000" w:themeColor="text1"/>
                <w:sz w:val="24"/>
                <w:szCs w:val="24"/>
                <w:lang w:eastAsia="zh-CN"/>
                <w14:textFill>
                  <w14:solidFill>
                    <w14:schemeClr w14:val="tx1"/>
                  </w14:solidFill>
                </w14:textFill>
              </w:rPr>
              <w:t>鼎山镇</w:t>
            </w:r>
            <w:r>
              <w:rPr>
                <w:rFonts w:hint="default" w:ascii="仿宋" w:hAnsi="仿宋" w:cs="Times New Roman"/>
                <w:color w:val="000000" w:themeColor="text1"/>
                <w:sz w:val="24"/>
                <w:szCs w:val="24"/>
                <w14:textFill>
                  <w14:solidFill>
                    <w14:schemeClr w14:val="tx1"/>
                  </w14:solidFill>
                </w14:textFill>
              </w:rPr>
              <w:t>和</w:t>
            </w:r>
            <w:r>
              <w:rPr>
                <w:rFonts w:hint="eastAsia" w:ascii="仿宋" w:hAnsi="仿宋" w:cs="Times New Roman"/>
                <w:color w:val="000000" w:themeColor="text1"/>
                <w:sz w:val="24"/>
                <w:szCs w:val="24"/>
                <w:lang w:eastAsia="zh-CN"/>
                <w14:textFill>
                  <w14:solidFill>
                    <w14:schemeClr w14:val="tx1"/>
                  </w14:solidFill>
                </w14:textFill>
              </w:rPr>
              <w:t>清江</w:t>
            </w:r>
            <w:r>
              <w:rPr>
                <w:rFonts w:hint="default" w:ascii="仿宋" w:hAnsi="仿宋" w:cs="Times New Roman"/>
                <w:color w:val="000000" w:themeColor="text1"/>
                <w:sz w:val="24"/>
                <w:szCs w:val="24"/>
                <w14:textFill>
                  <w14:solidFill>
                    <w14:schemeClr w14:val="tx1"/>
                  </w14:solidFill>
                </w14:textFill>
              </w:rPr>
              <w:t>镇附近</w:t>
            </w:r>
          </w:p>
        </w:tc>
        <w:tc>
          <w:tcPr>
            <w:tcW w:w="1335" w:type="dxa"/>
            <w:vAlign w:val="center"/>
          </w:tcPr>
          <w:p>
            <w:pPr>
              <w:keepNext w:val="0"/>
              <w:keepLines w:val="0"/>
              <w:suppressLineNumbers w:val="0"/>
              <w:spacing w:before="0" w:beforeAutospacing="0" w:after="0" w:afterAutospacing="0" w:line="240" w:lineRule="auto"/>
              <w:ind w:left="0" w:right="0"/>
              <w:jc w:val="center"/>
              <w:rPr>
                <w:rFonts w:hint="eastAsia" w:eastAsia="仿宋" w:cs="Times New Roman"/>
                <w:sz w:val="24"/>
                <w:szCs w:val="24"/>
                <w:lang w:eastAsia="zh-CN"/>
              </w:rPr>
            </w:pPr>
            <w:r>
              <w:rPr>
                <w:rFonts w:hint="eastAsia" w:cs="Times New Roman"/>
                <w:sz w:val="24"/>
                <w:szCs w:val="24"/>
                <w:lang w:val="en-US" w:eastAsia="zh-CN"/>
              </w:rPr>
              <w:t>2（10万吨有机肥/a/个）</w:t>
            </w:r>
          </w:p>
        </w:tc>
        <w:tc>
          <w:tcPr>
            <w:tcW w:w="983" w:type="dxa"/>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1</w:t>
            </w:r>
            <w:r>
              <w:rPr>
                <w:rFonts w:hint="eastAsia" w:cs="Times New Roman"/>
                <w:sz w:val="24"/>
                <w:szCs w:val="24"/>
                <w:lang w:val="en-US" w:eastAsia="zh-CN"/>
              </w:rPr>
              <w:t>0</w:t>
            </w:r>
            <w:r>
              <w:rPr>
                <w:rFonts w:hint="default" w:cs="Times New Roman"/>
                <w:sz w:val="24"/>
                <w:szCs w:val="24"/>
              </w:rPr>
              <w:t>公里</w:t>
            </w:r>
          </w:p>
        </w:tc>
        <w:tc>
          <w:tcPr>
            <w:tcW w:w="851" w:type="dxa"/>
            <w:vAlign w:val="center"/>
          </w:tcPr>
          <w:p>
            <w:pPr>
              <w:keepNext w:val="0"/>
              <w:keepLines w:val="0"/>
              <w:suppressLineNumbers w:val="0"/>
              <w:spacing w:before="0" w:beforeAutospacing="0" w:after="0" w:afterAutospacing="0" w:line="240" w:lineRule="auto"/>
              <w:ind w:left="0" w:right="0"/>
              <w:jc w:val="center"/>
              <w:rPr>
                <w:rFonts w:hint="eastAsia" w:eastAsia="仿宋" w:cs="Times New Roman"/>
                <w:sz w:val="24"/>
                <w:szCs w:val="24"/>
                <w:lang w:val="en-US" w:eastAsia="zh-CN"/>
              </w:rPr>
            </w:pPr>
            <w:r>
              <w:rPr>
                <w:rFonts w:hint="default" w:cs="Times New Roman"/>
                <w:sz w:val="24"/>
                <w:szCs w:val="24"/>
              </w:rPr>
              <w:t>2025</w:t>
            </w:r>
            <w:r>
              <w:rPr>
                <w:rFonts w:hint="eastAsia" w:cs="Times New Roman"/>
                <w:sz w:val="24"/>
                <w:szCs w:val="24"/>
                <w:lang w:val="en-US" w:eastAsia="zh-CN"/>
              </w:rPr>
              <w:t>底</w:t>
            </w:r>
          </w:p>
        </w:tc>
        <w:tc>
          <w:tcPr>
            <w:tcW w:w="1134" w:type="dxa"/>
            <w:vAlign w:val="center"/>
          </w:tcPr>
          <w:p>
            <w:pPr>
              <w:keepNext w:val="0"/>
              <w:keepLines w:val="0"/>
              <w:suppressLineNumbers w:val="0"/>
              <w:spacing w:before="0" w:beforeAutospacing="0" w:after="0" w:afterAutospacing="0" w:line="240" w:lineRule="auto"/>
              <w:ind w:left="0" w:right="0"/>
              <w:jc w:val="center"/>
              <w:rPr>
                <w:rFonts w:hint="default" w:eastAsia="仿宋" w:cs="Times New Roman"/>
                <w:sz w:val="24"/>
                <w:szCs w:val="24"/>
                <w:lang w:val="en-US" w:eastAsia="zh-CN"/>
              </w:rPr>
            </w:pPr>
            <w:r>
              <w:rPr>
                <w:rFonts w:hint="eastAsia" w:cs="Times New Roman"/>
                <w:sz w:val="24"/>
                <w:szCs w:val="24"/>
                <w:lang w:val="en-US" w:eastAsia="zh-CN"/>
              </w:rPr>
              <w:t>300</w:t>
            </w:r>
          </w:p>
        </w:tc>
        <w:tc>
          <w:tcPr>
            <w:tcW w:w="1343"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仿宋" w:cs="Times New Roman"/>
                <w:sz w:val="24"/>
                <w:szCs w:val="24"/>
                <w:lang w:val="en-US" w:eastAsia="zh-CN"/>
              </w:rPr>
            </w:pPr>
            <w:r>
              <w:rPr>
                <w:rFonts w:hint="eastAsia" w:ascii="仿宋" w:hAnsi="仿宋" w:cs="Times New Roman"/>
                <w:color w:val="000000" w:themeColor="text1"/>
                <w:sz w:val="24"/>
                <w:szCs w:val="24"/>
                <w:highlight w:val="none"/>
                <w:lang w:val="en-US" w:eastAsia="zh-CN"/>
                <w14:textFill>
                  <w14:solidFill>
                    <w14:schemeClr w14:val="tx1"/>
                  </w14:solidFill>
                </w14:textFill>
              </w:rPr>
              <w:t>巴中市巴州</w:t>
            </w:r>
            <w:r>
              <w:rPr>
                <w:rFonts w:hint="eastAsia" w:ascii="仿宋" w:hAnsi="仿宋" w:cs="Times New Roman"/>
                <w:color w:val="000000" w:themeColor="text1"/>
                <w:sz w:val="24"/>
                <w:szCs w:val="24"/>
                <w:highlight w:val="none"/>
                <w:lang w:val="en-US" w:eastAsia="zh-Hans"/>
                <w14:textFill>
                  <w14:solidFill>
                    <w14:schemeClr w14:val="tx1"/>
                  </w14:solidFill>
                </w14:textFill>
              </w:rPr>
              <w:t>生态环境局</w:t>
            </w:r>
            <w:r>
              <w:rPr>
                <w:rFonts w:hint="default" w:ascii="仿宋" w:hAnsi="仿宋" w:cs="Times New Roman"/>
                <w:color w:val="000000" w:themeColor="text1"/>
                <w:sz w:val="24"/>
                <w:szCs w:val="24"/>
                <w:highlight w:val="none"/>
                <w:lang w:eastAsia="zh-Hans"/>
                <w14:textFill>
                  <w14:solidFill>
                    <w14:schemeClr w14:val="tx1"/>
                  </w14:solidFill>
                </w14:textFill>
              </w:rPr>
              <w:t>、</w:t>
            </w:r>
            <w:r>
              <w:rPr>
                <w:rFonts w:hint="eastAsia" w:ascii="仿宋" w:hAnsi="仿宋" w:cs="Times New Roman"/>
                <w:color w:val="000000" w:themeColor="text1"/>
                <w:sz w:val="24"/>
                <w:szCs w:val="24"/>
                <w:highlight w:val="none"/>
                <w:lang w:val="en-US" w:eastAsia="zh-CN"/>
                <w14:textFill>
                  <w14:solidFill>
                    <w14:schemeClr w14:val="tx1"/>
                  </w14:solidFill>
                </w14:textFill>
              </w:rPr>
              <w:t>巴州</w:t>
            </w:r>
            <w:r>
              <w:rPr>
                <w:rFonts w:hint="eastAsia" w:ascii="仿宋" w:hAnsi="仿宋" w:cs="Times New Roman"/>
                <w:color w:val="000000" w:themeColor="text1"/>
                <w:sz w:val="24"/>
                <w:szCs w:val="24"/>
                <w:highlight w:val="none"/>
                <w:lang w:val="en-US" w:eastAsia="zh-Hans"/>
                <w14:textFill>
                  <w14:solidFill>
                    <w14:schemeClr w14:val="tx1"/>
                  </w14:solidFill>
                </w14:textFill>
              </w:rPr>
              <w:t>区</w:t>
            </w:r>
            <w:r>
              <w:rPr>
                <w:rFonts w:hint="default" w:ascii="仿宋" w:hAnsi="仿宋" w:cs="Times New Roman"/>
                <w:color w:val="000000" w:themeColor="text1"/>
                <w:sz w:val="24"/>
                <w:szCs w:val="24"/>
                <w:highlight w:val="none"/>
                <w14:textFill>
                  <w14:solidFill>
                    <w14:schemeClr w14:val="tx1"/>
                  </w14:solidFill>
                </w14:textFill>
              </w:rPr>
              <w:t>农业农村局</w:t>
            </w:r>
            <w:r>
              <w:rPr>
                <w:rFonts w:hint="eastAsia" w:ascii="仿宋" w:hAnsi="仿宋" w:cs="Times New Roman"/>
                <w:color w:val="000000" w:themeColor="text1"/>
                <w:sz w:val="24"/>
                <w:szCs w:val="24"/>
                <w:highlight w:val="none"/>
                <w:lang w:eastAsia="zh-CN"/>
                <w14:textFill>
                  <w14:solidFill>
                    <w14:schemeClr w14:val="tx1"/>
                  </w14:solidFill>
                </w14:textFill>
              </w:rPr>
              <w:t>、</w:t>
            </w:r>
            <w:r>
              <w:rPr>
                <w:rFonts w:hint="eastAsia" w:ascii="仿宋" w:hAnsi="仿宋" w:cs="Times New Roman"/>
                <w:color w:val="000000" w:themeColor="text1"/>
                <w:sz w:val="24"/>
                <w:szCs w:val="24"/>
                <w:highlight w:val="none"/>
                <w:lang w:val="en-US" w:eastAsia="zh-CN"/>
                <w14:textFill>
                  <w14:solidFill>
                    <w14:schemeClr w14:val="tx1"/>
                  </w14:solidFill>
                </w14:textFill>
              </w:rPr>
              <w:t>鼎山镇环保办、清江镇环保办</w:t>
            </w:r>
          </w:p>
        </w:tc>
      </w:tr>
    </w:tbl>
    <w:p>
      <w:pPr>
        <w:pStyle w:val="4"/>
        <w:spacing w:before="190" w:after="190"/>
      </w:pPr>
      <w:bookmarkStart w:id="170" w:name="_Toc7137"/>
      <w:bookmarkStart w:id="171" w:name="_Toc24994"/>
      <w:bookmarkStart w:id="172" w:name="_Toc90756599"/>
      <w:r>
        <w:t>5</w:t>
      </w:r>
      <w:r>
        <w:rPr>
          <w:rFonts w:hint="eastAsia"/>
        </w:rPr>
        <w:t>.</w:t>
      </w:r>
      <w:r>
        <w:t>3</w:t>
      </w:r>
      <w:r>
        <w:rPr>
          <w:rFonts w:hint="eastAsia"/>
        </w:rPr>
        <w:t xml:space="preserve"> 田间配套设施建设</w:t>
      </w:r>
      <w:bookmarkEnd w:id="170"/>
      <w:bookmarkEnd w:id="171"/>
      <w:bookmarkEnd w:id="172"/>
    </w:p>
    <w:p>
      <w:pPr>
        <w:ind w:firstLine="560" w:firstLineChars="200"/>
      </w:pPr>
      <w:r>
        <w:rPr>
          <w:rFonts w:hint="eastAsia"/>
          <w:lang w:eastAsia="zh-CN"/>
        </w:rPr>
        <w:t>巴州区</w:t>
      </w:r>
      <w:r>
        <w:rPr>
          <w:rFonts w:hint="eastAsia"/>
        </w:rPr>
        <w:t>畜禽规模养殖场（户）畜禽粪污利用方式基本实现还田利用，为保证区畜禽粪污还田利用率，针对现存规模以下养殖户的乡村，集中建设田间堆粪场和污水贮存池，总计建设</w:t>
      </w:r>
      <w:r>
        <w:rPr>
          <w:rFonts w:hint="eastAsia"/>
          <w:highlight w:val="none"/>
          <w:lang w:val="en-US" w:eastAsia="zh-CN"/>
        </w:rPr>
        <w:t>51</w:t>
      </w:r>
      <w:r>
        <w:rPr>
          <w:rFonts w:hint="eastAsia"/>
          <w:highlight w:val="none"/>
        </w:rPr>
        <w:t>处田间配套设施工程。</w:t>
      </w:r>
      <w:r>
        <w:rPr>
          <w:rFonts w:hint="eastAsia"/>
          <w:highlight w:val="none"/>
          <w:lang w:eastAsia="zh-CN"/>
        </w:rPr>
        <w:t>田间配套设施建设应因地制宜，必须远离当地饮用水水源地，</w:t>
      </w:r>
      <w:r>
        <w:rPr>
          <w:rFonts w:hint="eastAsia"/>
          <w:highlight w:val="none"/>
        </w:rPr>
        <w:t>粪污经各规</w:t>
      </w:r>
      <w:r>
        <w:rPr>
          <w:rFonts w:hint="eastAsia"/>
        </w:rPr>
        <w:t>模以下养殖户的粪污设施进行无害化处理后，由农户定期运送至田间堆粪场，并按进出量进行统计分配。</w:t>
      </w:r>
    </w:p>
    <w:p>
      <w:pPr>
        <w:pStyle w:val="4"/>
        <w:spacing w:before="190" w:after="190"/>
      </w:pPr>
      <w:bookmarkStart w:id="173" w:name="_Toc32013"/>
      <w:bookmarkStart w:id="174" w:name="_Toc24551"/>
      <w:r>
        <w:t>5</w:t>
      </w:r>
      <w:r>
        <w:rPr>
          <w:rFonts w:hint="eastAsia"/>
        </w:rPr>
        <w:t>.</w:t>
      </w:r>
      <w:r>
        <w:rPr>
          <w:rFonts w:hint="eastAsia"/>
          <w:lang w:val="en-US" w:eastAsia="zh-CN"/>
        </w:rPr>
        <w:t>4</w:t>
      </w:r>
      <w:r>
        <w:rPr>
          <w:rFonts w:hint="eastAsia"/>
        </w:rPr>
        <w:t xml:space="preserve"> 监管体系建设</w:t>
      </w:r>
      <w:bookmarkEnd w:id="173"/>
      <w:bookmarkEnd w:id="174"/>
    </w:p>
    <w:p>
      <w:pPr>
        <w:ind w:firstLine="560" w:firstLineChars="200"/>
      </w:pPr>
      <w:r>
        <w:rPr>
          <w:rFonts w:hint="eastAsia"/>
        </w:rPr>
        <w:t>建设畜禽养殖污染防治监管体系：</w:t>
      </w:r>
    </w:p>
    <w:p>
      <w:pPr>
        <w:ind w:firstLine="560" w:firstLineChars="200"/>
      </w:pPr>
      <w:r>
        <w:rPr>
          <w:rFonts w:hint="eastAsia"/>
        </w:rPr>
        <w:t>（1）设立或指定部门，具体负责粪污污染防治监管体系的建设与运行。</w:t>
      </w:r>
    </w:p>
    <w:p>
      <w:pPr>
        <w:ind w:firstLine="560" w:firstLineChars="200"/>
      </w:pPr>
      <w:r>
        <w:rPr>
          <w:rFonts w:hint="eastAsia"/>
        </w:rPr>
        <w:t>（2）完善粪污防治与资源化利用制度，建立养殖和污染防治台账，监管粪污未经发酵直接还田或进入水体，保护畜禽养殖区域生态环境。</w:t>
      </w:r>
    </w:p>
    <w:p>
      <w:pPr>
        <w:ind w:firstLine="560" w:firstLineChars="200"/>
      </w:pPr>
      <w:r>
        <w:rPr>
          <w:rFonts w:hint="eastAsia"/>
        </w:rPr>
        <w:t>（3）完善养殖管理和审批制度，严格执行禁养区划定区域不得新建养殖场（户），规范清粪方式。</w:t>
      </w:r>
    </w:p>
    <w:p>
      <w:pPr>
        <w:ind w:firstLine="560" w:firstLineChars="200"/>
      </w:pPr>
      <w:r>
        <w:rPr>
          <w:rFonts w:hint="eastAsia"/>
        </w:rPr>
        <w:t>（4）建设和提升改造粪污防治设施，积极推进粪污发酵还田和生产有机肥工程建设，提升污染防治水平。</w:t>
      </w:r>
    </w:p>
    <w:p>
      <w:pPr>
        <w:ind w:firstLine="560" w:firstLineChars="200"/>
      </w:pPr>
      <w:r>
        <w:rPr>
          <w:rFonts w:hint="eastAsia"/>
        </w:rPr>
        <w:t>（5）建立粪肥产品检测制度，指导和监管养殖场（户）负责人按《畜禽粪便还田技术规范》（GB</w:t>
      </w:r>
      <w:r>
        <w:rPr>
          <w:rFonts w:hint="eastAsia"/>
          <w:lang w:val="en-US" w:eastAsia="zh-CN"/>
        </w:rPr>
        <w:t>/</w:t>
      </w:r>
      <w:r>
        <w:rPr>
          <w:rFonts w:hint="eastAsia"/>
        </w:rPr>
        <w:t>T 25246-2010）、《畜禽粪便无害化处理技术规范》（GB</w:t>
      </w:r>
      <w:r>
        <w:rPr>
          <w:rFonts w:hint="eastAsia"/>
          <w:lang w:val="en-US" w:eastAsia="zh-CN"/>
        </w:rPr>
        <w:t>/</w:t>
      </w:r>
      <w:r>
        <w:rPr>
          <w:rFonts w:hint="eastAsia"/>
        </w:rPr>
        <w:t>T36195-2018）、《粪便无害化卫生要求》（GB7959-2012）、《有机肥料》（NY</w:t>
      </w:r>
      <w:r>
        <w:rPr>
          <w:rFonts w:hint="eastAsia"/>
          <w:lang w:val="en-US" w:eastAsia="zh-CN"/>
        </w:rPr>
        <w:t>/T</w:t>
      </w:r>
      <w:r>
        <w:rPr>
          <w:rFonts w:hint="eastAsia"/>
        </w:rPr>
        <w:t xml:space="preserve"> 525-20</w:t>
      </w:r>
      <w:r>
        <w:rPr>
          <w:rFonts w:hint="eastAsia"/>
          <w:lang w:val="en-US" w:eastAsia="zh-CN"/>
        </w:rPr>
        <w:t>21</w:t>
      </w:r>
      <w:r>
        <w:rPr>
          <w:rFonts w:hint="eastAsia"/>
        </w:rPr>
        <w:t>）和《有机无机复混肥料》（GB∕T 18877-2020）进行粪污处理，并定期采样、送样，开展粪肥处理产品的质量检测，测定有机质、总养分、水分、酸碱度、总砷、总汞、总铅、总镉、总铬、蛔虫卵死亡率和粪大肠菌群数等，避免粪污处理还田后污染土壤环境。</w:t>
      </w:r>
    </w:p>
    <w:p>
      <w:pPr>
        <w:ind w:firstLine="560" w:firstLineChars="200"/>
      </w:pPr>
      <w:r>
        <w:rPr>
          <w:rFonts w:hint="eastAsia"/>
        </w:rPr>
        <w:t>（6）配合环境监管部门，按地表水、地下水、土壤及大气环境质量标准和监测规范，对养殖区及周边定期开展大气、地下水、地表水和土壤的环境质量监测，保障生态环境保护与发展养殖协调可持续发展。</w:t>
      </w:r>
    </w:p>
    <w:p>
      <w:pPr>
        <w:ind w:firstLine="560" w:firstLineChars="200"/>
      </w:pPr>
      <w:r>
        <w:rPr>
          <w:rFonts w:hint="eastAsia"/>
        </w:rPr>
        <w:t>（7）建设畜禽养殖信息化管理平台，对养殖类别、规模、粪污产生量、清粪方式、水资源利用、粪肥质量、粪肥利用率、养殖区域及周边环境质量、农田土壤质量信息数据进行管理、统计和分析，为养殖业主管部门提供决策支持。</w:t>
      </w:r>
    </w:p>
    <w:p>
      <w:pPr>
        <w:ind w:firstLine="560" w:firstLineChars="200"/>
      </w:pPr>
      <w:r>
        <w:rPr>
          <w:rFonts w:hint="eastAsia"/>
        </w:rPr>
        <w:t>畜禽养殖监管体系建设工程清单如表5-4-1所示。</w:t>
      </w:r>
    </w:p>
    <w:p>
      <w:pPr>
        <w:jc w:val="center"/>
        <w:rPr>
          <w:rFonts w:cs="Times New Roman"/>
          <w:b/>
          <w:sz w:val="24"/>
          <w:szCs w:val="24"/>
        </w:rPr>
      </w:pPr>
      <w:r>
        <w:rPr>
          <w:rFonts w:cs="Times New Roman"/>
          <w:b/>
          <w:sz w:val="24"/>
          <w:szCs w:val="24"/>
        </w:rPr>
        <w:t xml:space="preserve">表5-4-1 </w:t>
      </w:r>
      <w:r>
        <w:rPr>
          <w:rFonts w:hint="eastAsia" w:cs="Times New Roman"/>
          <w:b/>
          <w:sz w:val="24"/>
          <w:szCs w:val="24"/>
          <w:lang w:eastAsia="zh-CN"/>
        </w:rPr>
        <w:t>区</w:t>
      </w:r>
      <w:r>
        <w:rPr>
          <w:rFonts w:cs="Times New Roman"/>
          <w:b/>
          <w:sz w:val="24"/>
          <w:szCs w:val="24"/>
        </w:rPr>
        <w:t>监管体系建设工程清单</w:t>
      </w:r>
    </w:p>
    <w:tbl>
      <w:tblPr>
        <w:tblStyle w:val="66"/>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053"/>
        <w:gridCol w:w="1435"/>
        <w:gridCol w:w="3228"/>
        <w:gridCol w:w="1193"/>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default" w:cs="Times New Roman"/>
                <w:b/>
                <w:sz w:val="24"/>
                <w:szCs w:val="24"/>
              </w:rPr>
              <w:t>序号</w:t>
            </w:r>
          </w:p>
        </w:tc>
        <w:tc>
          <w:tcPr>
            <w:tcW w:w="628"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default" w:cs="Times New Roman"/>
                <w:b/>
                <w:sz w:val="24"/>
                <w:szCs w:val="24"/>
              </w:rPr>
              <w:t>工程类型</w:t>
            </w:r>
          </w:p>
        </w:tc>
        <w:tc>
          <w:tcPr>
            <w:tcW w:w="856"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default" w:cs="Times New Roman"/>
                <w:b/>
                <w:sz w:val="24"/>
                <w:szCs w:val="24"/>
              </w:rPr>
              <w:t>项目名称</w:t>
            </w:r>
          </w:p>
        </w:tc>
        <w:tc>
          <w:tcPr>
            <w:tcW w:w="1926"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default" w:cs="Times New Roman"/>
                <w:b/>
                <w:sz w:val="24"/>
                <w:szCs w:val="24"/>
              </w:rPr>
              <w:t>项目内容</w:t>
            </w:r>
          </w:p>
        </w:tc>
        <w:tc>
          <w:tcPr>
            <w:tcW w:w="71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eastAsia" w:cs="Times New Roman"/>
                <w:b/>
                <w:sz w:val="24"/>
                <w:szCs w:val="24"/>
                <w:lang w:val="en-US" w:eastAsia="zh-CN"/>
              </w:rPr>
              <w:t>完成</w:t>
            </w:r>
            <w:r>
              <w:rPr>
                <w:rFonts w:hint="default" w:cs="Times New Roman"/>
                <w:b/>
                <w:sz w:val="24"/>
                <w:szCs w:val="24"/>
              </w:rPr>
              <w:t>周期</w:t>
            </w:r>
          </w:p>
        </w:tc>
        <w:tc>
          <w:tcPr>
            <w:tcW w:w="52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default" w:cs="Times New Roman"/>
                <w:b/>
                <w:sz w:val="24"/>
                <w:szCs w:val="24"/>
              </w:rPr>
              <w:t>投资</w:t>
            </w:r>
          </w:p>
          <w:p>
            <w:pPr>
              <w:keepNext w:val="0"/>
              <w:keepLines w:val="0"/>
              <w:suppressLineNumbers w:val="0"/>
              <w:adjustRightInd w:val="0"/>
              <w:snapToGrid w:val="0"/>
              <w:spacing w:before="0" w:beforeAutospacing="0" w:after="0" w:afterAutospacing="0" w:line="240" w:lineRule="auto"/>
              <w:ind w:left="0" w:right="0"/>
              <w:jc w:val="center"/>
              <w:rPr>
                <w:rFonts w:hint="default" w:cs="Times New Roman"/>
                <w:b/>
                <w:sz w:val="24"/>
                <w:szCs w:val="24"/>
              </w:rPr>
            </w:pPr>
            <w:r>
              <w:rPr>
                <w:rFonts w:hint="default" w:cs="Times New Roman"/>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eastAsia" w:cs="Times New Roman"/>
                <w:sz w:val="24"/>
                <w:szCs w:val="24"/>
              </w:rPr>
              <w:t>1</w:t>
            </w:r>
          </w:p>
        </w:tc>
        <w:tc>
          <w:tcPr>
            <w:tcW w:w="628"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能力建设</w:t>
            </w:r>
          </w:p>
        </w:tc>
        <w:tc>
          <w:tcPr>
            <w:tcW w:w="85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cs="Times New Roman"/>
                <w:sz w:val="24"/>
                <w:szCs w:val="24"/>
              </w:rPr>
              <w:t>监管机构</w:t>
            </w:r>
          </w:p>
        </w:tc>
        <w:tc>
          <w:tcPr>
            <w:tcW w:w="192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负责粪污污染防治监管体系的建设与运行、负责改造粪污防治设施建设与改造</w:t>
            </w:r>
          </w:p>
        </w:tc>
        <w:tc>
          <w:tcPr>
            <w:tcW w:w="71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r>
              <w:rPr>
                <w:rFonts w:hint="eastAsia" w:cs="Times New Roman"/>
                <w:sz w:val="24"/>
                <w:szCs w:val="24"/>
                <w:lang w:val="en-US" w:eastAsia="zh-CN"/>
              </w:rPr>
              <w:t>底</w:t>
            </w:r>
          </w:p>
        </w:tc>
        <w:tc>
          <w:tcPr>
            <w:tcW w:w="52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eastAsia" w:cs="Times New Roman"/>
                <w:sz w:val="24"/>
                <w:szCs w:val="24"/>
              </w:rPr>
              <w:t>2</w:t>
            </w:r>
          </w:p>
        </w:tc>
        <w:tc>
          <w:tcPr>
            <w:tcW w:w="628"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能力建设</w:t>
            </w:r>
          </w:p>
        </w:tc>
        <w:tc>
          <w:tcPr>
            <w:tcW w:w="85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cs="Times New Roman"/>
                <w:sz w:val="24"/>
                <w:szCs w:val="24"/>
              </w:rPr>
              <w:t>养殖污染防治体系</w:t>
            </w:r>
          </w:p>
        </w:tc>
        <w:tc>
          <w:tcPr>
            <w:tcW w:w="192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制定粪污防治与资源化利用制度、养殖和污染防治台账制度、养殖管理和审批制度、粪肥产品检测制度</w:t>
            </w:r>
          </w:p>
        </w:tc>
        <w:tc>
          <w:tcPr>
            <w:tcW w:w="71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r>
              <w:rPr>
                <w:rFonts w:hint="eastAsia" w:cs="Times New Roman"/>
                <w:sz w:val="24"/>
                <w:szCs w:val="24"/>
                <w:lang w:val="en-US" w:eastAsia="zh-CN"/>
              </w:rPr>
              <w:t>底</w:t>
            </w:r>
          </w:p>
        </w:tc>
        <w:tc>
          <w:tcPr>
            <w:tcW w:w="52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eastAsia" w:cs="Times New Roman"/>
                <w:sz w:val="24"/>
                <w:szCs w:val="24"/>
              </w:rPr>
              <w:t>3</w:t>
            </w:r>
          </w:p>
        </w:tc>
        <w:tc>
          <w:tcPr>
            <w:tcW w:w="628"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能力建设</w:t>
            </w:r>
          </w:p>
        </w:tc>
        <w:tc>
          <w:tcPr>
            <w:tcW w:w="85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环境质量监管</w:t>
            </w:r>
            <w:r>
              <w:rPr>
                <w:rFonts w:hint="eastAsia" w:cs="Times New Roman"/>
                <w:sz w:val="24"/>
                <w:szCs w:val="24"/>
              </w:rPr>
              <w:t>体系</w:t>
            </w:r>
          </w:p>
        </w:tc>
        <w:tc>
          <w:tcPr>
            <w:tcW w:w="192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配合环境监管部门，定期开展养殖区周边大气、地下水、地表水和土壤的环境质量监测</w:t>
            </w:r>
          </w:p>
        </w:tc>
        <w:tc>
          <w:tcPr>
            <w:tcW w:w="71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r>
              <w:rPr>
                <w:rFonts w:hint="eastAsia" w:cs="Times New Roman"/>
                <w:sz w:val="24"/>
                <w:szCs w:val="24"/>
                <w:lang w:val="en-US" w:eastAsia="zh-CN"/>
              </w:rPr>
              <w:t>底</w:t>
            </w:r>
          </w:p>
        </w:tc>
        <w:tc>
          <w:tcPr>
            <w:tcW w:w="52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eastAsia" w:cs="Times New Roman"/>
                <w:sz w:val="24"/>
                <w:szCs w:val="24"/>
              </w:rPr>
              <w:t>4</w:t>
            </w:r>
          </w:p>
        </w:tc>
        <w:tc>
          <w:tcPr>
            <w:tcW w:w="628"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能力建设</w:t>
            </w:r>
          </w:p>
        </w:tc>
        <w:tc>
          <w:tcPr>
            <w:tcW w:w="85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畜禽养殖信息化管理平台</w:t>
            </w:r>
          </w:p>
        </w:tc>
        <w:tc>
          <w:tcPr>
            <w:tcW w:w="1926"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养殖类别、规模、粪污产生量、清粪方式、水资源利用、粪肥质量、粪肥利用率、养殖区域及周边环境质量、农田土壤质量数据进行管理、统计和分析</w:t>
            </w:r>
          </w:p>
        </w:tc>
        <w:tc>
          <w:tcPr>
            <w:tcW w:w="71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r>
              <w:rPr>
                <w:rFonts w:hint="eastAsia" w:cs="Times New Roman"/>
                <w:sz w:val="24"/>
                <w:szCs w:val="24"/>
                <w:lang w:val="en-US" w:eastAsia="zh-CN"/>
              </w:rPr>
              <w:t>底</w:t>
            </w:r>
          </w:p>
        </w:tc>
        <w:tc>
          <w:tcPr>
            <w:tcW w:w="529"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eastAsia" w:cs="Times New Roman"/>
                <w:sz w:val="24"/>
                <w:szCs w:val="24"/>
              </w:rPr>
              <w:t>100</w:t>
            </w:r>
          </w:p>
        </w:tc>
      </w:tr>
    </w:tbl>
    <w:p>
      <w:pPr>
        <w:pStyle w:val="3"/>
        <w:pageBreakBefore/>
        <w:spacing w:before="381" w:after="381"/>
      </w:pPr>
      <w:bookmarkStart w:id="175" w:name="_Toc19865"/>
      <w:bookmarkStart w:id="176" w:name="_Toc13874"/>
      <w:r>
        <w:rPr>
          <w:rFonts w:hint="eastAsia"/>
        </w:rPr>
        <w:t>第六章 工程估算与资金筹措</w:t>
      </w:r>
      <w:bookmarkEnd w:id="175"/>
      <w:bookmarkEnd w:id="176"/>
    </w:p>
    <w:p>
      <w:pPr>
        <w:pStyle w:val="4"/>
        <w:spacing w:before="190" w:after="190"/>
      </w:pPr>
      <w:bookmarkStart w:id="177" w:name="_Toc28783"/>
      <w:bookmarkStart w:id="178" w:name="_Toc28539"/>
      <w:r>
        <w:t>6</w:t>
      </w:r>
      <w:r>
        <w:rPr>
          <w:rFonts w:hint="eastAsia"/>
        </w:rPr>
        <w:t>.</w:t>
      </w:r>
      <w:r>
        <w:t>1</w:t>
      </w:r>
      <w:r>
        <w:rPr>
          <w:rFonts w:hint="eastAsia"/>
        </w:rPr>
        <w:t xml:space="preserve"> 工程投资估算</w:t>
      </w:r>
      <w:bookmarkEnd w:id="177"/>
      <w:bookmarkEnd w:id="178"/>
    </w:p>
    <w:p>
      <w:pPr>
        <w:pStyle w:val="2"/>
        <w:spacing w:line="360" w:lineRule="auto"/>
      </w:pPr>
      <w:bookmarkStart w:id="179" w:name="_Toc80745595"/>
      <w:bookmarkStart w:id="180" w:name="_Toc7028"/>
      <w:bookmarkStart w:id="181" w:name="_Toc24014"/>
      <w:r>
        <w:t>6</w:t>
      </w:r>
      <w:r>
        <w:rPr>
          <w:rFonts w:hint="eastAsia"/>
        </w:rPr>
        <w:t>.</w:t>
      </w:r>
      <w:r>
        <w:t>1</w:t>
      </w:r>
      <w:r>
        <w:rPr>
          <w:rFonts w:hint="eastAsia"/>
        </w:rPr>
        <w:t>.</w:t>
      </w:r>
      <w:r>
        <w:t>1</w:t>
      </w:r>
      <w:r>
        <w:rPr>
          <w:rFonts w:hint="eastAsia"/>
        </w:rPr>
        <w:t>畜禽养殖场户粪污处理设施建设工程投资估算</w:t>
      </w:r>
      <w:bookmarkEnd w:id="179"/>
      <w:bookmarkEnd w:id="180"/>
      <w:bookmarkEnd w:id="181"/>
    </w:p>
    <w:p>
      <w:pPr>
        <w:ind w:firstLine="560" w:firstLineChars="200"/>
      </w:pPr>
      <w:r>
        <w:rPr>
          <w:rFonts w:hint="eastAsia"/>
        </w:rPr>
        <w:t>规模养殖场配套设施</w:t>
      </w:r>
      <w:r>
        <w:rPr>
          <w:rFonts w:hint="eastAsia" w:ascii="仿宋" w:hAnsi="仿宋"/>
        </w:rPr>
        <w:t>已经建设完毕，</w:t>
      </w:r>
      <w:r>
        <w:rPr>
          <w:rFonts w:hint="eastAsia"/>
        </w:rPr>
        <w:t>规模以下养殖户配套设施需建设污水池</w:t>
      </w:r>
      <w:r>
        <w:rPr>
          <w:rFonts w:hint="eastAsia"/>
          <w:lang w:val="en-US" w:eastAsia="zh-CN"/>
        </w:rPr>
        <w:t>22971.1</w:t>
      </w:r>
      <w:r>
        <w:rPr>
          <w:rFonts w:hint="eastAsia"/>
        </w:rPr>
        <w:t xml:space="preserve"> m</w:t>
      </w:r>
      <w:r>
        <w:rPr>
          <w:vertAlign w:val="superscript"/>
        </w:rPr>
        <w:t>3</w:t>
      </w:r>
      <w:r>
        <w:rPr>
          <w:rFonts w:hint="eastAsia"/>
        </w:rPr>
        <w:t>，粪污暂存设施</w:t>
      </w:r>
      <w:r>
        <w:rPr>
          <w:rFonts w:hint="eastAsia"/>
          <w:lang w:val="en-US" w:eastAsia="zh-CN"/>
        </w:rPr>
        <w:t>14711</w:t>
      </w:r>
      <w:r>
        <w:rPr>
          <w:rFonts w:hint="eastAsia"/>
        </w:rPr>
        <w:t xml:space="preserve"> m</w:t>
      </w:r>
      <w:r>
        <w:rPr>
          <w:rFonts w:hint="eastAsia"/>
          <w:vertAlign w:val="superscript"/>
        </w:rPr>
        <w:t>3</w:t>
      </w:r>
      <w:r>
        <w:rPr>
          <w:rFonts w:hint="eastAsia"/>
        </w:rPr>
        <w:t>，污水池投资</w:t>
      </w:r>
      <w:r>
        <w:rPr>
          <w:rFonts w:hint="eastAsia"/>
          <w:lang w:val="en-US" w:eastAsia="zh-CN"/>
        </w:rPr>
        <w:t>2347.95</w:t>
      </w:r>
      <w:r>
        <w:rPr>
          <w:rFonts w:hint="eastAsia"/>
        </w:rPr>
        <w:t>万元，粪污暂存设施</w:t>
      </w:r>
      <w:r>
        <w:rPr>
          <w:rFonts w:hint="eastAsia"/>
          <w:lang w:val="en-US" w:eastAsia="zh-CN"/>
        </w:rPr>
        <w:t>949.92</w:t>
      </w:r>
      <w:r>
        <w:rPr>
          <w:rFonts w:hint="eastAsia"/>
        </w:rPr>
        <w:t>万元，共计</w:t>
      </w:r>
      <w:r>
        <w:rPr>
          <w:rFonts w:hint="eastAsia"/>
          <w:lang w:val="en-US" w:eastAsia="zh-CN"/>
        </w:rPr>
        <w:t>3297.87</w:t>
      </w:r>
      <w:r>
        <w:rPr>
          <w:rFonts w:hint="eastAsia"/>
        </w:rPr>
        <w:t>万元。</w:t>
      </w:r>
    </w:p>
    <w:p>
      <w:pPr>
        <w:pStyle w:val="2"/>
        <w:spacing w:line="360" w:lineRule="auto"/>
      </w:pPr>
      <w:bookmarkStart w:id="182" w:name="_Toc1823"/>
      <w:bookmarkStart w:id="183" w:name="_Toc80745598"/>
      <w:bookmarkStart w:id="184" w:name="_Toc15897"/>
      <w:r>
        <w:t>6</w:t>
      </w:r>
      <w:r>
        <w:rPr>
          <w:rFonts w:hint="eastAsia"/>
        </w:rPr>
        <w:t>.</w:t>
      </w:r>
      <w:r>
        <w:t>1</w:t>
      </w:r>
      <w:r>
        <w:rPr>
          <w:rFonts w:hint="eastAsia"/>
        </w:rPr>
        <w:t>.</w:t>
      </w:r>
      <w:r>
        <w:rPr>
          <w:rFonts w:hint="eastAsia"/>
          <w:lang w:val="en-US" w:eastAsia="zh-CN"/>
        </w:rPr>
        <w:t>2</w:t>
      </w:r>
      <w:r>
        <w:rPr>
          <w:rFonts w:hint="eastAsia"/>
        </w:rPr>
        <w:t xml:space="preserve"> 监管体系建设工程投资估算</w:t>
      </w:r>
      <w:bookmarkEnd w:id="182"/>
      <w:bookmarkEnd w:id="183"/>
      <w:bookmarkEnd w:id="184"/>
    </w:p>
    <w:p>
      <w:pPr>
        <w:ind w:firstLine="560" w:firstLineChars="200"/>
      </w:pPr>
      <w:r>
        <w:rPr>
          <w:rFonts w:hint="eastAsia"/>
        </w:rPr>
        <w:t>根据粪污处理利用需求，</w:t>
      </w:r>
      <w:r>
        <w:rPr>
          <w:rFonts w:hint="eastAsia"/>
          <w:lang w:eastAsia="zh-CN"/>
        </w:rPr>
        <w:t>巴州区</w:t>
      </w:r>
      <w:r>
        <w:rPr>
          <w:rFonts w:hint="eastAsia"/>
        </w:rPr>
        <w:t>进行畜禽</w:t>
      </w:r>
      <w:r>
        <w:t>粪污</w:t>
      </w:r>
      <w:r>
        <w:rPr>
          <w:rFonts w:hint="eastAsia"/>
        </w:rPr>
        <w:t>监管体系建设工程，工程</w:t>
      </w:r>
      <w:r>
        <w:t>总投资估算</w:t>
      </w:r>
      <w:r>
        <w:rPr>
          <w:rFonts w:hint="eastAsia"/>
        </w:rPr>
        <w:t>1</w:t>
      </w:r>
      <w:r>
        <w:t>00</w:t>
      </w:r>
      <w:r>
        <w:rPr>
          <w:rFonts w:hint="eastAsia"/>
        </w:rPr>
        <w:t>万元。</w:t>
      </w:r>
    </w:p>
    <w:p>
      <w:pPr>
        <w:pStyle w:val="2"/>
        <w:spacing w:line="360" w:lineRule="auto"/>
      </w:pPr>
      <w:bookmarkStart w:id="185" w:name="_Toc4141"/>
      <w:bookmarkStart w:id="186" w:name="_Toc9678"/>
      <w:r>
        <w:t>6</w:t>
      </w:r>
      <w:r>
        <w:rPr>
          <w:rFonts w:hint="eastAsia"/>
        </w:rPr>
        <w:t>.</w:t>
      </w:r>
      <w:r>
        <w:t>1</w:t>
      </w:r>
      <w:r>
        <w:rPr>
          <w:rFonts w:hint="eastAsia"/>
        </w:rPr>
        <w:t>.</w:t>
      </w:r>
      <w:r>
        <w:rPr>
          <w:rFonts w:hint="eastAsia"/>
          <w:lang w:val="en-US" w:eastAsia="zh-CN"/>
        </w:rPr>
        <w:t>3</w:t>
      </w:r>
      <w:r>
        <w:rPr>
          <w:rFonts w:hint="eastAsia"/>
        </w:rPr>
        <w:t xml:space="preserve"> 工程总投资估算</w:t>
      </w:r>
      <w:bookmarkEnd w:id="185"/>
      <w:bookmarkEnd w:id="186"/>
    </w:p>
    <w:p>
      <w:pPr>
        <w:ind w:firstLine="560" w:firstLineChars="200"/>
      </w:pPr>
      <w:r>
        <w:rPr>
          <w:rFonts w:hint="eastAsia"/>
          <w:lang w:eastAsia="zh-CN"/>
        </w:rPr>
        <w:t>巴州区</w:t>
      </w:r>
      <w:r>
        <w:rPr>
          <w:rFonts w:hint="eastAsia"/>
        </w:rPr>
        <w:t>畜禽养殖污染防治工程总投资包括畜禽粪污处理利用工程和监管体系建设工程。</w:t>
      </w:r>
    </w:p>
    <w:p>
      <w:pPr>
        <w:ind w:firstLine="560" w:firstLineChars="200"/>
      </w:pPr>
      <w:r>
        <w:rPr>
          <w:rFonts w:hint="eastAsia"/>
        </w:rPr>
        <w:t>考虑到畜禽养殖的十四五规划养殖场户建设期的前期决策、设计变更、贷款期利息等因素，按工程造价构成要素，在重点工程总估算基础上，设置约10%的预备费（即不可预见费）。</w:t>
      </w:r>
    </w:p>
    <w:p>
      <w:pPr>
        <w:ind w:firstLine="560" w:firstLineChars="200"/>
        <w:rPr>
          <w:rFonts w:ascii="仿宋" w:hAnsi="仿宋"/>
        </w:rPr>
      </w:pPr>
      <w:r>
        <w:rPr>
          <w:rFonts w:hint="eastAsia" w:ascii="仿宋" w:hAnsi="仿宋"/>
        </w:rPr>
        <w:t>投资估算说明：</w:t>
      </w:r>
    </w:p>
    <w:p>
      <w:pPr>
        <w:ind w:firstLine="560" w:firstLineChars="200"/>
        <w:rPr>
          <w:rFonts w:ascii="仿宋" w:hAnsi="仿宋"/>
        </w:rPr>
      </w:pPr>
      <w:r>
        <w:rPr>
          <w:rFonts w:hint="eastAsia" w:ascii="仿宋" w:hAnsi="仿宋"/>
        </w:rPr>
        <w:t>（1）土建费用按估算指标估算，工程造价包括池体、基础、防渗层、围墙、防雨棚、污水导流明渠等各单项工程总价。</w:t>
      </w:r>
    </w:p>
    <w:p>
      <w:pPr>
        <w:ind w:firstLine="560" w:firstLineChars="200"/>
        <w:rPr>
          <w:rFonts w:ascii="仿宋" w:hAnsi="仿宋"/>
        </w:rPr>
      </w:pPr>
      <w:r>
        <w:rPr>
          <w:rFonts w:hint="eastAsia" w:ascii="仿宋" w:hAnsi="仿宋"/>
        </w:rPr>
        <w:t>（2）不包括场地准备费、征地费等。</w:t>
      </w:r>
    </w:p>
    <w:p>
      <w:pPr>
        <w:ind w:firstLine="560" w:firstLineChars="200"/>
        <w:rPr>
          <w:rFonts w:ascii="仿宋" w:hAnsi="仿宋"/>
        </w:rPr>
      </w:pPr>
      <w:r>
        <w:rPr>
          <w:rFonts w:hint="eastAsia" w:ascii="仿宋" w:hAnsi="仿宋"/>
        </w:rPr>
        <w:t>（3）监管体系平台建设费含税金、运费。</w:t>
      </w:r>
    </w:p>
    <w:p>
      <w:pPr>
        <w:ind w:firstLine="560" w:firstLineChars="200"/>
        <w:rPr>
          <w:rFonts w:ascii="仿宋" w:hAnsi="仿宋"/>
        </w:rPr>
      </w:pPr>
      <w:r>
        <w:rPr>
          <w:rFonts w:hint="eastAsia" w:ascii="仿宋" w:hAnsi="仿宋"/>
        </w:rPr>
        <w:t>（4）预备费包括</w:t>
      </w:r>
      <w:r>
        <w:rPr>
          <w:rFonts w:hint="eastAsia"/>
        </w:rPr>
        <w:t>建设期的前期决策、设计变更、贷款期利息等。</w:t>
      </w:r>
    </w:p>
    <w:p>
      <w:pPr>
        <w:pStyle w:val="4"/>
        <w:spacing w:before="190" w:after="190"/>
      </w:pPr>
      <w:bookmarkStart w:id="187" w:name="_Toc27912"/>
      <w:bookmarkStart w:id="188" w:name="_Toc8925"/>
      <w:r>
        <w:t>6</w:t>
      </w:r>
      <w:r>
        <w:rPr>
          <w:rFonts w:hint="eastAsia"/>
        </w:rPr>
        <w:t>.</w:t>
      </w:r>
      <w:r>
        <w:t>2</w:t>
      </w:r>
      <w:r>
        <w:rPr>
          <w:rFonts w:hint="eastAsia"/>
        </w:rPr>
        <w:t xml:space="preserve"> 资金筹措</w:t>
      </w:r>
      <w:bookmarkEnd w:id="187"/>
      <w:bookmarkEnd w:id="188"/>
    </w:p>
    <w:p>
      <w:pPr>
        <w:ind w:firstLine="560" w:firstLineChars="200"/>
      </w:pPr>
      <w:r>
        <w:rPr>
          <w:rFonts w:hint="eastAsia"/>
        </w:rPr>
        <w:t>资金包括重点工程建设资金和运维资金。</w:t>
      </w:r>
    </w:p>
    <w:p>
      <w:pPr>
        <w:ind w:firstLine="560" w:firstLineChars="200"/>
      </w:pPr>
      <w:r>
        <w:rPr>
          <w:rFonts w:hint="eastAsia"/>
        </w:rPr>
        <w:t>资金筹措方案如下：</w:t>
      </w:r>
    </w:p>
    <w:p>
      <w:pPr>
        <w:ind w:firstLine="562" w:firstLineChars="200"/>
        <w:rPr>
          <w:rFonts w:ascii="仿宋" w:hAnsi="仿宋" w:cs="仿宋"/>
          <w:b/>
          <w:szCs w:val="28"/>
        </w:rPr>
      </w:pPr>
      <w:r>
        <w:rPr>
          <w:rFonts w:hint="eastAsia" w:ascii="仿宋" w:hAnsi="仿宋" w:cs="仿宋"/>
          <w:b/>
          <w:szCs w:val="28"/>
        </w:rPr>
        <w:t>（1）建设工程费筹措</w:t>
      </w:r>
    </w:p>
    <w:p>
      <w:pPr>
        <w:ind w:firstLine="560" w:firstLineChars="200"/>
        <w:rPr>
          <w:rFonts w:ascii="仿宋" w:hAnsi="仿宋" w:cs="仿宋"/>
          <w:szCs w:val="28"/>
        </w:rPr>
      </w:pPr>
      <w:r>
        <w:rPr>
          <w:rFonts w:hint="eastAsia" w:ascii="仿宋" w:hAnsi="仿宋" w:cs="仿宋"/>
          <w:szCs w:val="28"/>
          <w:lang w:eastAsia="zh-CN"/>
        </w:rPr>
        <w:t>巴州区</w:t>
      </w:r>
      <w:r>
        <w:rPr>
          <w:rFonts w:hint="eastAsia" w:ascii="仿宋" w:hAnsi="仿宋" w:cs="仿宋"/>
          <w:szCs w:val="28"/>
        </w:rPr>
        <w:t>畜禽养殖污染防治依据“谁污染谁治理”原则，建设投资以养殖场（户）自筹为主，</w:t>
      </w:r>
      <w:r>
        <w:rPr>
          <w:rFonts w:hint="eastAsia"/>
        </w:rPr>
        <w:t>国家基本建设投资拨款、地方财政拨款、其他部门委托贷款、银行贷款以及</w:t>
      </w:r>
      <w:r>
        <w:rPr>
          <w:rFonts w:hint="eastAsia" w:ascii="仿宋" w:hAnsi="仿宋" w:cs="仿宋"/>
          <w:szCs w:val="28"/>
        </w:rPr>
        <w:t>政府补贴为辅。同时，将粪污资源化利用进行市场化运作，引入第三方投入资金，建设粪污资源化有机肥厂。</w:t>
      </w:r>
    </w:p>
    <w:p>
      <w:pPr>
        <w:ind w:firstLine="562" w:firstLineChars="200"/>
        <w:rPr>
          <w:rFonts w:ascii="仿宋" w:hAnsi="仿宋" w:cs="仿宋"/>
          <w:b/>
          <w:szCs w:val="28"/>
        </w:rPr>
      </w:pPr>
      <w:r>
        <w:rPr>
          <w:rFonts w:hint="eastAsia" w:ascii="仿宋" w:hAnsi="仿宋" w:cs="仿宋"/>
          <w:b/>
          <w:szCs w:val="28"/>
        </w:rPr>
        <w:t>（2）运维资金筹措</w:t>
      </w:r>
    </w:p>
    <w:p>
      <w:pPr>
        <w:ind w:firstLine="560" w:firstLineChars="200"/>
      </w:pPr>
      <w:r>
        <w:rPr>
          <w:rFonts w:hint="eastAsia"/>
        </w:rPr>
        <w:t>运维资金来源主要有三个方面：一是自筹，二是地方政府补贴，三是市场化运作第三方出资运维管理。</w:t>
      </w:r>
    </w:p>
    <w:p>
      <w:pPr>
        <w:ind w:firstLine="560" w:firstLineChars="200"/>
      </w:pPr>
    </w:p>
    <w:p>
      <w:pPr>
        <w:ind w:firstLine="560" w:firstLineChars="200"/>
        <w:sectPr>
          <w:type w:val="continuous"/>
          <w:pgSz w:w="11906" w:h="16838"/>
          <w:pgMar w:top="1440" w:right="1797" w:bottom="1440" w:left="1797" w:header="851" w:footer="992" w:gutter="0"/>
          <w:cols w:space="425" w:num="1"/>
          <w:docGrid w:type="lines" w:linePitch="381" w:charSpace="0"/>
        </w:sectPr>
      </w:pPr>
    </w:p>
    <w:p>
      <w:pPr>
        <w:pStyle w:val="57"/>
        <w:spacing w:before="190" w:after="190"/>
        <w:ind w:left="2240" w:firstLine="0"/>
        <w:rPr>
          <w:rFonts w:eastAsia="仿宋"/>
        </w:rPr>
      </w:pPr>
      <w:r>
        <w:rPr>
          <w:rFonts w:eastAsia="仿宋"/>
        </w:rPr>
        <w:t>表6-1-</w:t>
      </w:r>
      <w:r>
        <w:rPr>
          <w:rFonts w:hint="eastAsia" w:eastAsia="仿宋"/>
        </w:rPr>
        <w:t>1</w:t>
      </w:r>
      <w:r>
        <w:rPr>
          <w:rFonts w:hint="eastAsia" w:eastAsia="仿宋"/>
          <w:lang w:eastAsia="zh-CN"/>
        </w:rPr>
        <w:t>区</w:t>
      </w:r>
      <w:r>
        <w:rPr>
          <w:rFonts w:hint="eastAsia" w:ascii="仿宋" w:hAnsi="仿宋" w:eastAsia="仿宋" w:cs="仿宋"/>
        </w:rPr>
        <w:t>畜禽养殖污染防治工程总投资估算清单</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94"/>
        <w:gridCol w:w="1997"/>
        <w:gridCol w:w="3217"/>
        <w:gridCol w:w="2474"/>
        <w:gridCol w:w="1268"/>
        <w:gridCol w:w="1455"/>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序号</w:t>
            </w:r>
          </w:p>
        </w:tc>
        <w:tc>
          <w:tcPr>
            <w:tcW w:w="421"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工程类型</w:t>
            </w:r>
          </w:p>
        </w:tc>
        <w:tc>
          <w:tcPr>
            <w:tcW w:w="704"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项目名称</w:t>
            </w:r>
          </w:p>
        </w:tc>
        <w:tc>
          <w:tcPr>
            <w:tcW w:w="1134"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项目内容</w:t>
            </w:r>
          </w:p>
        </w:tc>
        <w:tc>
          <w:tcPr>
            <w:tcW w:w="872"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建设地点</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eastAsia" w:cs="Times New Roman"/>
                <w:b/>
                <w:bCs/>
                <w:sz w:val="24"/>
                <w:szCs w:val="24"/>
                <w:lang w:val="en-US" w:eastAsia="zh-CN"/>
              </w:rPr>
              <w:t>完成</w:t>
            </w:r>
            <w:r>
              <w:rPr>
                <w:rFonts w:hint="default" w:cs="Times New Roman"/>
                <w:b/>
                <w:bCs/>
                <w:sz w:val="24"/>
                <w:szCs w:val="24"/>
              </w:rPr>
              <w:t>周期</w:t>
            </w:r>
          </w:p>
        </w:tc>
        <w:tc>
          <w:tcPr>
            <w:tcW w:w="513"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投资（万元）</w:t>
            </w:r>
          </w:p>
        </w:tc>
        <w:tc>
          <w:tcPr>
            <w:tcW w:w="665"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1</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规模以下养殖户粪污防治设施</w:t>
            </w:r>
          </w:p>
        </w:tc>
        <w:tc>
          <w:tcPr>
            <w:tcW w:w="704" w:type="pct"/>
            <w:vAlign w:val="center"/>
          </w:tcPr>
          <w:p>
            <w:pPr>
              <w:keepNext w:val="0"/>
              <w:keepLines w:val="0"/>
              <w:suppressLineNumbers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粪污治理设施提升项目</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color w:val="000000" w:themeColor="text1"/>
                <w:sz w:val="24"/>
                <w:szCs w:val="24"/>
                <w14:textFill>
                  <w14:solidFill>
                    <w14:schemeClr w14:val="tx1"/>
                  </w14:solidFill>
                </w14:textFill>
              </w:rPr>
            </w:pPr>
            <w:r>
              <w:rPr>
                <w:rFonts w:hint="default" w:cs="Times New Roman"/>
                <w:color w:val="000000" w:themeColor="text1"/>
                <w:sz w:val="24"/>
                <w:szCs w:val="24"/>
                <w14:textFill>
                  <w14:solidFill>
                    <w14:schemeClr w14:val="tx1"/>
                  </w14:solidFill>
                </w14:textFill>
              </w:rPr>
              <w:t>对</w:t>
            </w:r>
            <w:r>
              <w:rPr>
                <w:rFonts w:hint="eastAsia" w:cs="Times New Roman"/>
                <w:color w:val="000000" w:themeColor="text1"/>
                <w:sz w:val="24"/>
                <w:szCs w:val="24"/>
                <w:lang w:val="en-US" w:eastAsia="zh-CN"/>
                <w14:textFill>
                  <w14:solidFill>
                    <w14:schemeClr w14:val="tx1"/>
                  </w14:solidFill>
                </w14:textFill>
              </w:rPr>
              <w:t>160家</w:t>
            </w:r>
            <w:r>
              <w:rPr>
                <w:rFonts w:hint="default" w:cs="Times New Roman"/>
                <w:color w:val="000000" w:themeColor="text1"/>
                <w:sz w:val="24"/>
                <w:szCs w:val="24"/>
                <w14:textFill>
                  <w14:solidFill>
                    <w14:schemeClr w14:val="tx1"/>
                  </w14:solidFill>
                </w14:textFill>
              </w:rPr>
              <w:t>规模以下养殖户粪污防治设施升级改造，配套雨污分流设施。</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default" w:ascii="仿宋" w:hAnsi="仿宋" w:cs="Times New Roman"/>
                <w:color w:val="000000" w:themeColor="text1"/>
                <w:sz w:val="24"/>
                <w:szCs w:val="24"/>
                <w:lang w:eastAsia="zh-CN"/>
                <w14:textFill>
                  <w14:solidFill>
                    <w14:schemeClr w14:val="tx1"/>
                  </w14:solidFill>
                </w14:textFill>
              </w:rPr>
              <w:t>化成镇、光辉镇、凤溪镇、天马山镇、枣林镇、清江镇、三江镇、平梁镇、水宁寺镇、梁永镇、鼎山镇、曾口镇、大茅坪镇</w:t>
            </w:r>
            <w:r>
              <w:rPr>
                <w:rFonts w:hint="default" w:ascii="仿宋" w:hAnsi="仿宋" w:cs="Times New Roman"/>
                <w:color w:val="000000" w:themeColor="text1"/>
                <w:sz w:val="24"/>
                <w:szCs w:val="24"/>
                <w14:textFill>
                  <w14:solidFill>
                    <w14:schemeClr w14:val="tx1"/>
                  </w14:solidFill>
                </w14:textFill>
              </w:rPr>
              <w:t>、</w:t>
            </w:r>
            <w:r>
              <w:rPr>
                <w:rFonts w:hint="default" w:ascii="仿宋" w:hAnsi="仿宋" w:cs="Times New Roman"/>
                <w:color w:val="000000" w:themeColor="text1"/>
                <w:sz w:val="24"/>
                <w:szCs w:val="24"/>
                <w:lang w:val="en-US" w:eastAsia="zh-CN"/>
                <w14:textFill>
                  <w14:solidFill>
                    <w14:schemeClr w14:val="tx1"/>
                  </w14:solidFill>
                </w14:textFill>
              </w:rPr>
              <w:t>大和乡、白庙乡</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r>
              <w:rPr>
                <w:rFonts w:hint="eastAsia" w:cs="Times New Roman"/>
                <w:sz w:val="24"/>
                <w:szCs w:val="24"/>
                <w:lang w:val="en-US" w:eastAsia="zh-CN"/>
              </w:rPr>
              <w:t>底</w:t>
            </w:r>
          </w:p>
        </w:tc>
        <w:tc>
          <w:tcPr>
            <w:tcW w:w="217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eastAsia="仿宋" w:cs="Times New Roman"/>
                <w:sz w:val="24"/>
                <w:szCs w:val="24"/>
                <w:lang w:val="en-US" w:eastAsia="zh-CN"/>
              </w:rPr>
            </w:pPr>
            <w:r>
              <w:rPr>
                <w:rFonts w:hint="eastAsia" w:cs="Times New Roman"/>
                <w:sz w:val="24"/>
                <w:szCs w:val="24"/>
                <w:lang w:val="en-US" w:eastAsia="zh-CN"/>
              </w:rPr>
              <w:t>3297.87</w:t>
            </w:r>
          </w:p>
        </w:tc>
        <w:tc>
          <w:tcPr>
            <w:tcW w:w="665"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ascii="仿宋" w:hAnsi="仿宋" w:cs="Times New Roman"/>
                <w:color w:val="000000" w:themeColor="text1"/>
                <w:sz w:val="24"/>
                <w:szCs w:val="24"/>
                <w14:textFill>
                  <w14:solidFill>
                    <w14:schemeClr w14:val="tx1"/>
                  </w14:solidFill>
                </w14:textFill>
              </w:rPr>
              <w:t>各乡镇</w:t>
            </w:r>
            <w:r>
              <w:rPr>
                <w:rFonts w:hint="eastAsia" w:ascii="仿宋" w:hAnsi="仿宋" w:cs="Times New Roman"/>
                <w:color w:val="000000" w:themeColor="text1"/>
                <w:sz w:val="24"/>
                <w:szCs w:val="24"/>
                <w:lang w:val="en-US" w:eastAsia="zh-CN"/>
                <w14:textFill>
                  <w14:solidFill>
                    <w14:schemeClr w14:val="tx1"/>
                  </w14:solidFill>
                </w14:textFill>
              </w:rPr>
              <w:t>环保办</w:t>
            </w:r>
            <w:r>
              <w:rPr>
                <w:rFonts w:hint="default" w:ascii="仿宋" w:hAnsi="仿宋" w:cs="Times New Roman"/>
                <w:color w:val="000000" w:themeColor="text1"/>
                <w:sz w:val="24"/>
                <w:szCs w:val="24"/>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eastAsia" w:eastAsia="仿宋" w:cs="Times New Roman"/>
                <w:sz w:val="24"/>
                <w:szCs w:val="24"/>
                <w:lang w:eastAsia="zh-CN"/>
              </w:rPr>
            </w:pPr>
            <w:r>
              <w:rPr>
                <w:rFonts w:hint="eastAsia" w:cs="Times New Roman"/>
                <w:sz w:val="24"/>
                <w:szCs w:val="24"/>
                <w:lang w:val="en-US" w:eastAsia="zh-CN"/>
              </w:rPr>
              <w:t>2</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cs="Times New Roman"/>
                <w:sz w:val="24"/>
                <w:szCs w:val="24"/>
              </w:rPr>
              <w:t>监管系统建设</w:t>
            </w:r>
          </w:p>
        </w:tc>
        <w:tc>
          <w:tcPr>
            <w:tcW w:w="70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区</w:t>
            </w:r>
            <w:r>
              <w:rPr>
                <w:rFonts w:hint="eastAsia" w:ascii="仿宋" w:hAnsi="仿宋" w:cs="Times New Roman"/>
                <w:color w:val="000000" w:themeColor="text1"/>
                <w:sz w:val="24"/>
                <w:szCs w:val="24"/>
                <w14:textFill>
                  <w14:solidFill>
                    <w14:schemeClr w14:val="tx1"/>
                  </w14:solidFill>
                </w14:textFill>
              </w:rPr>
              <w:t>畜禽养殖污染防治</w:t>
            </w:r>
            <w:r>
              <w:rPr>
                <w:rFonts w:hint="default" w:ascii="仿宋" w:hAnsi="仿宋" w:cs="Times New Roman"/>
                <w:color w:val="000000" w:themeColor="text1"/>
                <w:sz w:val="24"/>
                <w:szCs w:val="24"/>
                <w14:textFill>
                  <w14:solidFill>
                    <w14:schemeClr w14:val="tx1"/>
                  </w14:solidFill>
                </w14:textFill>
              </w:rPr>
              <w:t>信息化</w:t>
            </w:r>
            <w:r>
              <w:rPr>
                <w:rFonts w:hint="eastAsia" w:ascii="仿宋" w:hAnsi="仿宋" w:cs="Times New Roman"/>
                <w:color w:val="000000" w:themeColor="text1"/>
                <w:sz w:val="24"/>
                <w:szCs w:val="24"/>
                <w14:textFill>
                  <w14:solidFill>
                    <w14:schemeClr w14:val="tx1"/>
                  </w14:solidFill>
                </w14:textFill>
              </w:rPr>
              <w:t>监管平台</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ascii="仿宋" w:hAnsi="仿宋" w:cs="Times New Roman"/>
                <w:color w:val="000000" w:themeColor="text1"/>
                <w:sz w:val="24"/>
                <w:szCs w:val="24"/>
                <w14:textFill>
                  <w14:solidFill>
                    <w14:schemeClr w14:val="tx1"/>
                  </w14:solidFill>
                </w14:textFill>
              </w:rPr>
              <w:t>建设区畜禽</w:t>
            </w:r>
            <w:r>
              <w:rPr>
                <w:rFonts w:hint="default" w:ascii="仿宋" w:hAnsi="仿宋" w:cs="Times New Roman"/>
                <w:color w:val="000000" w:themeColor="text1"/>
                <w:sz w:val="24"/>
                <w:szCs w:val="24"/>
                <w14:textFill>
                  <w14:solidFill>
                    <w14:schemeClr w14:val="tx1"/>
                  </w14:solidFill>
                </w14:textFill>
              </w:rPr>
              <w:t>养殖信息、污染防治信息、</w:t>
            </w:r>
            <w:r>
              <w:rPr>
                <w:rFonts w:hint="eastAsia" w:ascii="仿宋" w:hAnsi="仿宋" w:cs="Times New Roman"/>
                <w:color w:val="000000" w:themeColor="text1"/>
                <w:sz w:val="24"/>
                <w:szCs w:val="24"/>
                <w14:textFill>
                  <w14:solidFill>
                    <w14:schemeClr w14:val="tx1"/>
                  </w14:solidFill>
                </w14:textFill>
              </w:rPr>
              <w:t>管理信息</w:t>
            </w:r>
            <w:r>
              <w:rPr>
                <w:rFonts w:hint="default" w:ascii="仿宋" w:hAnsi="仿宋" w:cs="Times New Roman"/>
                <w:color w:val="000000" w:themeColor="text1"/>
                <w:sz w:val="24"/>
                <w:szCs w:val="24"/>
                <w14:textFill>
                  <w14:solidFill>
                    <w14:schemeClr w14:val="tx1"/>
                  </w14:solidFill>
                </w14:textFill>
              </w:rPr>
              <w:t>等综合管理信息平台</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sz w:val="24"/>
                <w:szCs w:val="24"/>
                <w:lang w:val="en-US" w:eastAsia="zh-CN"/>
              </w:rPr>
            </w:pPr>
            <w:r>
              <w:rPr>
                <w:rFonts w:hint="eastAsia" w:cs="Times New Roman"/>
                <w:sz w:val="24"/>
                <w:szCs w:val="24"/>
                <w:lang w:val="en-US" w:eastAsia="zh-CN"/>
              </w:rPr>
              <w:t>/</w:t>
            </w:r>
          </w:p>
        </w:tc>
        <w:tc>
          <w:tcPr>
            <w:tcW w:w="447"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r>
              <w:rPr>
                <w:rFonts w:hint="eastAsia" w:cs="Times New Roman"/>
                <w:sz w:val="24"/>
                <w:szCs w:val="24"/>
                <w:lang w:val="en-US" w:eastAsia="zh-CN"/>
              </w:rPr>
              <w:t>底</w:t>
            </w:r>
          </w:p>
        </w:tc>
        <w:tc>
          <w:tcPr>
            <w:tcW w:w="2172" w:type="dxa"/>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s="Times New Roman"/>
                <w:sz w:val="24"/>
                <w:szCs w:val="24"/>
              </w:rPr>
            </w:pPr>
            <w:r>
              <w:rPr>
                <w:rFonts w:hint="eastAsia" w:cs="Times New Roman"/>
                <w:sz w:val="24"/>
                <w:szCs w:val="24"/>
              </w:rPr>
              <w:t>1</w:t>
            </w:r>
            <w:r>
              <w:rPr>
                <w:rFonts w:hint="default" w:cs="Times New Roman"/>
                <w:sz w:val="24"/>
                <w:szCs w:val="24"/>
              </w:rPr>
              <w:t>00</w:t>
            </w:r>
          </w:p>
        </w:tc>
        <w:tc>
          <w:tcPr>
            <w:tcW w:w="665" w:type="pct"/>
            <w:shd w:val="clear" w:color="auto" w:fill="auto"/>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lang w:val="en-US" w:eastAsia="zh-CN"/>
              </w:rPr>
            </w:pPr>
            <w:r>
              <w:rPr>
                <w:rFonts w:hint="eastAsia" w:cs="Times New Roman"/>
                <w:sz w:val="24"/>
                <w:szCs w:val="24"/>
                <w:lang w:val="en-US" w:eastAsia="zh-CN"/>
              </w:rPr>
              <w:t>3</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粪污集中处理中心</w:t>
            </w:r>
          </w:p>
        </w:tc>
        <w:tc>
          <w:tcPr>
            <w:tcW w:w="704" w:type="pct"/>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kern w:val="2"/>
                <w:sz w:val="24"/>
                <w:szCs w:val="24"/>
                <w:lang w:val="en-US" w:eastAsia="zh-CN" w:bidi="ar-SA"/>
              </w:rPr>
            </w:pPr>
            <w:r>
              <w:rPr>
                <w:rFonts w:hint="default" w:cs="Times New Roman"/>
                <w:color w:val="000000" w:themeColor="text1"/>
                <w:sz w:val="24"/>
                <w:szCs w:val="24"/>
                <w14:textFill>
                  <w14:solidFill>
                    <w14:schemeClr w14:val="tx1"/>
                  </w14:solidFill>
                </w14:textFill>
              </w:rPr>
              <w:t>粪污处理设施提升项目</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default" w:cs="Times New Roman"/>
                <w:color w:val="000000" w:themeColor="text1"/>
                <w:sz w:val="24"/>
                <w:szCs w:val="24"/>
                <w14:textFill>
                  <w14:solidFill>
                    <w14:schemeClr w14:val="tx1"/>
                  </w14:solidFill>
                </w14:textFill>
              </w:rPr>
              <w:t>对乡镇畜禽粪污进行收集、集中处理和转运。</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cs="Times New Roman"/>
                <w:color w:val="000000" w:themeColor="text1"/>
                <w:sz w:val="24"/>
                <w:szCs w:val="24"/>
                <w:lang w:eastAsia="zh-CN"/>
                <w14:textFill>
                  <w14:solidFill>
                    <w14:schemeClr w14:val="tx1"/>
                  </w14:solidFill>
                </w14:textFill>
              </w:rPr>
              <w:t>鼎山镇</w:t>
            </w:r>
            <w:r>
              <w:rPr>
                <w:rFonts w:hint="default" w:ascii="仿宋" w:hAnsi="仿宋" w:cs="Times New Roman"/>
                <w:color w:val="000000" w:themeColor="text1"/>
                <w:sz w:val="24"/>
                <w:szCs w:val="24"/>
                <w14:textFill>
                  <w14:solidFill>
                    <w14:schemeClr w14:val="tx1"/>
                  </w14:solidFill>
                </w14:textFill>
              </w:rPr>
              <w:t>和</w:t>
            </w:r>
            <w:r>
              <w:rPr>
                <w:rFonts w:hint="eastAsia" w:ascii="仿宋" w:hAnsi="仿宋" w:cs="Times New Roman"/>
                <w:color w:val="000000" w:themeColor="text1"/>
                <w:sz w:val="24"/>
                <w:szCs w:val="24"/>
                <w:lang w:eastAsia="zh-CN"/>
                <w14:textFill>
                  <w14:solidFill>
                    <w14:schemeClr w14:val="tx1"/>
                  </w14:solidFill>
                </w14:textFill>
              </w:rPr>
              <w:t>清江镇</w:t>
            </w:r>
            <w:r>
              <w:rPr>
                <w:rFonts w:hint="default" w:ascii="仿宋" w:hAnsi="仿宋" w:cs="Times New Roman"/>
                <w:color w:val="000000" w:themeColor="text1"/>
                <w:sz w:val="24"/>
                <w:szCs w:val="24"/>
                <w14:textFill>
                  <w14:solidFill>
                    <w14:schemeClr w14:val="tx1"/>
                  </w14:solidFill>
                </w14:textFill>
              </w:rPr>
              <w:t>附近</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kern w:val="2"/>
                <w:sz w:val="24"/>
                <w:szCs w:val="24"/>
                <w:lang w:val="en-US" w:eastAsia="zh-CN" w:bidi="ar-SA"/>
              </w:rPr>
            </w:pPr>
            <w:r>
              <w:rPr>
                <w:rFonts w:hint="default" w:cs="Times New Roman"/>
                <w:sz w:val="24"/>
                <w:szCs w:val="24"/>
              </w:rPr>
              <w:t>2025</w:t>
            </w:r>
            <w:r>
              <w:rPr>
                <w:rFonts w:hint="eastAsia" w:cs="Times New Roman"/>
                <w:sz w:val="24"/>
                <w:szCs w:val="24"/>
                <w:lang w:val="en-US" w:eastAsia="zh-CN"/>
              </w:rPr>
              <w:t>底</w:t>
            </w:r>
          </w:p>
        </w:tc>
        <w:tc>
          <w:tcPr>
            <w:tcW w:w="217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kern w:val="2"/>
                <w:sz w:val="24"/>
                <w:szCs w:val="24"/>
                <w:lang w:val="en-US" w:eastAsia="zh-CN" w:bidi="ar-SA"/>
              </w:rPr>
            </w:pPr>
            <w:r>
              <w:rPr>
                <w:rFonts w:hint="eastAsia" w:cs="Times New Roman"/>
                <w:sz w:val="24"/>
                <w:szCs w:val="24"/>
                <w:lang w:val="en-US" w:eastAsia="zh-CN"/>
              </w:rPr>
              <w:t>3</w:t>
            </w:r>
            <w:r>
              <w:rPr>
                <w:rFonts w:hint="default" w:cs="Times New Roman"/>
                <w:sz w:val="24"/>
                <w:szCs w:val="24"/>
              </w:rPr>
              <w:t>00</w:t>
            </w:r>
          </w:p>
        </w:tc>
        <w:tc>
          <w:tcPr>
            <w:tcW w:w="665" w:type="pct"/>
            <w:shd w:val="clear" w:color="auto" w:fill="auto"/>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eastAsia="仿宋"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cs="Times New Roman"/>
                <w:color w:val="000000" w:themeColor="text1"/>
                <w:sz w:val="24"/>
                <w:szCs w:val="24"/>
                <w:highlight w:val="none"/>
                <w:lang w:val="en-US" w:eastAsia="zh-CN"/>
                <w14:textFill>
                  <w14:solidFill>
                    <w14:schemeClr w14:val="tx1"/>
                  </w14:solidFill>
                </w14:textFill>
              </w:rPr>
              <w:t>巴中市巴州</w:t>
            </w:r>
            <w:r>
              <w:rPr>
                <w:rFonts w:hint="eastAsia" w:ascii="仿宋" w:hAnsi="仿宋" w:cs="Times New Roman"/>
                <w:color w:val="000000" w:themeColor="text1"/>
                <w:sz w:val="24"/>
                <w:szCs w:val="24"/>
                <w:highlight w:val="none"/>
                <w:lang w:val="en-US" w:eastAsia="zh-Hans"/>
                <w14:textFill>
                  <w14:solidFill>
                    <w14:schemeClr w14:val="tx1"/>
                  </w14:solidFill>
                </w14:textFill>
              </w:rPr>
              <w:t>生态环境局</w:t>
            </w:r>
            <w:r>
              <w:rPr>
                <w:rFonts w:hint="default" w:ascii="仿宋" w:hAnsi="仿宋" w:cs="Times New Roman"/>
                <w:color w:val="000000" w:themeColor="text1"/>
                <w:sz w:val="24"/>
                <w:szCs w:val="24"/>
                <w:highlight w:val="none"/>
                <w:lang w:eastAsia="zh-Hans"/>
                <w14:textFill>
                  <w14:solidFill>
                    <w14:schemeClr w14:val="tx1"/>
                  </w14:solidFill>
                </w14:textFill>
              </w:rPr>
              <w:t>、</w:t>
            </w:r>
            <w:r>
              <w:rPr>
                <w:rFonts w:hint="eastAsia" w:ascii="仿宋" w:hAnsi="仿宋" w:cs="Times New Roman"/>
                <w:color w:val="000000" w:themeColor="text1"/>
                <w:sz w:val="24"/>
                <w:szCs w:val="24"/>
                <w:highlight w:val="none"/>
                <w:lang w:val="en-US" w:eastAsia="zh-CN"/>
                <w14:textFill>
                  <w14:solidFill>
                    <w14:schemeClr w14:val="tx1"/>
                  </w14:solidFill>
                </w14:textFill>
              </w:rPr>
              <w:t>巴州</w:t>
            </w:r>
            <w:r>
              <w:rPr>
                <w:rFonts w:hint="eastAsia" w:ascii="仿宋" w:hAnsi="仿宋" w:cs="Times New Roman"/>
                <w:color w:val="000000" w:themeColor="text1"/>
                <w:sz w:val="24"/>
                <w:szCs w:val="24"/>
                <w:highlight w:val="none"/>
                <w:lang w:val="en-US" w:eastAsia="zh-Hans"/>
                <w14:textFill>
                  <w14:solidFill>
                    <w14:schemeClr w14:val="tx1"/>
                  </w14:solidFill>
                </w14:textFill>
              </w:rPr>
              <w:t>区</w:t>
            </w:r>
            <w:r>
              <w:rPr>
                <w:rFonts w:hint="default" w:ascii="仿宋" w:hAnsi="仿宋" w:cs="Times New Roman"/>
                <w:color w:val="000000" w:themeColor="text1"/>
                <w:sz w:val="24"/>
                <w:szCs w:val="24"/>
                <w:highlight w:val="none"/>
                <w14:textFill>
                  <w14:solidFill>
                    <w14:schemeClr w14:val="tx1"/>
                  </w14:solidFill>
                </w14:textFill>
              </w:rPr>
              <w:t>农业农村局</w:t>
            </w:r>
            <w:r>
              <w:rPr>
                <w:rFonts w:hint="eastAsia" w:ascii="仿宋" w:hAnsi="仿宋" w:cs="Times New Roman"/>
                <w:color w:val="000000" w:themeColor="text1"/>
                <w:sz w:val="24"/>
                <w:szCs w:val="24"/>
                <w:highlight w:val="none"/>
                <w:lang w:eastAsia="zh-CN"/>
                <w14:textFill>
                  <w14:solidFill>
                    <w14:schemeClr w14:val="tx1"/>
                  </w14:solidFill>
                </w14:textFill>
              </w:rPr>
              <w:t>、</w:t>
            </w:r>
            <w:r>
              <w:rPr>
                <w:rFonts w:hint="eastAsia" w:ascii="仿宋" w:hAnsi="仿宋" w:cs="Times New Roman"/>
                <w:color w:val="000000" w:themeColor="text1"/>
                <w:sz w:val="24"/>
                <w:szCs w:val="24"/>
                <w:highlight w:val="none"/>
                <w:lang w:val="en-US" w:eastAsia="zh-CN"/>
                <w14:textFill>
                  <w14:solidFill>
                    <w14:schemeClr w14:val="tx1"/>
                  </w14:solidFill>
                </w14:textFill>
              </w:rPr>
              <w:t>鼎山镇环保办、清江镇环保办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kern w:val="2"/>
                <w:sz w:val="24"/>
                <w:szCs w:val="24"/>
                <w:lang w:val="en-US" w:eastAsia="zh-CN" w:bidi="ar-SA"/>
              </w:rPr>
            </w:pPr>
            <w:r>
              <w:rPr>
                <w:rFonts w:hint="eastAsia" w:cs="Times New Roman"/>
                <w:sz w:val="24"/>
                <w:szCs w:val="24"/>
                <w:lang w:val="en-US" w:eastAsia="zh-CN"/>
              </w:rPr>
              <w:t>4</w:t>
            </w:r>
          </w:p>
        </w:tc>
        <w:tc>
          <w:tcPr>
            <w:tcW w:w="421" w:type="pct"/>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kern w:val="2"/>
                <w:sz w:val="24"/>
                <w:szCs w:val="24"/>
                <w:lang w:val="en-US" w:eastAsia="zh-CN" w:bidi="ar-SA"/>
              </w:rPr>
            </w:pPr>
            <w:r>
              <w:rPr>
                <w:rFonts w:hint="default" w:cs="Times New Roman"/>
                <w:sz w:val="24"/>
                <w:szCs w:val="24"/>
              </w:rPr>
              <w:t>田间配套设施</w:t>
            </w:r>
          </w:p>
        </w:tc>
        <w:tc>
          <w:tcPr>
            <w:tcW w:w="704" w:type="pct"/>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kern w:val="2"/>
                <w:sz w:val="24"/>
                <w:szCs w:val="24"/>
                <w:lang w:val="en-US" w:eastAsia="zh-CN" w:bidi="ar-SA"/>
              </w:rPr>
            </w:pPr>
            <w:r>
              <w:rPr>
                <w:rFonts w:hint="default" w:cs="Times New Roman"/>
                <w:color w:val="000000"/>
                <w:kern w:val="0"/>
                <w:sz w:val="24"/>
                <w:szCs w:val="24"/>
              </w:rPr>
              <w:t>田间粪污暂存池</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default" w:cs="Times New Roman"/>
                <w:color w:val="000000" w:themeColor="text1"/>
                <w:sz w:val="24"/>
                <w:szCs w:val="24"/>
                <w14:textFill>
                  <w14:solidFill>
                    <w14:schemeClr w14:val="tx1"/>
                  </w14:solidFill>
                </w14:textFill>
              </w:rPr>
              <w:t>建设</w:t>
            </w:r>
            <w:r>
              <w:rPr>
                <w:rFonts w:hint="default" w:cs="Times New Roman"/>
                <w:color w:val="000000" w:themeColor="text1"/>
                <w:sz w:val="24"/>
                <w:szCs w:val="24"/>
                <w:lang w:val="en-US" w:eastAsia="zh-CN"/>
                <w14:textFill>
                  <w14:solidFill>
                    <w14:schemeClr w14:val="tx1"/>
                  </w14:solidFill>
                </w14:textFill>
              </w:rPr>
              <w:t>51</w:t>
            </w:r>
            <w:r>
              <w:rPr>
                <w:rFonts w:hint="default" w:cs="Times New Roman"/>
                <w:color w:val="000000" w:themeColor="text1"/>
                <w:sz w:val="24"/>
                <w:szCs w:val="24"/>
                <w14:textFill>
                  <w14:solidFill>
                    <w14:schemeClr w14:val="tx1"/>
                  </w14:solidFill>
                </w14:textFill>
              </w:rPr>
              <w:t>处畜禽粪污处理田间配套设施，用以发酵和暂存各乡镇未能发酵成熟的粪污。</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cs="Times New Roman"/>
                <w:color w:val="000000" w:themeColor="text1"/>
                <w:sz w:val="24"/>
                <w:szCs w:val="24"/>
                <w:lang w:eastAsia="zh-CN"/>
                <w14:textFill>
                  <w14:solidFill>
                    <w14:schemeClr w14:val="tx1"/>
                  </w14:solidFill>
                </w14:textFill>
              </w:rPr>
              <w:t>化成镇、光辉镇、凤溪镇、天马山镇、枣林镇、清江镇、三江镇、平梁镇、水宁寺镇、梁永镇、鼎山镇、曾口镇、大茅坪镇</w:t>
            </w:r>
            <w:r>
              <w:rPr>
                <w:rFonts w:hint="default" w:ascii="仿宋" w:hAnsi="仿宋" w:cs="Times New Roman"/>
                <w:color w:val="000000" w:themeColor="text1"/>
                <w:sz w:val="24"/>
                <w:szCs w:val="24"/>
                <w14:textFill>
                  <w14:solidFill>
                    <w14:schemeClr w14:val="tx1"/>
                  </w14:solidFill>
                </w14:textFill>
              </w:rPr>
              <w:t>、</w:t>
            </w:r>
            <w:r>
              <w:rPr>
                <w:rFonts w:hint="default" w:ascii="仿宋" w:hAnsi="仿宋" w:cs="Times New Roman"/>
                <w:color w:val="000000" w:themeColor="text1"/>
                <w:sz w:val="24"/>
                <w:szCs w:val="24"/>
                <w:lang w:val="en-US" w:eastAsia="zh-CN"/>
                <w14:textFill>
                  <w14:solidFill>
                    <w14:schemeClr w14:val="tx1"/>
                  </w14:solidFill>
                </w14:textFill>
              </w:rPr>
              <w:t>大和乡、白庙乡</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kern w:val="2"/>
                <w:sz w:val="24"/>
                <w:szCs w:val="24"/>
                <w:lang w:val="en-US" w:eastAsia="zh-CN" w:bidi="ar-SA"/>
              </w:rPr>
            </w:pPr>
            <w:r>
              <w:rPr>
                <w:rFonts w:hint="default" w:cs="Times New Roman"/>
                <w:sz w:val="24"/>
                <w:szCs w:val="24"/>
              </w:rPr>
              <w:t>2025</w:t>
            </w:r>
            <w:r>
              <w:rPr>
                <w:rFonts w:hint="eastAsia" w:cs="Times New Roman"/>
                <w:sz w:val="24"/>
                <w:szCs w:val="24"/>
                <w:lang w:val="en-US" w:eastAsia="zh-CN"/>
              </w:rPr>
              <w:t>底</w:t>
            </w:r>
          </w:p>
        </w:tc>
        <w:tc>
          <w:tcPr>
            <w:tcW w:w="2172"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SA"/>
              </w:rPr>
            </w:pPr>
            <w:r>
              <w:rPr>
                <w:rFonts w:hint="eastAsia" w:cs="Times New Roman"/>
                <w:bCs/>
                <w:sz w:val="24"/>
                <w:szCs w:val="24"/>
                <w:lang w:val="en-US" w:eastAsia="zh-CN"/>
              </w:rPr>
              <w:t>442.35</w:t>
            </w:r>
          </w:p>
        </w:tc>
        <w:tc>
          <w:tcPr>
            <w:tcW w:w="665" w:type="pct"/>
            <w:shd w:val="clear" w:color="auto" w:fill="auto"/>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各乡镇</w:t>
            </w:r>
            <w:r>
              <w:rPr>
                <w:rFonts w:hint="eastAsia" w:ascii="仿宋" w:hAnsi="仿宋" w:cs="Times New Roman"/>
                <w:color w:val="000000" w:themeColor="text1"/>
                <w:sz w:val="24"/>
                <w:szCs w:val="24"/>
                <w:lang w:val="en-US" w:eastAsia="zh-CN"/>
                <w14:textFill>
                  <w14:solidFill>
                    <w14:schemeClr w14:val="tx1"/>
                  </w14:solidFill>
                </w14:textFill>
              </w:rPr>
              <w:t>环保办</w:t>
            </w:r>
            <w:r>
              <w:rPr>
                <w:rFonts w:hint="default" w:ascii="仿宋" w:hAnsi="仿宋" w:cs="Times New Roman"/>
                <w:color w:val="000000" w:themeColor="text1"/>
                <w:sz w:val="24"/>
                <w:szCs w:val="24"/>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p>
        </w:tc>
        <w:tc>
          <w:tcPr>
            <w:tcW w:w="704" w:type="pct"/>
            <w:vAlign w:val="center"/>
          </w:tcPr>
          <w:p>
            <w:pPr>
              <w:keepNext w:val="0"/>
              <w:keepLines w:val="0"/>
              <w:suppressLineNumbers w:val="0"/>
              <w:spacing w:before="0" w:beforeAutospacing="0" w:after="0" w:afterAutospacing="0" w:line="240" w:lineRule="atLeast"/>
              <w:ind w:left="0" w:right="0"/>
              <w:rPr>
                <w:rFonts w:hint="default" w:ascii="仿宋" w:hAnsi="仿宋" w:cs="Times New Roman"/>
                <w:color w:val="000000" w:themeColor="text1"/>
                <w:sz w:val="24"/>
                <w:szCs w:val="24"/>
                <w14:textFill>
                  <w14:solidFill>
                    <w14:schemeClr w14:val="tx1"/>
                  </w14:solidFill>
                </w14:textFill>
              </w:rPr>
            </w:pPr>
            <w:r>
              <w:rPr>
                <w:rFonts w:hint="eastAsia" w:ascii="仿宋" w:hAnsi="仿宋" w:cs="Times New Roman"/>
                <w:color w:val="000000" w:themeColor="text1"/>
                <w:sz w:val="24"/>
                <w:szCs w:val="24"/>
                <w14:textFill>
                  <w14:solidFill>
                    <w14:schemeClr w14:val="tx1"/>
                  </w14:solidFill>
                </w14:textFill>
              </w:rPr>
              <w:t>预备费</w:t>
            </w:r>
          </w:p>
        </w:tc>
        <w:tc>
          <w:tcPr>
            <w:tcW w:w="1134" w:type="pct"/>
            <w:vAlign w:val="center"/>
          </w:tcPr>
          <w:p>
            <w:pPr>
              <w:keepNext w:val="0"/>
              <w:keepLines w:val="0"/>
              <w:suppressLineNumbers w:val="0"/>
              <w:spacing w:before="0" w:beforeAutospacing="0" w:after="0" w:afterAutospacing="0" w:line="240" w:lineRule="atLeast"/>
              <w:ind w:left="0" w:right="0"/>
              <w:rPr>
                <w:rFonts w:hint="default" w:ascii="仿宋" w:hAnsi="仿宋" w:cs="Times New Roman"/>
                <w:color w:val="000000" w:themeColor="text1"/>
                <w:kern w:val="0"/>
                <w:sz w:val="24"/>
                <w:szCs w:val="24"/>
                <w14:textFill>
                  <w14:solidFill>
                    <w14:schemeClr w14:val="tx1"/>
                  </w14:solidFill>
                </w14:textFill>
              </w:rPr>
            </w:pPr>
            <w:r>
              <w:rPr>
                <w:rFonts w:hint="eastAsia" w:ascii="仿宋" w:hAnsi="仿宋" w:cs="Times New Roman"/>
                <w:color w:val="000000" w:themeColor="text1"/>
                <w:kern w:val="0"/>
                <w:sz w:val="24"/>
                <w:szCs w:val="24"/>
                <w14:textFill>
                  <w14:solidFill>
                    <w14:schemeClr w14:val="tx1"/>
                  </w14:solidFill>
                </w14:textFill>
              </w:rPr>
              <w:t>建设期的前期决策、设计变更、贷款期利息等</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447"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2172" w:type="dxa"/>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仿宋" w:cs="Times New Roman"/>
                <w:sz w:val="24"/>
                <w:szCs w:val="24"/>
                <w:lang w:val="en-US" w:eastAsia="zh-CN"/>
              </w:rPr>
            </w:pPr>
            <w:r>
              <w:rPr>
                <w:rFonts w:hint="eastAsia" w:cs="Times New Roman"/>
                <w:sz w:val="24"/>
                <w:szCs w:val="24"/>
                <w:lang w:val="en-US" w:eastAsia="zh-CN"/>
              </w:rPr>
              <w:t>414</w:t>
            </w:r>
          </w:p>
        </w:tc>
        <w:tc>
          <w:tcPr>
            <w:tcW w:w="665"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合计</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704"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447"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2172" w:type="dxa"/>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lang w:val="en-US" w:eastAsia="zh-CN"/>
              </w:rPr>
            </w:pPr>
            <w:r>
              <w:rPr>
                <w:rFonts w:hint="eastAsia"/>
                <w:lang w:val="en-US" w:eastAsia="zh-CN"/>
              </w:rPr>
              <w:t>4554</w:t>
            </w:r>
          </w:p>
        </w:tc>
        <w:tc>
          <w:tcPr>
            <w:tcW w:w="665"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r>
    </w:tbl>
    <w:p>
      <w:pPr>
        <w:sectPr>
          <w:pgSz w:w="16838" w:h="11906" w:orient="landscape"/>
          <w:pgMar w:top="1797" w:right="1440" w:bottom="1797" w:left="1440" w:header="851" w:footer="992" w:gutter="0"/>
          <w:cols w:space="1120" w:num="1"/>
          <w:docGrid w:type="lines" w:linePitch="381" w:charSpace="0"/>
        </w:sectPr>
      </w:pPr>
    </w:p>
    <w:p>
      <w:pPr>
        <w:pStyle w:val="3"/>
        <w:spacing w:before="381" w:after="381"/>
      </w:pPr>
      <w:bookmarkStart w:id="189" w:name="_Toc5110"/>
      <w:bookmarkStart w:id="190" w:name="_Toc27446"/>
      <w:r>
        <w:rPr>
          <w:rFonts w:hint="eastAsia"/>
        </w:rPr>
        <w:t>第七章 效益分析</w:t>
      </w:r>
      <w:bookmarkEnd w:id="189"/>
      <w:bookmarkEnd w:id="190"/>
    </w:p>
    <w:p>
      <w:pPr>
        <w:pStyle w:val="4"/>
        <w:spacing w:before="190" w:after="190"/>
      </w:pPr>
      <w:bookmarkStart w:id="191" w:name="_Toc13833"/>
      <w:bookmarkStart w:id="192" w:name="_Toc32608"/>
      <w:r>
        <w:rPr>
          <w:rFonts w:hint="eastAsia"/>
        </w:rPr>
        <w:t>7.1 环境</w:t>
      </w:r>
      <w:r>
        <w:t>效益</w:t>
      </w:r>
      <w:bookmarkEnd w:id="191"/>
      <w:bookmarkEnd w:id="192"/>
    </w:p>
    <w:p>
      <w:pPr>
        <w:ind w:firstLine="562" w:firstLineChars="200"/>
        <w:rPr>
          <w:b/>
        </w:rPr>
      </w:pPr>
      <w:r>
        <w:rPr>
          <w:rFonts w:hint="eastAsia"/>
          <w:b/>
        </w:rPr>
        <w:t>（1）改善养殖场周边环境</w:t>
      </w:r>
    </w:p>
    <w:p>
      <w:pPr>
        <w:ind w:firstLine="560" w:firstLineChars="200"/>
      </w:pPr>
      <w:r>
        <w:rPr>
          <w:rFonts w:hint="eastAsia"/>
        </w:rPr>
        <w:t xml:space="preserve">通过推进养殖场的粪污资源化治理工程建设，避免了粪污直接排放对周围环境的影响，有效地保护了农村生活环境。养殖粪污进行资源化利用，切断了有毒有害病菌的生长周期，杀灭大量有毒害病菌，有利于人畜身体健康，畜禽养殖场周围的环境卫生也将因此得到很大程度的提高，具有很好的环境效益。 </w:t>
      </w:r>
    </w:p>
    <w:p>
      <w:pPr>
        <w:ind w:firstLine="562" w:firstLineChars="200"/>
        <w:rPr>
          <w:b/>
        </w:rPr>
      </w:pPr>
      <w:r>
        <w:rPr>
          <w:rFonts w:hint="eastAsia"/>
          <w:b/>
        </w:rPr>
        <w:t>（2）提升耕地肥力</w:t>
      </w:r>
    </w:p>
    <w:p>
      <w:pPr>
        <w:ind w:firstLine="560" w:firstLineChars="200"/>
      </w:pPr>
      <w:r>
        <w:rPr>
          <w:rFonts w:hint="eastAsia"/>
        </w:rPr>
        <w:t xml:space="preserve">畜禽粪便中含有丰富的有机质、微量元素及氮、磷、钾，因此畜禽粪便是制造肥料的有效原料。将畜禽粪便制造成固体粪肥，施于农田后有助于改良土壤结构、提高土壤有机质含量、提供作物养分、培肥地力，确保农作物稳产高产。 </w:t>
      </w:r>
    </w:p>
    <w:p>
      <w:pPr>
        <w:ind w:firstLine="562" w:firstLineChars="200"/>
        <w:rPr>
          <w:b/>
        </w:rPr>
      </w:pPr>
      <w:r>
        <w:rPr>
          <w:rFonts w:hint="eastAsia"/>
          <w:b/>
        </w:rPr>
        <w:t>（3）提升环境质量</w:t>
      </w:r>
    </w:p>
    <w:p>
      <w:pPr>
        <w:ind w:firstLine="560" w:firstLineChars="200"/>
      </w:pPr>
      <w:r>
        <w:rPr>
          <w:rFonts w:hint="eastAsia"/>
        </w:rPr>
        <w:t>项目的实施将进一步完善养殖场的基础建设，使养殖场户粪便污水不外排，保护了河流、地表水系；污水沉淀池采取了防渗措施，杜绝了污水的下渗，从而减少了对周围环境和地下水的污染，提升了农村饮用水的保障水平。另外畜禽粪便通过堆积发酵，杜绝了过去那种规模化养殖场污水横流、臭气熏天、蚊蝇乱飞的现象，</w:t>
      </w:r>
      <w:r>
        <w:rPr>
          <w:rFonts w:hint="eastAsia"/>
          <w:lang w:eastAsia="zh-CN"/>
        </w:rPr>
        <w:t>极大地改善</w:t>
      </w:r>
      <w:r>
        <w:rPr>
          <w:rFonts w:hint="eastAsia"/>
        </w:rPr>
        <w:t>人居环境。符合产业发展和可持续发展要求。</w:t>
      </w:r>
    </w:p>
    <w:p>
      <w:pPr>
        <w:pStyle w:val="4"/>
        <w:spacing w:before="190" w:after="190"/>
      </w:pPr>
      <w:bookmarkStart w:id="193" w:name="_Toc9511"/>
      <w:bookmarkStart w:id="194" w:name="_Toc28657"/>
      <w:r>
        <w:rPr>
          <w:rFonts w:hint="eastAsia"/>
        </w:rPr>
        <w:t>7.2 经济效益</w:t>
      </w:r>
      <w:bookmarkEnd w:id="193"/>
      <w:bookmarkEnd w:id="194"/>
    </w:p>
    <w:p>
      <w:pPr>
        <w:ind w:firstLine="562" w:firstLineChars="200"/>
        <w:rPr>
          <w:b/>
        </w:rPr>
      </w:pPr>
      <w:r>
        <w:rPr>
          <w:rFonts w:hint="eastAsia" w:ascii="仿宋" w:hAnsi="仿宋"/>
          <w:b/>
          <w:szCs w:val="28"/>
        </w:rPr>
        <w:t>（1）促进种植业提质增效</w:t>
      </w:r>
    </w:p>
    <w:p>
      <w:pPr>
        <w:ind w:firstLine="560" w:firstLineChars="200"/>
      </w:pPr>
      <w:r>
        <w:rPr>
          <w:rFonts w:hint="eastAsia"/>
          <w:lang w:eastAsia="zh-CN"/>
        </w:rPr>
        <w:t>巴州区</w:t>
      </w:r>
      <w:r>
        <w:rPr>
          <w:rFonts w:hint="eastAsia"/>
        </w:rPr>
        <w:t>畜牧业持续快速发展，综合生产能力明显增强。通过对畜禽养殖户粪污治理，使畜禽粪便得到资源化利用。农田、果园、蔬菜、苗木、花卉施用固体粪肥，可确保农作物稳产高产、提高农产品品质，提高农产品经济效益，</w:t>
      </w:r>
      <w:r>
        <w:rPr>
          <w:rFonts w:hint="eastAsia" w:ascii="仿宋" w:hAnsi="仿宋"/>
          <w:szCs w:val="28"/>
        </w:rPr>
        <w:t>提升全区农业竞争力。</w:t>
      </w:r>
    </w:p>
    <w:p>
      <w:pPr>
        <w:ind w:firstLine="560" w:firstLineChars="200"/>
        <w:rPr>
          <w:rFonts w:ascii="仿宋" w:hAnsi="仿宋"/>
          <w:szCs w:val="28"/>
        </w:rPr>
      </w:pPr>
      <w:r>
        <w:rPr>
          <w:rFonts w:hint="eastAsia" w:ascii="仿宋" w:hAnsi="仿宋"/>
          <w:szCs w:val="28"/>
        </w:rPr>
        <w:t>通过项目实施，将整体推进种养循环、农牧结合，使之成为</w:t>
      </w:r>
      <w:r>
        <w:rPr>
          <w:rFonts w:hint="eastAsia" w:ascii="仿宋" w:hAnsi="仿宋"/>
          <w:szCs w:val="28"/>
          <w:lang w:eastAsia="zh-CN"/>
        </w:rPr>
        <w:t>巴州区</w:t>
      </w:r>
      <w:r>
        <w:rPr>
          <w:rFonts w:hint="eastAsia" w:ascii="仿宋" w:hAnsi="仿宋"/>
          <w:szCs w:val="28"/>
        </w:rPr>
        <w:t>农业发展亮点与优势，有利于促进全区农产品品牌价值提升和产业竞争力增强。</w:t>
      </w:r>
    </w:p>
    <w:p>
      <w:pPr>
        <w:ind w:firstLine="562" w:firstLineChars="200"/>
        <w:rPr>
          <w:rFonts w:ascii="仿宋" w:hAnsi="仿宋"/>
          <w:b/>
          <w:szCs w:val="28"/>
        </w:rPr>
      </w:pPr>
      <w:r>
        <w:rPr>
          <w:rFonts w:hint="eastAsia" w:ascii="仿宋" w:hAnsi="仿宋"/>
          <w:b/>
          <w:szCs w:val="28"/>
        </w:rPr>
        <w:t>（2）</w:t>
      </w:r>
      <w:r>
        <w:rPr>
          <w:rFonts w:ascii="仿宋" w:hAnsi="仿宋"/>
          <w:b/>
          <w:szCs w:val="28"/>
        </w:rPr>
        <w:t>促进产业发展和农民增收</w:t>
      </w:r>
    </w:p>
    <w:p>
      <w:pPr>
        <w:ind w:firstLine="560" w:firstLineChars="200"/>
      </w:pPr>
      <w:r>
        <w:t>通过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w:t>
      </w:r>
      <w:r>
        <w:rPr>
          <w:rFonts w:hint="eastAsia"/>
        </w:rPr>
        <w:t>，</w:t>
      </w:r>
      <w:r>
        <w:t>提高农产品品质和价值</w:t>
      </w:r>
      <w:r>
        <w:rPr>
          <w:rFonts w:hint="eastAsia"/>
        </w:rPr>
        <w:t>，</w:t>
      </w:r>
      <w:r>
        <w:t>提升产业综合效益</w:t>
      </w:r>
      <w:r>
        <w:rPr>
          <w:rFonts w:hint="eastAsia"/>
        </w:rPr>
        <w:t>，</w:t>
      </w:r>
      <w:r>
        <w:t>拓宽农民创收渠道</w:t>
      </w:r>
      <w:r>
        <w:rPr>
          <w:rFonts w:hint="eastAsia"/>
        </w:rPr>
        <w:t>，</w:t>
      </w:r>
      <w:r>
        <w:t>增加农民收入。</w:t>
      </w:r>
    </w:p>
    <w:p>
      <w:pPr>
        <w:pStyle w:val="4"/>
        <w:spacing w:before="190" w:after="190"/>
      </w:pPr>
      <w:bookmarkStart w:id="195" w:name="_Toc18937"/>
      <w:bookmarkStart w:id="196" w:name="_Toc30974"/>
      <w:r>
        <w:rPr>
          <w:rFonts w:hint="eastAsia"/>
        </w:rPr>
        <w:t>7.3 社会效益</w:t>
      </w:r>
      <w:bookmarkEnd w:id="195"/>
      <w:bookmarkEnd w:id="196"/>
    </w:p>
    <w:p>
      <w:pPr>
        <w:ind w:firstLine="562" w:firstLineChars="200"/>
        <w:rPr>
          <w:b/>
        </w:rPr>
      </w:pPr>
      <w:r>
        <w:rPr>
          <w:rFonts w:hint="eastAsia"/>
          <w:b/>
        </w:rPr>
        <w:t>（1）提高农产品安全</w:t>
      </w:r>
    </w:p>
    <w:p>
      <w:pPr>
        <w:ind w:firstLine="560" w:firstLineChars="200"/>
      </w:pPr>
      <w:r>
        <w:rPr>
          <w:rFonts w:hint="eastAsia"/>
        </w:rPr>
        <w:t xml:space="preserve">通过项目的实施，对粪污进行资源化利用可达到减少农药、化肥使用量的效果，可以促进区域内种植基地固体粪肥替代化肥，在保证农产品增产的同时，也能保证农产品安全，可以改变长期以来过量使用化肥导致农产品安全低的状况。 </w:t>
      </w:r>
    </w:p>
    <w:p>
      <w:pPr>
        <w:ind w:firstLine="562" w:firstLineChars="200"/>
        <w:rPr>
          <w:b/>
        </w:rPr>
      </w:pPr>
      <w:r>
        <w:rPr>
          <w:rFonts w:hint="eastAsia"/>
          <w:b/>
        </w:rPr>
        <w:t>（2）促进畜牧业可持续发展</w:t>
      </w:r>
    </w:p>
    <w:p>
      <w:pPr>
        <w:ind w:firstLine="560" w:firstLineChars="200"/>
      </w:pPr>
      <w:r>
        <w:rPr>
          <w:rFonts w:hint="eastAsia"/>
        </w:rPr>
        <w:t xml:space="preserve">畜禽养殖不断向规模化、集约化转变的同时，畜禽粪污大幅增加，由于还田利用不畅、综合利用水平不高，既浪费了宝贵的资源，也对环境造成了污染。通过该项目的实施，大力推行种养平衡，打通种养业协调发展关键环节，促进循环利用，变废为宝。加大对畜禽养殖废弃物处理和利用的支持力度，支持养殖场改善废弃物处理利用基础设施条件。通过一系列措施，促进畜牧业与农村生态建设的协调可持续发展。 </w:t>
      </w:r>
    </w:p>
    <w:p>
      <w:pPr>
        <w:ind w:firstLine="562" w:firstLineChars="200"/>
        <w:rPr>
          <w:b/>
        </w:rPr>
      </w:pPr>
      <w:r>
        <w:rPr>
          <w:rFonts w:hint="eastAsia"/>
          <w:b/>
        </w:rPr>
        <w:t xml:space="preserve">（3）改善农村人居环境 </w:t>
      </w:r>
    </w:p>
    <w:p>
      <w:pPr>
        <w:ind w:firstLine="560" w:firstLineChars="200"/>
      </w:pPr>
      <w:r>
        <w:rPr>
          <w:rFonts w:hint="eastAsia"/>
        </w:rPr>
        <w:t>畜禽养殖粪便的随意堆放产生的臭味等污染一直是困扰农村人居环境的严重问题。通过项目的整治将有效改善区农村环境脏、乱、差问题，改善全区村容村貌、绿化等环境条件，美化当地环境，加强人与自然之间的亲和力，农村环境面貌将焕然一新。农村人居环境美丽整洁，促进美丽乡村的发展，推进农业基础设施条件的显著改善，畜牧业支撑能力将明显增强，创造巨大的社会经济效益。</w:t>
      </w:r>
    </w:p>
    <w:p>
      <w:pPr>
        <w:pStyle w:val="3"/>
        <w:pageBreakBefore/>
        <w:spacing w:before="381" w:after="381"/>
      </w:pPr>
      <w:bookmarkStart w:id="197" w:name="_Toc28273"/>
      <w:bookmarkStart w:id="198" w:name="_Toc26565"/>
      <w:r>
        <w:rPr>
          <w:rFonts w:hint="eastAsia"/>
        </w:rPr>
        <w:t>第八章 保障措施</w:t>
      </w:r>
      <w:bookmarkEnd w:id="197"/>
      <w:bookmarkEnd w:id="198"/>
    </w:p>
    <w:p>
      <w:pPr>
        <w:pStyle w:val="4"/>
        <w:spacing w:before="190" w:after="190"/>
      </w:pPr>
      <w:bookmarkStart w:id="199" w:name="_Toc19441"/>
      <w:bookmarkStart w:id="200" w:name="_Toc28440"/>
      <w:bookmarkStart w:id="201" w:name="_Toc80745610"/>
      <w:r>
        <w:rPr>
          <w:rFonts w:hint="eastAsia"/>
        </w:rPr>
        <w:t xml:space="preserve">8.1 </w:t>
      </w:r>
      <w:r>
        <w:rPr>
          <w:rFonts w:hint="eastAsia"/>
          <w:lang w:val="en-US" w:eastAsia="zh-CN"/>
        </w:rPr>
        <w:t>加强</w:t>
      </w:r>
      <w:r>
        <w:rPr>
          <w:rFonts w:hint="eastAsia"/>
        </w:rPr>
        <w:t>组织领导</w:t>
      </w:r>
      <w:bookmarkEnd w:id="199"/>
      <w:bookmarkEnd w:id="200"/>
    </w:p>
    <w:p>
      <w:pPr>
        <w:ind w:firstLine="560" w:firstLineChars="200"/>
        <w:rPr>
          <w:rFonts w:ascii="宋体" w:hAnsi="宋体"/>
          <w:szCs w:val="28"/>
        </w:rPr>
      </w:pPr>
      <w:r>
        <w:rPr>
          <w:rFonts w:hint="eastAsia"/>
          <w:lang w:val="en-US" w:eastAsia="zh-CN"/>
        </w:rPr>
        <w:t>各级人民政府按照“党政同责、一岗双责”要求，对本行政区域内的畜禽养殖污染防治工作负总责，督促畜禽养殖场切实履行环境保护主体责任。结合本地实际，积极推动建立部门协调机制，明确部门职责，细化任务分工，加强协作配合，实现资源和信息共享，形成部门合力，分解落实畜禽养殖污染防治任务。农业农村部门负责畜禽养殖废弃物综合利用的指导和服务，生态环境部门负责畜禽养殖污染防治的统一监督管理，其他相关部门要做好配合工作，确保各项任务落实到位</w:t>
      </w:r>
      <w:r>
        <w:t>。</w:t>
      </w:r>
    </w:p>
    <w:p>
      <w:pPr>
        <w:pStyle w:val="4"/>
        <w:spacing w:before="190" w:after="190"/>
      </w:pPr>
      <w:bookmarkStart w:id="202" w:name="_Toc18904"/>
      <w:bookmarkStart w:id="203" w:name="_Toc1960"/>
      <w:r>
        <w:rPr>
          <w:rFonts w:hint="eastAsia"/>
        </w:rPr>
        <w:t xml:space="preserve">8.2 </w:t>
      </w:r>
      <w:r>
        <w:rPr>
          <w:rFonts w:hint="eastAsia"/>
          <w:lang w:val="en-US" w:eastAsia="zh-CN"/>
        </w:rPr>
        <w:t>完善</w:t>
      </w:r>
      <w:r>
        <w:rPr>
          <w:rFonts w:hint="eastAsia"/>
        </w:rPr>
        <w:t>政策</w:t>
      </w:r>
      <w:r>
        <w:t>支持</w:t>
      </w:r>
      <w:bookmarkEnd w:id="202"/>
      <w:bookmarkEnd w:id="203"/>
    </w:p>
    <w:p>
      <w:pPr>
        <w:ind w:firstLine="560" w:firstLineChars="200"/>
      </w:pPr>
      <w:r>
        <w:rPr>
          <w:rFonts w:hint="eastAsia"/>
        </w:rPr>
        <w:t>制定落实畜禽养殖废弃物综合利用扶持政策</w:t>
      </w:r>
      <w:r>
        <w:rPr>
          <w:rFonts w:hint="eastAsia"/>
          <w:lang w:eastAsia="zh-CN"/>
        </w:rPr>
        <w:t>，</w:t>
      </w:r>
      <w:r>
        <w:rPr>
          <w:rFonts w:hint="eastAsia"/>
        </w:rPr>
        <w:t>推动养殖废弃物处理设施纳入农机购置补贴政策等制度落实。完善鼓励使用有机肥政策，制定针对有机肥生产、沼液沼渣综合利用等畜禽养殖废弃物综合利用工程的税收等优惠政策。完善污染防治设施用电用地政策。结合生猪保险</w:t>
      </w:r>
      <w:r>
        <w:rPr>
          <w:rFonts w:hint="eastAsia"/>
          <w:lang w:eastAsia="zh-CN"/>
        </w:rPr>
        <w:t>，</w:t>
      </w:r>
      <w:r>
        <w:rPr>
          <w:rFonts w:hint="eastAsia"/>
        </w:rPr>
        <w:t>统筹推进病死猪牛羊禽等无害化处理合理调节补助标准。督促规模养殖场户落实主体责任和治理要求，未达到畜禽养殖污染防治要求的养殖场不予安排有关财政投资项目。</w:t>
      </w:r>
    </w:p>
    <w:p>
      <w:pPr>
        <w:pStyle w:val="4"/>
        <w:spacing w:before="190" w:after="190"/>
        <w:rPr>
          <w:rFonts w:hint="default" w:eastAsia="仿宋"/>
          <w:highlight w:val="yellow"/>
          <w:lang w:val="en-US" w:eastAsia="zh-CN"/>
        </w:rPr>
      </w:pPr>
      <w:bookmarkStart w:id="204" w:name="_Toc30990"/>
      <w:bookmarkStart w:id="205" w:name="_Toc25690"/>
      <w:r>
        <w:rPr>
          <w:rFonts w:hint="eastAsia"/>
        </w:rPr>
        <w:t>8.</w:t>
      </w:r>
      <w:r>
        <w:rPr>
          <w:rFonts w:hint="eastAsia"/>
          <w:highlight w:val="none"/>
        </w:rPr>
        <w:t xml:space="preserve">3 </w:t>
      </w:r>
      <w:bookmarkEnd w:id="204"/>
      <w:r>
        <w:rPr>
          <w:rFonts w:hint="eastAsia"/>
          <w:highlight w:val="none"/>
          <w:lang w:val="en-US" w:eastAsia="zh-CN"/>
        </w:rPr>
        <w:t>加强资金投入</w:t>
      </w:r>
      <w:bookmarkEnd w:id="205"/>
    </w:p>
    <w:p>
      <w:pPr>
        <w:ind w:firstLine="560" w:firstLineChars="200"/>
      </w:pPr>
      <w:r>
        <w:rPr>
          <w:rFonts w:hint="eastAsia"/>
        </w:rPr>
        <w:t>夯实畜禽养殖从业者粪污收集处理利用和污染防治主体责任，督促其严格按相关法律法规要求，加大资金投入，配备处理设施，确保达标排放。各级政府将畜禽养殖污染防治工作列入本级财政年度预算，加大绿色信贷、绿色债券对畜禽养殖污染防治项目的支持力度。按规定统筹整合育禽标准化养殖、生猪调出大县奖励、大中型沼气工程等项目资金。拓宽资金来源渠道，引导金融资本和社会资本投入畜禽养殖污染防治</w:t>
      </w:r>
      <w:r>
        <w:rPr>
          <w:rFonts w:hint="eastAsia"/>
          <w:lang w:eastAsia="zh-CN"/>
        </w:rPr>
        <w:t>，</w:t>
      </w:r>
      <w:r>
        <w:rPr>
          <w:rFonts w:hint="eastAsia"/>
        </w:rPr>
        <w:t>形成多元化投入机制。</w:t>
      </w:r>
    </w:p>
    <w:p>
      <w:pPr>
        <w:pStyle w:val="4"/>
        <w:spacing w:before="190" w:after="190"/>
        <w:rPr>
          <w:rFonts w:hint="default" w:eastAsia="仿宋"/>
          <w:lang w:val="en-US" w:eastAsia="zh-CN"/>
        </w:rPr>
      </w:pPr>
      <w:bookmarkStart w:id="206" w:name="_Toc5032"/>
      <w:bookmarkStart w:id="207" w:name="_Toc24004"/>
      <w:r>
        <w:rPr>
          <w:rFonts w:hint="eastAsia"/>
        </w:rPr>
        <w:t xml:space="preserve">8.4 </w:t>
      </w:r>
      <w:bookmarkEnd w:id="206"/>
      <w:r>
        <w:rPr>
          <w:rFonts w:hint="eastAsia"/>
          <w:lang w:val="en-US" w:eastAsia="zh-CN"/>
        </w:rPr>
        <w:t>加强宣传引导</w:t>
      </w:r>
      <w:bookmarkEnd w:id="207"/>
    </w:p>
    <w:p>
      <w:pPr>
        <w:ind w:firstLine="560" w:firstLineChars="200"/>
      </w:pPr>
      <w:r>
        <w:rPr>
          <w:rFonts w:hint="eastAsia"/>
        </w:rPr>
        <w:t>充分保障和发挥社会公众的环境知情权和监督作用，对退养企业实施台账管理，信息向社会公开。利用新媒体与传统媒体，加强畜禽养殖污染防治的科学普及、舆论宣传和技术推广，及时回应社会关切的热点问题，引导社会正确认识畜禽养殖废弃物的“资源”和“污染物”双重属性，形成全社会共同推动畜禽养殖污染防治的良好氛围</w:t>
      </w:r>
      <w:r>
        <w:t>。</w:t>
      </w:r>
    </w:p>
    <w:p>
      <w:pPr>
        <w:ind w:firstLine="200"/>
        <w:sectPr>
          <w:pgSz w:w="11906" w:h="16838"/>
          <w:pgMar w:top="1440" w:right="1797" w:bottom="1440" w:left="1797" w:header="851" w:footer="992" w:gutter="0"/>
          <w:cols w:space="425" w:num="1"/>
          <w:docGrid w:type="lines" w:linePitch="381" w:charSpace="0"/>
        </w:sectPr>
      </w:pPr>
    </w:p>
    <w:p>
      <w:pPr>
        <w:pStyle w:val="3"/>
        <w:spacing w:before="381" w:after="381"/>
        <w:jc w:val="left"/>
      </w:pPr>
      <w:bookmarkStart w:id="208" w:name="_Toc7083"/>
      <w:bookmarkStart w:id="209" w:name="_Toc31530"/>
      <w:r>
        <w:rPr>
          <w:rFonts w:hint="eastAsia"/>
        </w:rPr>
        <w:t>附表</w:t>
      </w:r>
      <w:bookmarkEnd w:id="201"/>
      <w:bookmarkEnd w:id="208"/>
      <w:bookmarkEnd w:id="209"/>
    </w:p>
    <w:p>
      <w:pPr>
        <w:jc w:val="center"/>
        <w:outlineLvl w:val="1"/>
        <w:rPr>
          <w:rFonts w:cs="Times New Roman"/>
          <w:b/>
          <w:sz w:val="24"/>
          <w:szCs w:val="24"/>
        </w:rPr>
      </w:pPr>
      <w:bookmarkStart w:id="210" w:name="_Toc16460"/>
      <w:bookmarkStart w:id="211" w:name="_Toc6330"/>
      <w:r>
        <w:rPr>
          <w:rFonts w:hint="eastAsia" w:cs="Times New Roman"/>
          <w:b/>
          <w:sz w:val="24"/>
          <w:szCs w:val="24"/>
        </w:rPr>
        <w:t>附</w:t>
      </w:r>
      <w:r>
        <w:rPr>
          <w:rFonts w:cs="Times New Roman"/>
          <w:b/>
          <w:sz w:val="24"/>
          <w:szCs w:val="24"/>
        </w:rPr>
        <w:t>表</w:t>
      </w:r>
      <w:r>
        <w:rPr>
          <w:rFonts w:hint="eastAsia" w:cs="Times New Roman"/>
          <w:b/>
          <w:sz w:val="24"/>
          <w:szCs w:val="24"/>
        </w:rPr>
        <w:t>1 区域</w:t>
      </w:r>
      <w:r>
        <w:rPr>
          <w:rFonts w:cs="Times New Roman"/>
          <w:b/>
          <w:sz w:val="24"/>
          <w:szCs w:val="24"/>
        </w:rPr>
        <w:t>畜禽规模养殖场基本信息清单</w:t>
      </w:r>
      <w:bookmarkEnd w:id="210"/>
      <w:bookmarkEnd w:id="211"/>
    </w:p>
    <w:tbl>
      <w:tblPr>
        <w:tblStyle w:val="23"/>
        <w:tblW w:w="15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90"/>
        <w:gridCol w:w="1980"/>
        <w:gridCol w:w="6326"/>
        <w:gridCol w:w="2073"/>
        <w:gridCol w:w="1734"/>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9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eastAsia" w:cs="Times New Roman"/>
                <w:b/>
                <w:bCs/>
                <w:sz w:val="24"/>
                <w:szCs w:val="24"/>
                <w:lang w:val="en-US" w:eastAsia="zh-CN"/>
              </w:rPr>
              <w:t>序号</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b/>
                <w:bCs/>
                <w:sz w:val="24"/>
                <w:szCs w:val="24"/>
              </w:rPr>
            </w:pPr>
            <w:r>
              <w:rPr>
                <w:rFonts w:hint="eastAsia" w:cs="Times New Roman"/>
                <w:b/>
                <w:bCs/>
                <w:sz w:val="24"/>
                <w:szCs w:val="24"/>
                <w:lang w:val="en-US" w:eastAsia="zh-CN"/>
              </w:rPr>
              <w:t>乡镇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b/>
                <w:bCs/>
                <w:sz w:val="24"/>
                <w:szCs w:val="24"/>
                <w:lang w:val="en-US"/>
              </w:rPr>
            </w:pPr>
            <w:r>
              <w:rPr>
                <w:rFonts w:hint="eastAsia" w:cs="Times New Roman"/>
                <w:b/>
                <w:bCs/>
                <w:sz w:val="24"/>
                <w:szCs w:val="24"/>
                <w:lang w:val="en-US" w:eastAsia="zh-CN"/>
              </w:rPr>
              <w:t>养殖场名称</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b/>
                <w:bCs/>
                <w:sz w:val="24"/>
                <w:szCs w:val="24"/>
              </w:rPr>
            </w:pPr>
            <w:r>
              <w:rPr>
                <w:rFonts w:hint="eastAsia" w:cs="Times New Roman"/>
                <w:b/>
                <w:bCs/>
                <w:sz w:val="24"/>
                <w:szCs w:val="24"/>
                <w:lang w:val="en-US" w:eastAsia="zh-CN"/>
              </w:rPr>
              <w:t>畜种</w:t>
            </w:r>
          </w:p>
        </w:tc>
        <w:tc>
          <w:tcPr>
            <w:tcW w:w="1734" w:type="dxa"/>
            <w:shd w:val="clear" w:color="auto" w:fill="auto"/>
            <w:vAlign w:val="center"/>
          </w:tcPr>
          <w:p>
            <w:pPr>
              <w:keepNext w:val="0"/>
              <w:keepLines w:val="0"/>
              <w:suppressLineNumbers w:val="0"/>
              <w:spacing w:before="0" w:beforeAutospacing="0" w:after="0" w:afterAutospacing="0"/>
              <w:ind w:left="0" w:right="0"/>
              <w:jc w:val="center"/>
              <w:rPr>
                <w:rFonts w:hint="eastAsia" w:cs="Times New Roman"/>
                <w:b/>
                <w:bCs/>
                <w:sz w:val="24"/>
                <w:szCs w:val="24"/>
                <w:lang w:val="en-US" w:eastAsia="zh-CN"/>
              </w:rPr>
            </w:pPr>
            <w:r>
              <w:rPr>
                <w:rFonts w:hint="eastAsia" w:cs="Times New Roman"/>
                <w:b/>
                <w:bCs/>
                <w:sz w:val="24"/>
                <w:szCs w:val="24"/>
                <w:lang w:val="en-US" w:eastAsia="zh-Hans"/>
              </w:rPr>
              <w:t>设计</w:t>
            </w:r>
            <w:r>
              <w:rPr>
                <w:rFonts w:hint="eastAsia" w:cs="Times New Roman"/>
                <w:b/>
                <w:bCs/>
                <w:sz w:val="24"/>
                <w:szCs w:val="24"/>
                <w:lang w:val="en-US" w:eastAsia="zh-CN"/>
              </w:rPr>
              <w:t>出栏量</w:t>
            </w:r>
          </w:p>
          <w:p>
            <w:pPr>
              <w:keepNext w:val="0"/>
              <w:keepLines w:val="0"/>
              <w:suppressLineNumbers w:val="0"/>
              <w:spacing w:before="0" w:beforeAutospacing="0" w:after="0" w:afterAutospacing="0"/>
              <w:ind w:left="0" w:right="0"/>
              <w:jc w:val="center"/>
              <w:rPr>
                <w:rFonts w:hint="eastAsia" w:cs="Times New Roman"/>
                <w:b/>
                <w:bCs/>
                <w:sz w:val="24"/>
                <w:szCs w:val="24"/>
              </w:rPr>
            </w:pPr>
            <w:r>
              <w:rPr>
                <w:rFonts w:hint="eastAsia" w:cs="Times New Roman"/>
                <w:b/>
                <w:bCs/>
                <w:sz w:val="24"/>
                <w:szCs w:val="24"/>
                <w:lang w:val="en-US" w:eastAsia="zh-CN"/>
              </w:rPr>
              <w:t>（头、只、羽）</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b/>
                <w:bCs/>
                <w:sz w:val="24"/>
                <w:szCs w:val="24"/>
              </w:rPr>
            </w:pPr>
            <w:r>
              <w:rPr>
                <w:rFonts w:hint="eastAsia" w:cs="Times New Roman"/>
                <w:b/>
                <w:bCs/>
                <w:sz w:val="24"/>
                <w:szCs w:val="24"/>
                <w:lang w:val="en-US" w:eastAsia="zh-CN"/>
              </w:rPr>
              <w:t>已建设施情况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万琳海种养殖专业合作社（牟海德）</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成龙家庭农场（林三成）</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红民种养殖专业合作社（杨金）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一峰家庭农场（王一峰）</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洪民家庭农场（苟红琼）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乾丰合作社（杨志明）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巴国农业有限公司（肖静）</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丰州家庭农场（王冬梅）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青平种养殖合作社（蒲清平）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700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翔洋种养殖专业合作社（樊洪刚）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建红家庭农场（张红）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王氏家庭农场（彭交）</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张荣家庭农场（张荣）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碧山养殖场（邓超）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瑞丰家庭农场（苟勇刚）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永福家庭农场（罗志文）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众惠养殖场（李均益）</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吴杨繁荣养殖场（吴兴明）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巴郡源生态养殖场（王文洲）</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巴中市巴州区关渡乡拓兴种养殖厂（温旭）</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巴中市巴州区孚兴农场（程文兵）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程氏家庭农场（程凯）</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巴中市巴州区茶山咀养殖专业合作社（张文龙）</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巴中市巴州区关渡乡江伟家庭农场（王伟）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巴中市巴州区兴牧养殖专业合作社（程志平）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巴中市巴州区兴牧养殖专业合作社（卢有平）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巴中市巴州区恒丰绿园养殖专业合作社（冯平）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巴州区星玥养殖家庭农场（周清正）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巴中市巴州区众合养殖专业合作社（李朝阳）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巴州区永久种养殖专业合作社（张雄）</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巴州区清江镇富强家庭农场（苟旭东）</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郁君园果蔬种养殖专业合作社（李郁平）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巴中市巴州区隆生鑫发农场（吴涛）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巴州区长岩碥种养殖专业合作社（谯亚东）</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巴州区志平养殖场（杨志平）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巴州区红豆种养殖家庭农场（刘文）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巴中市巴州区黄树岭种养殖专业合作社（唐吉林）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巴州区清江镇东鑫家庭农场（苟雪平）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39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巴中市巴州区财富家庭农场（黄海军）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巴中市巴州区政翔种养殖专业合作社（杨永正）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巴州区清江镇印合家庭农场（黄伟）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巴中温氏畜牧有限公司（招华任）</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巴中市巴州区雄吉种养殖专业合作社（任燕）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巴州区金秀种养殖专业合作社（岳金东）</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巴州区百草中药材种植专业合作社（徐泽强）</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巴州区星瑞种养殖专业合作社（李和平）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巴州区金源种养殖专合社（李金平）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巴州区宇郦种养殖专业合作社（高有为）</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4999</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49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巴州区滋盛农业合伙企业（张琼英）</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4999</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光辉镇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新滢农业发展有限公司（王新滢）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光辉镇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虎家养殖场（曾军）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光辉镇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虎雄养殖场（虎雄）</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光辉镇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庆伟养殖场（虎庆伟）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巴中市巴州区伟红农场（吴伟文）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巴中市巴州区顺意生猪养殖专业合作社（胡波）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巴中市巴州区宏发万兴养殖场（刘永寿）</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巴中市巴州区大和乡志艳家庭农场（张志）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巴中市巴州区大和乡雄英养殖场（王雄）</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59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巴中市巴州区猪猪旺种养殖专业合作社（程静华）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巴州区兴胜农场（王松）</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巴中市巴州区宏展生猪养殖专业合作社（魏波）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巴中市巴州区岗石农场（施娇）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巴州区绿塬养殖场（刘申吉）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巴中市巴州区巴耳样养殖专业合作社（王人辉）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巴州区宏大种养殖厂（尤文红）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贺文涛养牛场（贺文涛）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巴山种养殖专业合作社（吴三礼）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杨二姐种养殖专业合作社（孙兵）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69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巴州区李玉方养殖场（李玉方）</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红石笋养殖专业合作社（李攀）</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秀泉农业有限公司（李天柱）</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述群种养殖专业合作社（马贤弟）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巴州区余氏养殖场（余祚用）</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巴州区鸿达养殖场（张大兵）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巴州区晓琴家庭农场（程晓琴）</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宏满山农业科技有限公司（王军）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巴州区华发养殖场（何发金）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宕梁街道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杨飞</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79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宕梁街道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傅彩华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大茅坪镇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世强养殖场（张世强）</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大茅坪镇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永泰家庭农场（张书博）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大茅坪镇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四川蕊嘉懿农业科技有限公司（冯勇）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三江镇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巴中市巴州区回星种养殖专业合作社（王涛）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三江镇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巴中市巴州区圭地械贤养殖农场（张佳）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巴中市巴州区宝煜种养殖专业合作社（代美发）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巴中市巴州区瑞森种养殖专业合作社（杨杰）</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巴中市巴州区燕华种养殖专业合作社（王海燕）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巴中市巴州区嘉豪种养殖专业合作社（张瑞）</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89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巴州区华鑫苏态猪生态养殖专业合作社（庞济显）</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巴中市巴州区甘沟河农场（许宏斌）</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巴中市天宏生态农业发展有限责任公司（赵金玲）</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sz w:val="24"/>
                <w:szCs w:val="24"/>
                <w:lang w:eastAsia="zh-Hans"/>
              </w:rPr>
            </w:pPr>
            <w:r>
              <w:rPr>
                <w:rFonts w:hint="eastAsia" w:cs="Times New Roman"/>
                <w:sz w:val="24"/>
                <w:szCs w:val="24"/>
                <w:lang w:val="en-US" w:eastAsia="zh-Hans"/>
              </w:rPr>
              <w:t>肉鸡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巴中市巴州区新荣种养殖专业合作社（刘仕荣）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Hans"/>
              </w:rPr>
              <w:t>肉鸡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巴中市巴州区茂林森养殖专业合作社（陈茂林）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Hans"/>
              </w:rPr>
              <w:t>肉鸡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白庙乡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巴中市巴州区白庙乡陈城家庭农场（陈大明）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Hans"/>
              </w:rPr>
              <w:t>肉鸡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巴中市巴州区佳牧养殖合作社（李勇）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巴中市巴州区金源种养殖专业合作社（李广金）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巴中市巴州区佳丽养殖专业合作社（杨明宜）</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巴中市巴州区福顺种养殖专业合作社（杨显伟）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99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巴中市巴州区成锦种养殖专业合作社（杨志成）</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巴中市巴州区锦源利种养殖专业合作社（蒲廷坤）</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巴中市巴州区龙背乡马鞍种养殖专业合作社（赵清松）</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巴中市巴州区洪昌养殖农民专业合作社（张鹏）</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巴中市巴州区鼎山镇罗儿梁兴旺种养殖家庭农场（苟兆华）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1400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巴中市巴州区益生源生态养殖专业合作社（陈尚文）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巴中市巴州区鼎山镇代强家庭农场（李代强）</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巴中市巴州区悠园养殖专业合作社（罗华）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巴中市巴州区宝峰山种养殖专业合作社（杨会之）</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巴中市巴州区康华种养殖专业合作社（彭康）</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109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巴中市巴州区强兵种养殖专业合作社（王兵）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巴中市巴州区百亚养殖专业合作社（巨韬）</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巴中市巴州区画眉梁种植专业合作社（谯兵）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巴中市巴州区金萍养殖专业合作社（袁平）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巴中市巴州区宏妍种养殖专业合作社（罗伟）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巴中市巴州区鹏源养殖场（张飞燕）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巴中市巴州区煜城种植专业合作社（何刚）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巴中市巴州区凉凉种养殖专业合作社（杨宗奎）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巴中市巴州区林芫诚养殖专业合作社（张芫）</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巴中市巴州区源通种养殖专业合作社（向明黎）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119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巴中温氏畜牧有限公司（招华任）</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巴中市巴州区鼎山镇刘成养殖场（刘清平）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巴州区鼎山镇陈叶家庭农场（罗伟）</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巴中市巴州区留学弯种养殖专业合作社（周锐）</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2450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巴中市巴州区鑫协种植专业合作社（夏君）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巴中市巴州区利强种养殖专业合作社（钟玉勇）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巴州区鼎山镇福旺海家庭农场（赵微）</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巴州欣腾家庭农场（袁海均）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巴中市巴州区俊豪养殖专业合作社（张皎）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巴中市巴州区龙背乡康轩家庭农场（扬琴）</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129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巴州区鼎山镇豪捷家庭养殖场（谯杰）</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巴中市巴州区国色天香种养殖专业合作社（彭香华）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巴州区鼎山镇天蓬祥居家庭农场（陈阳）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巴州区鼎山镇鑫兴园家庭农场（徐翠华）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巴中市巴州区白氏种养专业合作社（白朝林）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巴州区鼎山镇渝博养殖家庭农场（刘赢博）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巴州区鼎山镇坤鹏养殖家庭农场（杨显能）</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巴州区鼎山镇天西家庭农场（李天彬）</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巴州区婕风家庭农场（刘华成）</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巴中市巴州区仕晓种养殖专业合作社（刘仕晓）</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139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巴中市巴州区兴凤山种养殖专业合作社（彭爱民）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巴中市巴州区海螺种养殖专业合作社（杨红梅）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750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巴中市巴州区红丽种养殖专业合作社（傅绍红）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巴中市巴州区运通养殖专合社（杨勇正）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巴中市巴州区柳云庄种养殖专合社（刘震）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巴中市巴州区正欣养殖专业合作社（王志明）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巴中市巴州区鑫乐农场（罗中尧）</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化成镇茶山农场（谢艳君）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巴中市巴州区奎星楼生态种养殖专业合作社（付宏）</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巴中市巴州区瑞创种养殖专业合作社（张晓燕）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149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巴中市康梦种养殖农场（施天保）</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巴州区化成镇李军养殖场（李军）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巴中市巴州区清源种养殖专业合作社（陈明）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巴中市巴州区杨家梁养殖专业合作社（何发见）</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巴中市巴州区弘祥鼎种养殖专业合作社（牟顶太）</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巴中市巴州区青灵华跃种养殖专业合作社（蒋华明）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巴州区平梁镇松林村福园养殖场（杨青福）</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700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周荟琼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四川省巴中市巴州区安山养殖场（李中云）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巴中市巴州区寺岭镇良勇养殖场（刘良勇）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159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巴中市巴州区卫东种养殖专业合作社（屈卫东）</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巴中市巴州区贵荣农场（张正桂）</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巴中市巴州区田源牧歌养殖场（刘浩）</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巴州区寺岭镇钟德养殖场（董会明）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巴中市巴州区鑫旺养殖专业合作社（李勇军）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巴中市巴州区顺鑫养殖专业合作社（贺广顺）</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巴中市巴州区润和种养殖专业合作社（陈刚）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巴中市巴州区康生种养殖专业合作社（杨大海）</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巴中市巴州区金瑞山及停车（王博）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巴中市巴州区瑞泰惠农科技发展有限责任公司（苟博宁）</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169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巴中市巴州区龙凤呈祥种养殖专业合作社（夏艾琼）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巴中市巴州区兴义种养殖专业合作社（杨兴义）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巴中市巴州区高老庄种养殖专业合作社（高军）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巴中市巴州区清和种养殖专业合作社（张从德）</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巴中市巴州区黄粱树村种养殖专业合作社（李建华）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巴中温氏畜牧有限公司（二龙种猪场</w:t>
            </w:r>
            <w:r>
              <w:rPr>
                <w:rFonts w:hint="default" w:cs="Times New Roman"/>
                <w:sz w:val="24"/>
                <w:szCs w:val="24"/>
                <w:lang w:val="en-US" w:eastAsia="zh-CN"/>
              </w:rPr>
              <w:t xml:space="preserve"> </w:t>
            </w:r>
            <w:r>
              <w:rPr>
                <w:rFonts w:hint="eastAsia" w:cs="Times New Roman"/>
                <w:sz w:val="24"/>
                <w:szCs w:val="24"/>
                <w:lang w:val="en-US" w:eastAsia="zh-CN"/>
              </w:rPr>
              <w:t>招华任）</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rPr>
            </w:pPr>
            <w:r>
              <w:rPr>
                <w:rFonts w:hint="eastAsia" w:cs="Times New Roman"/>
                <w:sz w:val="24"/>
                <w:szCs w:val="24"/>
                <w:lang w:val="en-US" w:eastAsia="zh-CN"/>
              </w:rPr>
              <w:t>80000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新兵种养殖专业合作社（苟军）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巴中市德源隆生态农业有限公司（谯超）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巴中市巴州区惠农种养殖专业合作社（张兰英）</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巴中市巴州区凉风垭安平农场（杨芙蓉）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179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巴州区曾口镇六兴养殖场（何林荣）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巴中市巴州区永国家庭农场（吴德华）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巴中市巴州区腾龙种养殖专业合作社（高大宏）</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巴中市巴州区当和养殖有限公司（陈兵）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巴中市巴州区添忆特种养殖有限公司（张显汉）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巴中市双月亮养殖农场（何月）</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巴州区曾口镇永乐吉养殖场（蒲云）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巴中市巴州区曾口镇鑫盛家庭农场（冯建平）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巴中市巴州区鑫茂家庭农场（邱红）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巴州区曾口镇会容养殖场（吴会）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189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巴中市巴州区果邦家庭农场（高鹏）</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巴中市巴州区兴旺家庭农场（刘华）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1704</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巴中市巴州区巴山云牧家庭农场（曾承华）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657</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巴中市巴州区攀登养殖专业合作社（王举）</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1406</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巴中市巴州区丽明农场（王学林）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1098</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巴中市巴州区土门观安志种养殖专业合作社（王文志）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1900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金顶养殖专业合作社（蔡容）</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2450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巴中市巴州区尹达种养殖专业合作社（张玉竹）</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1700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巴州区水宁寺镇金源生猪养殖场（黄小均）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2398</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巴中市巴州区花溪明山种养殖专业合作社（吴良映）</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199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巴中市巴州区侯家林养殖专业合作社（侯强林）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巴中市巴州区金子辉煌养殖专业合作社（谯红林）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巴中市巴州区林轩种养殖专业合作社（符敏轩）</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巴中市巴州区猪猪侠养殖专业合作社（谯骁）</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明康养殖场（米涛春）</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巴中市巴州区明德种养殖专业合作社（戚俊华）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巴中市巴州区欣兴旺养殖家庭农场（杨文东）</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巴中市巴州区侯家岭种养殖专业合作社（张巧）</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207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巴中市巴州区盛世家庭农场（侯玲英）</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208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江北街道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森林黑生态养殖场（杨华琼）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209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江北街道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火炎焱家庭农场</w:t>
            </w:r>
            <w:r>
              <w:rPr>
                <w:rFonts w:hint="eastAsia" w:cs="Times New Roman"/>
                <w:sz w:val="24"/>
                <w:szCs w:val="24"/>
                <w:lang w:val="en-US" w:eastAsia="zh-CN"/>
              </w:rPr>
              <w:t>（李飞）</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江北街道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刘家山种养专合社</w:t>
            </w:r>
            <w:r>
              <w:rPr>
                <w:rFonts w:hint="eastAsia" w:cs="Times New Roman"/>
                <w:sz w:val="24"/>
                <w:szCs w:val="24"/>
                <w:lang w:val="en-US" w:eastAsia="zh-CN"/>
              </w:rPr>
              <w:t>（刘林权）</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4000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江北街道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联友种养场</w:t>
            </w:r>
            <w:r>
              <w:rPr>
                <w:rFonts w:hint="eastAsia" w:cs="Times New Roman"/>
                <w:sz w:val="24"/>
                <w:szCs w:val="24"/>
                <w:lang w:val="en-US" w:eastAsia="zh-CN"/>
              </w:rPr>
              <w:t>（冉银平）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盛强种养专合社</w:t>
            </w:r>
            <w:r>
              <w:rPr>
                <w:rFonts w:hint="eastAsia" w:cs="Times New Roman"/>
                <w:sz w:val="24"/>
                <w:szCs w:val="24"/>
                <w:lang w:val="en-US" w:eastAsia="zh-CN"/>
              </w:rPr>
              <w:t>（张云华）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大罗镇兴园家庭农场</w:t>
            </w:r>
            <w:r>
              <w:rPr>
                <w:rFonts w:hint="eastAsia" w:cs="Times New Roman"/>
                <w:sz w:val="24"/>
                <w:szCs w:val="24"/>
                <w:lang w:val="en-US" w:eastAsia="zh-CN"/>
              </w:rPr>
              <w:t>（罗冬成）</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鑫渝养殖合作社</w:t>
            </w:r>
            <w:r>
              <w:rPr>
                <w:rFonts w:hint="eastAsia" w:cs="Times New Roman"/>
                <w:sz w:val="24"/>
                <w:szCs w:val="24"/>
                <w:lang w:val="en-US" w:eastAsia="zh-CN"/>
              </w:rPr>
              <w:t>（赵品荣）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七瑞种养专合社</w:t>
            </w:r>
            <w:r>
              <w:rPr>
                <w:rFonts w:hint="eastAsia" w:cs="Times New Roman"/>
                <w:sz w:val="24"/>
                <w:szCs w:val="24"/>
                <w:lang w:val="en-US" w:eastAsia="zh-CN"/>
              </w:rPr>
              <w:t>（陈瑞）</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4500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姊妹养殖专合社</w:t>
            </w:r>
            <w:r>
              <w:rPr>
                <w:rFonts w:hint="eastAsia" w:cs="Times New Roman"/>
                <w:sz w:val="24"/>
                <w:szCs w:val="24"/>
                <w:lang w:val="en-US" w:eastAsia="zh-CN"/>
              </w:rPr>
              <w:t>（聂建）</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217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大罗镇卓之亦养殖农场</w:t>
            </w:r>
            <w:r>
              <w:rPr>
                <w:rFonts w:hint="eastAsia" w:cs="Times New Roman"/>
                <w:sz w:val="24"/>
                <w:szCs w:val="24"/>
                <w:lang w:val="en-US" w:eastAsia="zh-CN"/>
              </w:rPr>
              <w:t>（杨华）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3500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218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大罗镇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default" w:cs="Times New Roman"/>
                <w:sz w:val="24"/>
                <w:szCs w:val="24"/>
                <w:lang w:val="en-US" w:eastAsia="zh-CN"/>
              </w:rPr>
              <w:t>隆泰养殖专合社</w:t>
            </w:r>
            <w:r>
              <w:rPr>
                <w:rFonts w:hint="eastAsia" w:cs="Times New Roman"/>
                <w:sz w:val="24"/>
                <w:szCs w:val="24"/>
                <w:lang w:val="en-US" w:eastAsia="zh-CN"/>
              </w:rPr>
              <w:t>张小平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219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福鑫种养殖专业合作社（王勇）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梁永镇永旺家庭农场（白国政）</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巴州区俊茂种养殖农场（唐俊）</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万琳海种养殖专业合作社（牟海德）</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成龙家庭农场（林三成）</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红民种养殖专业合作社（杨金）</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一峰家庭农场（王一峰）</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洪民家庭农场（苟红琼）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乾丰合作社（杨志明）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巴国农业有限公司（肖静）</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丰州家庭农场（王冬梅）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青平种养殖合作社（蒲清平）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700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翔洋种养殖专业合作社（樊洪刚）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建红家庭农场（张红）</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王氏家庭农场（彭交）</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张荣家庭农场（张荣）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碧山养殖场（邓超）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瑞丰家庭农场（苟勇刚）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永福家庭农场（罗志文）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众惠养殖场（李均益）</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吴杨繁荣养殖场（吴兴明）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eastAsia="仿宋" w:cs="Times New Roman"/>
                <w:sz w:val="24"/>
                <w:szCs w:val="24"/>
                <w:lang w:val="en-US" w:eastAsia="zh-CN"/>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巴郡源生态养殖场（王文洲）</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巴中市巴州区关渡乡大排山农场（简新华）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巴中市巴州区关渡乡大财富牛家庭农场（苟林）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巴中市巴州区幸福家庭农场（施雄）</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巴中市巴州区强兴种养殖专业合作社（蔡强元）</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巴中市巴州区博润养殖专业合作社（鲜莉）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巴中市奉二肉牛养殖农场（施汶汝）</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巴中市巴州区硕丰家庭农场（汪榜国）</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巴州区吉祥富贵养殖家庭农场（张小平）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秧田沟种养专业合作社（许冰清）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巴州区农汇家庭农场（刘文平）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生猪</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杜何刘种养殖专合社（杜斌）</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160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巴中市巴州区繁茂养殖场（王尔才）</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汪劲松</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巴中市巴州区大和界牌种养专业合作社（程天兵）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巴州区先锋养殖场（陈容华）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禄秀种养殖专业合作社（石天禄）</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巴州区蔡氏养殖场（蔡兵）</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四川省巴中市巴州区鼎山镇鑫旺家庭农场（谯攀）</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巴中市巴州区滕华养殖专业合作社（谯腾）</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巴中市巴州区鼎山绿丰生态养殖场（陈涛）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巴中市巴州区刘家庄农场（刘小平）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巴中市巴州区绿享家庭农场（王维）</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263</w:t>
            </w:r>
          </w:p>
        </w:tc>
        <w:tc>
          <w:tcPr>
            <w:tcW w:w="1980"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鼎山镇首市村巴山肉牛育肥基地（代昌军）</w:t>
            </w:r>
          </w:p>
        </w:tc>
        <w:tc>
          <w:tcPr>
            <w:tcW w:w="207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10000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大元养殖场（屈钊信）</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黄东包牛场（陈召）</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塔子坪牧业公司（倪正新）</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喻慧</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敖勇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陈明加</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陈姝利</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苏余钞</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泽阳养殖场（刘智慧）</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康鑫种养殖合作社（金素芳）</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116</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曾口镇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锐燕养殖场（金晓燕）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127</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巴中市巴州区水宁寺镇继荣养牛场（陈继荣）</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129</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巴中市巴州区水宁寺镇双全种养殖场（陈双全）</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104</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水宁寺镇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巴中市巴州区隆康养殖专业合作社（冯国兆）</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125</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回风街道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巴州区顺兴养殖场（王晓霞）</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肉牛</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200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lang w:val="en-US" w:eastAsia="zh-CN"/>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梁永镇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巴州区骏源种养殖专业合作社（樊宏）</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聚缘种养殖专业合作社（廖正富）</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五顶种养殖专业合作社（黄林）</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巴州区德英家庭农场（马德英）</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巴州区林山黄羊养殖场（黄礼军）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枣林镇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巴州区鸿郦黄羊养殖场（贺继茂）</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巴中市巴州区禾祥农场（张定美）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鑫婷养殖合作社（张会琼）</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杨进仕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王仕勇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700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陈彩明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巴中市巴州区天马养殖专业合作社（冯玉）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天马山镇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一一种养殖专业合作社（李虎一）</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凤溪镇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巴州区凤溪镇兴荣畅梦养殖家庭农场（唐荣华）</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羊</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清江镇杏垭村</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巴中市巴州区雄吉种养殖专业合作社（任燕）</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巴州区富邦那养殖专合（焦丽涉）</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26500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玉堂街道</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巴州区花果山家庭农场（肖建国）</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25800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巴中市巴州区金鑫种养殖专业合作社（谯大军）</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297</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巴中市巴州区大和乡仕成生态家庭农场（王书亭）</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50000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298</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巴中市巴州区大和乡凤鸣家庭养殖场（王文）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40000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299</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大和乡刘勇养殖场（刘勇）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明文武家庭农场（明文武）</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301</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大和乡</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秦巴土鸡养殖场（罗友仁）</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cs="Times New Roman"/>
                <w:sz w:val="24"/>
                <w:szCs w:val="24"/>
                <w:lang w:val="en-US"/>
              </w:rPr>
            </w:pPr>
            <w:r>
              <w:rPr>
                <w:rFonts w:hint="eastAsia" w:eastAsia="宋体" w:cs="Times New Roman"/>
                <w:i w:val="0"/>
                <w:iCs w:val="0"/>
                <w:color w:val="000000"/>
                <w:kern w:val="0"/>
                <w:sz w:val="24"/>
                <w:szCs w:val="24"/>
                <w:u w:val="none"/>
                <w:lang w:val="en-US" w:eastAsia="zh-CN" w:bidi="ar"/>
              </w:rPr>
              <w:t>302</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鼎山镇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巴中市巴州区鼎山镇绿野康诚家庭农场（罗智勇）</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35000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cs="Times New Roman"/>
                <w:sz w:val="24"/>
                <w:szCs w:val="24"/>
                <w:lang w:val="en-US"/>
              </w:rPr>
            </w:pPr>
            <w:r>
              <w:rPr>
                <w:rFonts w:hint="eastAsia" w:eastAsia="宋体" w:cs="Times New Roman"/>
                <w:i w:val="0"/>
                <w:iCs w:val="0"/>
                <w:color w:val="000000"/>
                <w:kern w:val="0"/>
                <w:sz w:val="24"/>
                <w:szCs w:val="24"/>
                <w:u w:val="none"/>
                <w:lang w:val="en-US" w:eastAsia="zh-CN" w:bidi="ar"/>
              </w:rPr>
              <w:t>303</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平梁镇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张国清</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蛋鸡</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200000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cs="Times New Roman"/>
                <w:sz w:val="24"/>
                <w:szCs w:val="24"/>
                <w:lang w:val="en-US"/>
              </w:rPr>
            </w:pPr>
            <w:r>
              <w:rPr>
                <w:rFonts w:hint="eastAsia" w:eastAsia="宋体" w:cs="Times New Roman"/>
                <w:i w:val="0"/>
                <w:iCs w:val="0"/>
                <w:color w:val="000000"/>
                <w:kern w:val="0"/>
                <w:sz w:val="24"/>
                <w:szCs w:val="24"/>
                <w:u w:val="none"/>
                <w:lang w:val="en-US" w:eastAsia="zh-CN" w:bidi="ar"/>
              </w:rPr>
              <w:t>304</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清江镇亮垭村</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巴中市巴州区滕耀种养殖专业合作社（陈玲）</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兔</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cs="Times New Roman"/>
                <w:sz w:val="24"/>
                <w:szCs w:val="24"/>
                <w:lang w:val="en-US"/>
              </w:rPr>
            </w:pPr>
            <w:r>
              <w:rPr>
                <w:rFonts w:hint="eastAsia" w:eastAsia="宋体" w:cs="Times New Roman"/>
                <w:i w:val="0"/>
                <w:iCs w:val="0"/>
                <w:color w:val="000000"/>
                <w:kern w:val="0"/>
                <w:sz w:val="24"/>
                <w:szCs w:val="24"/>
                <w:u w:val="none"/>
                <w:lang w:val="en-US" w:eastAsia="zh-CN" w:bidi="ar"/>
              </w:rPr>
              <w:t>305</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清江镇中岭村</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巴州区清江镇芃琳养殖场（刘永通）</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兔</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10000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2" w:hRule="atLeast"/>
          <w:jc w:val="center"/>
        </w:trPr>
        <w:tc>
          <w:tcPr>
            <w:tcW w:w="1290"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bottom"/>
              <w:rPr>
                <w:rFonts w:hint="default" w:eastAsia="仿宋" w:cs="Times New Roman"/>
                <w:sz w:val="24"/>
                <w:szCs w:val="24"/>
                <w:lang w:val="en-US" w:eastAsia="zh-CN"/>
              </w:rPr>
            </w:pPr>
            <w:r>
              <w:rPr>
                <w:rFonts w:hint="eastAsia" w:eastAsia="宋体" w:cs="Times New Roman"/>
                <w:i w:val="0"/>
                <w:iCs w:val="0"/>
                <w:color w:val="000000"/>
                <w:kern w:val="0"/>
                <w:sz w:val="24"/>
                <w:szCs w:val="24"/>
                <w:u w:val="none"/>
                <w:lang w:val="en-US" w:eastAsia="zh-CN" w:bidi="ar"/>
              </w:rPr>
              <w:t>306</w:t>
            </w:r>
          </w:p>
        </w:tc>
        <w:tc>
          <w:tcPr>
            <w:tcW w:w="1980"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化成镇</w:t>
            </w:r>
          </w:p>
        </w:tc>
        <w:tc>
          <w:tcPr>
            <w:tcW w:w="6326"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窑湾种养殖厂（王春）</w:t>
            </w:r>
          </w:p>
        </w:tc>
        <w:tc>
          <w:tcPr>
            <w:tcW w:w="20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兔</w:t>
            </w:r>
          </w:p>
        </w:tc>
        <w:tc>
          <w:tcPr>
            <w:tcW w:w="173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lang w:val="en-US" w:eastAsia="zh-CN"/>
              </w:rPr>
              <w:t>15000</w:t>
            </w:r>
          </w:p>
        </w:tc>
        <w:tc>
          <w:tcPr>
            <w:tcW w:w="1973"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sz w:val="24"/>
                <w:szCs w:val="24"/>
              </w:rPr>
            </w:pPr>
            <w:r>
              <w:rPr>
                <w:rFonts w:hint="eastAsia" w:cs="Times New Roman"/>
                <w:sz w:val="24"/>
                <w:szCs w:val="24"/>
                <w:lang w:val="en-US" w:eastAsia="zh-CN"/>
              </w:rPr>
              <w:t>已建成</w:t>
            </w:r>
          </w:p>
        </w:tc>
      </w:tr>
    </w:tbl>
    <w:p>
      <w:pPr>
        <w:rPr>
          <w:rFonts w:cs="Times New Roman"/>
          <w:sz w:val="24"/>
          <w:szCs w:val="24"/>
        </w:rPr>
      </w:pPr>
    </w:p>
    <w:p>
      <w:pPr>
        <w:keepNext/>
        <w:keepLines/>
        <w:pageBreakBefore/>
        <w:jc w:val="center"/>
        <w:outlineLvl w:val="1"/>
        <w:rPr>
          <w:rFonts w:cs="Times New Roman"/>
          <w:b/>
          <w:sz w:val="24"/>
          <w:szCs w:val="24"/>
        </w:rPr>
      </w:pPr>
      <w:bookmarkStart w:id="212" w:name="_Toc24157"/>
      <w:bookmarkStart w:id="213" w:name="_Toc26293"/>
      <w:r>
        <w:rPr>
          <w:rFonts w:hint="eastAsia" w:cs="Times New Roman"/>
          <w:b/>
          <w:sz w:val="24"/>
          <w:szCs w:val="24"/>
        </w:rPr>
        <w:t>附</w:t>
      </w:r>
      <w:r>
        <w:rPr>
          <w:rFonts w:cs="Times New Roman"/>
          <w:b/>
          <w:sz w:val="24"/>
          <w:szCs w:val="24"/>
        </w:rPr>
        <w:t>表</w:t>
      </w:r>
      <w:r>
        <w:rPr>
          <w:rFonts w:hint="eastAsia" w:cs="Times New Roman"/>
          <w:b/>
          <w:sz w:val="24"/>
          <w:szCs w:val="24"/>
        </w:rPr>
        <w:t xml:space="preserve">2 </w:t>
      </w:r>
      <w:r>
        <w:rPr>
          <w:rFonts w:cs="Times New Roman"/>
          <w:b/>
          <w:sz w:val="24"/>
          <w:szCs w:val="24"/>
        </w:rPr>
        <w:t>畜禽养殖场</w:t>
      </w:r>
      <w:r>
        <w:rPr>
          <w:rFonts w:hint="eastAsia" w:cs="Times New Roman"/>
          <w:b/>
          <w:sz w:val="24"/>
          <w:szCs w:val="24"/>
          <w:lang w:val="en-US" w:eastAsia="zh-CN"/>
        </w:rPr>
        <w:t>和养殖</w:t>
      </w:r>
      <w:r>
        <w:rPr>
          <w:rFonts w:hint="eastAsia" w:cs="Times New Roman"/>
          <w:b/>
          <w:sz w:val="24"/>
          <w:szCs w:val="24"/>
        </w:rPr>
        <w:t>户</w:t>
      </w:r>
      <w:r>
        <w:rPr>
          <w:rFonts w:cs="Times New Roman"/>
          <w:b/>
          <w:sz w:val="24"/>
          <w:szCs w:val="24"/>
        </w:rPr>
        <w:t>粪污</w:t>
      </w:r>
      <w:r>
        <w:rPr>
          <w:rFonts w:hint="eastAsia" w:cs="Times New Roman"/>
          <w:b/>
          <w:sz w:val="24"/>
          <w:szCs w:val="24"/>
        </w:rPr>
        <w:t>肥料化</w:t>
      </w:r>
      <w:r>
        <w:rPr>
          <w:rFonts w:cs="Times New Roman"/>
          <w:b/>
          <w:sz w:val="24"/>
          <w:szCs w:val="24"/>
        </w:rPr>
        <w:t>利用配套土地面积要求清单</w:t>
      </w:r>
      <w:bookmarkEnd w:id="212"/>
      <w:bookmarkEnd w:id="213"/>
    </w:p>
    <w:tbl>
      <w:tblPr>
        <w:tblStyle w:val="23"/>
        <w:tblW w:w="15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94"/>
        <w:gridCol w:w="1985"/>
        <w:gridCol w:w="6343"/>
        <w:gridCol w:w="2078"/>
        <w:gridCol w:w="1739"/>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4"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eastAsia" w:cs="Times New Roman"/>
                <w:b/>
                <w:bCs/>
                <w:sz w:val="24"/>
                <w:szCs w:val="24"/>
                <w:lang w:val="en-US" w:eastAsia="zh-CN"/>
              </w:rPr>
              <w:t>序号</w:t>
            </w:r>
          </w:p>
        </w:tc>
        <w:tc>
          <w:tcPr>
            <w:tcW w:w="1985"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b/>
                <w:bCs/>
                <w:sz w:val="24"/>
                <w:szCs w:val="24"/>
              </w:rPr>
            </w:pPr>
            <w:r>
              <w:rPr>
                <w:rFonts w:hint="eastAsia" w:cs="Times New Roman"/>
                <w:b/>
                <w:bCs/>
                <w:sz w:val="24"/>
                <w:szCs w:val="24"/>
                <w:lang w:val="en-US" w:eastAsia="zh-CN"/>
              </w:rPr>
              <w:t>乡镇</w:t>
            </w:r>
          </w:p>
        </w:tc>
        <w:tc>
          <w:tcPr>
            <w:tcW w:w="6343"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b/>
                <w:bCs/>
                <w:sz w:val="24"/>
                <w:szCs w:val="24"/>
                <w:lang w:val="en-US"/>
              </w:rPr>
            </w:pPr>
            <w:r>
              <w:rPr>
                <w:rFonts w:hint="eastAsia" w:cs="Times New Roman"/>
                <w:b/>
                <w:bCs/>
                <w:sz w:val="24"/>
                <w:szCs w:val="24"/>
                <w:lang w:val="en-US" w:eastAsia="zh-CN"/>
              </w:rPr>
              <w:t>养殖场/养殖户名称</w:t>
            </w:r>
          </w:p>
        </w:tc>
        <w:tc>
          <w:tcPr>
            <w:tcW w:w="2078" w:type="dxa"/>
            <w:shd w:val="clear" w:color="auto" w:fill="auto"/>
            <w:noWrap/>
            <w:vAlign w:val="center"/>
          </w:tcPr>
          <w:p>
            <w:pPr>
              <w:keepNext w:val="0"/>
              <w:keepLines w:val="0"/>
              <w:suppressLineNumbers w:val="0"/>
              <w:spacing w:before="0" w:beforeAutospacing="0" w:after="0" w:afterAutospacing="0"/>
              <w:ind w:left="0" w:right="0"/>
              <w:jc w:val="center"/>
              <w:rPr>
                <w:rFonts w:hint="eastAsia" w:cs="Times New Roman"/>
                <w:b/>
                <w:bCs/>
                <w:sz w:val="24"/>
                <w:szCs w:val="24"/>
              </w:rPr>
            </w:pPr>
            <w:r>
              <w:rPr>
                <w:rFonts w:hint="eastAsia" w:cs="Times New Roman"/>
                <w:b/>
                <w:bCs/>
                <w:sz w:val="24"/>
                <w:szCs w:val="24"/>
                <w:lang w:val="en-US" w:eastAsia="zh-CN"/>
              </w:rPr>
              <w:t>畜种</w:t>
            </w:r>
          </w:p>
        </w:tc>
        <w:tc>
          <w:tcPr>
            <w:tcW w:w="1739" w:type="dxa"/>
            <w:shd w:val="clear" w:color="auto" w:fill="auto"/>
            <w:vAlign w:val="center"/>
          </w:tcPr>
          <w:p>
            <w:pPr>
              <w:keepNext w:val="0"/>
              <w:keepLines w:val="0"/>
              <w:suppressLineNumbers w:val="0"/>
              <w:spacing w:before="0" w:beforeAutospacing="0" w:after="0" w:afterAutospacing="0"/>
              <w:ind w:left="0" w:right="0"/>
              <w:jc w:val="center"/>
              <w:rPr>
                <w:rFonts w:hint="eastAsia" w:cs="Times New Roman"/>
                <w:b/>
                <w:bCs/>
                <w:sz w:val="24"/>
                <w:szCs w:val="24"/>
                <w:highlight w:val="none"/>
                <w:lang w:val="en-US" w:eastAsia="zh-CN"/>
              </w:rPr>
            </w:pPr>
            <w:r>
              <w:rPr>
                <w:rFonts w:hint="eastAsia" w:cs="Times New Roman"/>
                <w:b/>
                <w:bCs/>
                <w:sz w:val="24"/>
                <w:szCs w:val="24"/>
                <w:highlight w:val="none"/>
                <w:lang w:val="en-US" w:eastAsia="zh-CN"/>
              </w:rPr>
              <w:t>出栏量</w:t>
            </w:r>
          </w:p>
          <w:p>
            <w:pPr>
              <w:keepNext w:val="0"/>
              <w:keepLines w:val="0"/>
              <w:suppressLineNumbers w:val="0"/>
              <w:spacing w:before="0" w:beforeAutospacing="0" w:after="0" w:afterAutospacing="0"/>
              <w:ind w:left="0" w:right="0"/>
              <w:jc w:val="center"/>
              <w:rPr>
                <w:rFonts w:hint="eastAsia" w:cs="Times New Roman"/>
                <w:b/>
                <w:bCs/>
                <w:sz w:val="24"/>
                <w:szCs w:val="24"/>
                <w:highlight w:val="none"/>
              </w:rPr>
            </w:pPr>
            <w:r>
              <w:rPr>
                <w:rFonts w:hint="eastAsia" w:cs="Times New Roman"/>
                <w:b/>
                <w:bCs/>
                <w:sz w:val="24"/>
                <w:szCs w:val="24"/>
                <w:highlight w:val="none"/>
                <w:lang w:val="en-US" w:eastAsia="zh-CN"/>
              </w:rPr>
              <w:t>（头、只、羽）</w:t>
            </w:r>
          </w:p>
        </w:tc>
        <w:tc>
          <w:tcPr>
            <w:tcW w:w="1978" w:type="dxa"/>
            <w:shd w:val="clear" w:color="auto" w:fill="auto"/>
            <w:noWrap/>
            <w:vAlign w:val="center"/>
          </w:tcPr>
          <w:p>
            <w:pPr>
              <w:keepNext w:val="0"/>
              <w:keepLines w:val="0"/>
              <w:suppressLineNumbers w:val="0"/>
              <w:spacing w:before="0" w:beforeAutospacing="0" w:after="0" w:afterAutospacing="0"/>
              <w:ind w:left="0" w:right="0"/>
              <w:jc w:val="center"/>
              <w:rPr>
                <w:rFonts w:hint="default" w:cs="Times New Roman"/>
                <w:b/>
                <w:bCs/>
                <w:sz w:val="24"/>
                <w:szCs w:val="24"/>
                <w:highlight w:val="none"/>
                <w:lang w:val="en-US"/>
              </w:rPr>
            </w:pPr>
            <w:r>
              <w:rPr>
                <w:rFonts w:hint="eastAsia" w:cs="Times New Roman"/>
                <w:b/>
                <w:bCs/>
                <w:sz w:val="24"/>
                <w:szCs w:val="24"/>
                <w:highlight w:val="none"/>
                <w:lang w:val="en-US" w:eastAsia="zh-CN"/>
              </w:rPr>
              <w:t>配套土地面积（亩）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万琳海种养殖专业合作社（牟海德）</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成龙家庭农场（林三成）</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红民种养殖专业合作社（杨金）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一峰家庭农场（王一峰）</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洪民家庭农场（苟红琼）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乾丰合作社（杨志明）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巴国农业有限公司（肖静）</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丰州家庭农场（王冬梅）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青平种养殖合作社（蒲清平）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700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翔洋种养殖专业合作社（樊洪刚）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建红家庭农场（张红）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王氏家庭农场（彭交）</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张荣家庭农场（张荣）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碧山养殖场（邓超）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瑞丰家庭农场（苟勇刚）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永福家庭农场（罗志文）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众惠养殖场（李均益）</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吴杨繁荣养殖场（吴兴明）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巴郡源生态养殖场（王文洲）</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5100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巴中市巴州区关渡乡拓兴种养殖厂（温旭）</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巴中市巴州区孚兴农场（程文兵）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程氏家庭农场（程凯）</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巴中市巴州区茶山咀养殖专业合作社（张文龙）</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巴中市巴州区关渡乡江伟家庭农场（王伟）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巴中市巴州区兴牧养殖专业合作社（程志平）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巴中市巴州区兴牧养殖专业合作社（卢有平）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巴中市巴州区恒丰绿园养殖专业合作社（冯平）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巴州区星玥养殖家庭农场（周清正）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巴中市巴州区众合养殖专业合作社（李朝阳）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巴州区永久种养殖专业合作社（张雄）</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巴州区清江镇富强家庭农场（苟旭东）</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郁君园果蔬种养殖专业合作社（李郁平）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巴中市巴州区隆生鑫发农场（吴涛）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巴州区长岩碥种养殖专业合作社（谯亚东）</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巴州区志平养殖场（杨志平）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巴州区红豆种养殖家庭农场（刘文）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巴中市巴州区黄树岭种养殖专业合作社（唐吉林）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巴州区清江镇东鑫家庭农场（苟雪平）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39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巴中市巴州区财富家庭农场（黄海军）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巴中市巴州区政翔种养殖专业合作社（杨永正）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巴州区清江镇印合家庭农场（黄伟）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巴中温氏畜牧有限公司（招华任）</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巴中市巴州区雄吉种养殖专业合作社（任燕）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巴州区金秀种养殖专业合作社（岳金东）</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巴州区百草中药材种植专业合作社（徐泽强）</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巴州区星瑞种养殖专业合作社（李和平）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巴州区金源种养殖专合社（李金平）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巴州区宇郦种养殖专业合作社（高有为）</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4999</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49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巴州区滋盛农业合伙企业（张琼英）</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4999</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光辉镇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新滢农业发展有限公司（王新滢）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光辉镇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虎家养殖场（曾军）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光辉镇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虎雄养殖场（虎雄）</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光辉镇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庆伟养殖场（虎庆伟）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巴中市巴州区伟红农场（吴伟文）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巴中市巴州区顺意生猪养殖专业合作社（胡波）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巴中市巴州区宏发万兴养殖场（刘永寿）</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巴中市巴州区大和乡志艳家庭农场（张志）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巴中市巴州区大和乡雄英养殖场（王雄）</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59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巴中市巴州区猪猪旺种养殖专业合作社（程静华）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巴州区兴胜农场（王松）</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1150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巴中市巴州区宏展生猪养殖专业合作社（魏波）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巴中市巴州区岗石农场（施娇）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巴州区绿塬养殖场（刘申吉）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巴中市巴州区巴耳样养殖专业合作社（王人辉）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巴州区宏大种养殖厂（尤文红）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贺文涛养牛场（贺文涛）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巴山种养殖专业合作社（吴三礼）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杨二姐种养殖专业合作社（孙兵）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69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巴州区李玉方养殖场（李玉方）</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红石笋养殖专业合作社（李攀）</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秀泉农业有限公司（李天柱）</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述群种养殖专业合作社（马贤弟）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巴州区余氏养殖场（余祚用）</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巴州区鸿达养殖场（张大兵）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巴州区晓琴家庭农场（程晓琴）</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宏满山农业科技有限公司（王军）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巴州区华发养殖场（何发金）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宕梁街道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杨飞</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79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宕梁街道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傅彩华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大茅坪镇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世强养殖场（张世强）</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大茅坪镇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永泰家庭农场（张书博）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大茅坪镇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四川蕊嘉懿农业科技有限公司（冯勇）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三江镇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巴中市巴州区回星种养殖专业合作社（王涛）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三江镇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巴中市巴州区圭地械贤养殖农场（张佳）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巴中市巴州区宝煜种养殖专业合作社（代美发）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巴中市巴州区瑞森种养殖专业合作社（杨杰）</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巴中市巴州区燕华种养殖专业合作社（王海燕）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巴中市巴州区嘉豪种养殖专业合作社（张瑞）</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89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巴州区华鑫苏态猪生态养殖专业合作社（庞济显）</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巴中市巴州区甘沟河农场（许宏斌）</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巴中市天宏生态农业发展有限责任公司（赵金玲）</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Hans"/>
              </w:rPr>
              <w:t>肉鸡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sz w:val="24"/>
                <w:szCs w:val="24"/>
                <w:lang w:val="en-US" w:eastAsia="zh-CN"/>
              </w:rPr>
            </w:pPr>
            <w:r>
              <w:rPr>
                <w:rFonts w:hint="eastAsia" w:cs="Times New Roman"/>
                <w:sz w:val="24"/>
                <w:szCs w:val="24"/>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巴中市巴州区新荣种养殖专业合作社（刘仕荣）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Hans"/>
              </w:rPr>
              <w:t>肉鸡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sz w:val="24"/>
                <w:szCs w:val="24"/>
                <w:lang w:val="en-US" w:eastAsia="zh-CN"/>
              </w:rPr>
            </w:pPr>
            <w:r>
              <w:rPr>
                <w:rFonts w:hint="eastAsia" w:cs="Times New Roman"/>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巴中市巴州区茂林森养殖专业合作社（陈茂林）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Hans"/>
              </w:rPr>
              <w:t>肉鸡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白庙乡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巴中市巴州区白庙乡陈城家庭农场（陈大明）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Hans"/>
              </w:rPr>
              <w:t>肉鸡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巴中市巴州区佳牧养殖合作社（李勇）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巴中市巴州区金源种养殖专业合作社（李广金）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巴中市巴州区佳丽养殖专业合作社（杨明宜）</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巴中市巴州区福顺种养殖专业合作社（杨显伟）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99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巴中市巴州区成锦种养殖专业合作社（杨志成）</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巴中市巴州区锦源利种养殖专业合作社（蒲廷坤）</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巴中市巴州区龙背乡马鞍种养殖专业合作社（赵清松）</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巴中市巴州区洪昌养殖农民专业合作社（张鹏）</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巴中市巴州区鼎山镇罗儿梁兴旺种养殖家庭农场（苟兆华）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1400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巴中市巴州区益生源生态养殖专业合作社（陈尚文）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巴中市巴州区鼎山镇代强家庭农场（李代强）</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巴中市巴州区悠园养殖专业合作社（罗华）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巴中市巴州区宝峰山种养殖专业合作社（杨会之）</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巴中市巴州区康华种养殖专业合作社（彭康）</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109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巴中市巴州区强兵种养殖专业合作社（王兵）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巴中市巴州区百亚养殖专业合作社（巨韬）</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巴中市巴州区画眉梁种植专业合作社（谯兵）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巴中市巴州区金萍养殖专业合作社（袁平）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巴中市巴州区宏妍种养殖专业合作社（罗伟）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巴中市巴州区鹏源养殖场（张飞燕）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巴中市巴州区煜城种植专业合作社（何刚）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巴中市巴州区凉凉种养殖专业合作社（杨宗奎）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巴中市巴州区林芫诚养殖专业合作社（张芫）</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巴中市巴州区源通种养殖专业合作社（向明黎）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119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巴中温氏畜牧有限公司（招华任）</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巴中市巴州区鼎山镇刘成养殖场（刘清平）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1100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巴州区鼎山镇陈叶家庭农场（罗伟）</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巴中市巴州区留学弯种养殖专业合作社（周锐）</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2450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巴中市巴州区鑫协种植专业合作社（夏君）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巴中市巴州区利强种养殖专业合作社（钟玉勇）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1100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巴州区鼎山镇福旺海家庭农场（赵微）</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巴州欣腾家庭农场（袁海均）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巴中市巴州区俊豪养殖专业合作社（张皎）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巴中市巴州区龙背乡康轩家庭农场（扬琴）</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129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巴州区鼎山镇豪捷家庭养殖场（谯杰）</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巴中市巴州区国色天香种养殖专业合作社（彭香华）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巴州区鼎山镇天蓬祥居家庭农场（陈阳）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巴州区鼎山镇鑫兴园家庭农场（徐翠华）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巴中市巴州区白氏种养专业合作社（白朝林）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巴州区鼎山镇渝博养殖家庭农场（刘赢博）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巴州区鼎山镇坤鹏养殖家庭农场（杨显能）</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巴州区鼎山镇天西家庭农场（李天彬）</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巴州区婕风家庭农场（刘华成）</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巴中市巴州区仕晓种养殖专业合作社（刘仕晓）</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139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巴中市巴州区兴凤山种养殖专业合作社（彭爱民）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巴中市巴州区海螺种养殖专业合作社（杨红梅）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750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巴中市巴州区红丽种养殖专业合作社（傅绍红）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巴中市巴州区运通养殖专合社（杨勇正）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巴中市巴州区柳云庄种养殖专合社（刘震）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巴中市巴州区正欣养殖专业合作社（王志明）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巴中市巴州区鑫乐农场（罗中尧）</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化成镇茶山农场（谢艳君）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巴中市巴州区奎星楼生态种养殖专业合作社（付宏）</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巴中市巴州区瑞创种养殖专业合作社（张晓燕）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149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巴中市康梦种养殖农场（施天保）</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巴州区化成镇李军养殖场（李军）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巴中市巴州区清源种养殖专业合作社（陈明）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巴中市巴州区杨家梁养殖专业合作社（何发见）</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巴中市巴州区弘祥鼎种养殖专业合作社（牟顶太）</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巴中市巴州区青灵华跃种养殖专业合作社（蒋华明）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巴州区平梁镇松林村福园养殖场（杨青福）</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700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周荟琼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四川省巴中市巴州区安山养殖场（李中云）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巴中市巴州区寺岭镇良勇养殖场（刘良勇）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159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巴中市巴州区卫东种养殖专业合作社（屈卫东）</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巴中市巴州区贵荣农场（张正桂）</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巴中市巴州区田源牧歌养殖场（刘浩）</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巴州区寺岭镇钟德养殖场（董会明）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巴中市巴州区鑫旺养殖专业合作社（李勇军）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巴中市巴州区顺鑫养殖专业合作社（贺广顺）</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巴中市巴州区润和种养殖专业合作社（陈刚）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巴中市巴州区康生种养殖专业合作社（杨大海）</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巴中市巴州区金瑞山及停车（王博）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巴中市巴州区瑞泰惠农科技发展有限责任公司（苟博宁）</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169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巴中市巴州区龙凤呈祥种养殖专业合作社（夏艾琼）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巴中市巴州区兴义种养殖专业合作社（杨兴义）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巴中市巴州区高老庄种养殖专业合作社（高军）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巴中市巴州区清和种养殖专业合作社（张从德）</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巴中市巴州区黄粱树村种养殖专业合作社（李建华）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巴中温氏畜牧有限公司（二龙种猪场</w:t>
            </w:r>
            <w:r>
              <w:rPr>
                <w:rFonts w:hint="default" w:cs="Times New Roman"/>
                <w:sz w:val="24"/>
                <w:szCs w:val="24"/>
                <w:lang w:val="en-US" w:eastAsia="zh-CN"/>
              </w:rPr>
              <w:t xml:space="preserve"> </w:t>
            </w:r>
            <w:r>
              <w:rPr>
                <w:rFonts w:hint="eastAsia" w:cs="Times New Roman"/>
                <w:sz w:val="24"/>
                <w:szCs w:val="24"/>
                <w:lang w:val="en-US" w:eastAsia="zh-CN"/>
              </w:rPr>
              <w:t>招华任）</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80000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新兵种养殖专业合作社（苟军）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巴中市德源隆生态农业有限公司（谯超）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巴中市巴州区惠农种养殖专业合作社（张兰英）</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巴中市巴州区凉风垭安平农场（杨芙蓉）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179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巴州区曾口镇六兴养殖场（何林荣）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巴中市巴州区永国家庭农场（吴德华）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巴中市巴州区腾龙种养殖专业合作社（高大宏）</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巴中市巴州区当和养殖有限公司（陈兵）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巴中市巴州区添忆特种养殖有限公司（张显汉）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巴中市双月亮养殖农场（何月）</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巴州区曾口镇永乐吉养殖场（蒲云）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巴中市巴州区曾口镇鑫盛家庭农场（冯建平）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巴中市巴州区鑫茂家庭农场（邱红）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巴州区曾口镇会容养殖场（吴会）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189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巴中市巴州区果邦家庭农场（高鹏）</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巴中市巴州区兴旺家庭农场（刘华）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1704</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巴中市巴州区巴山云牧家庭农场（曾承华）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657</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巴中市巴州区攀登养殖专业合作社（王举）</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1406</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巴中市巴州区丽明农场（王学林）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1098</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巴中市巴州区土门观安志种养殖专业合作社（王文志）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1900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金顶养殖专业合作社（蔡容）</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2450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巴中市巴州区尹达种养殖专业合作社（张玉竹）</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1700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巴州区水宁寺镇金源生猪养殖场（黄小均）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2398</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巴中市巴州区花溪明山种养殖专业合作社（吴良映）</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199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巴中市巴州区侯家林养殖专业合作社（侯强林）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巴中市巴州区金子辉煌养殖专业合作社（谯红林）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巴中市巴州区林轩种养殖专业合作社（符敏轩）</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巴中市巴州区猪猪侠养殖专业合作社（谯骁）</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明康养殖场（米涛春）</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巴中市巴州区明德种养殖专业合作社（戚俊华）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巴中市巴州区欣兴旺养殖家庭农场（杨文东）</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巴中市巴州区侯家岭种养殖专业合作社（张巧）</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巴中市巴州区盛世家庭农场（侯玲英）</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江北街道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森林黑生态养殖场（杨华琼）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209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江北街道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火炎焱家庭农场</w:t>
            </w:r>
            <w:r>
              <w:rPr>
                <w:rFonts w:hint="eastAsia" w:cs="Times New Roman"/>
                <w:sz w:val="24"/>
                <w:szCs w:val="24"/>
                <w:lang w:val="en-US" w:eastAsia="zh-CN"/>
              </w:rPr>
              <w:t>（李飞）</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江北街道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刘家山种养专合社</w:t>
            </w:r>
            <w:r>
              <w:rPr>
                <w:rFonts w:hint="eastAsia" w:cs="Times New Roman"/>
                <w:sz w:val="24"/>
                <w:szCs w:val="24"/>
                <w:lang w:val="en-US" w:eastAsia="zh-CN"/>
              </w:rPr>
              <w:t>（刘林权）</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4000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江北街道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联友种养场</w:t>
            </w:r>
            <w:r>
              <w:rPr>
                <w:rFonts w:hint="eastAsia" w:cs="Times New Roman"/>
                <w:sz w:val="24"/>
                <w:szCs w:val="24"/>
                <w:lang w:val="en-US" w:eastAsia="zh-CN"/>
              </w:rPr>
              <w:t>（冉银平）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盛强种养专合社</w:t>
            </w:r>
            <w:r>
              <w:rPr>
                <w:rFonts w:hint="eastAsia" w:cs="Times New Roman"/>
                <w:sz w:val="24"/>
                <w:szCs w:val="24"/>
                <w:lang w:val="en-US" w:eastAsia="zh-CN"/>
              </w:rPr>
              <w:t>（张云华）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大罗镇兴园家庭农场</w:t>
            </w:r>
            <w:r>
              <w:rPr>
                <w:rFonts w:hint="eastAsia" w:cs="Times New Roman"/>
                <w:sz w:val="24"/>
                <w:szCs w:val="24"/>
                <w:lang w:val="en-US" w:eastAsia="zh-CN"/>
              </w:rPr>
              <w:t>（罗冬成）</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鑫渝养殖合作社</w:t>
            </w:r>
            <w:r>
              <w:rPr>
                <w:rFonts w:hint="eastAsia" w:cs="Times New Roman"/>
                <w:sz w:val="24"/>
                <w:szCs w:val="24"/>
                <w:lang w:val="en-US" w:eastAsia="zh-CN"/>
              </w:rPr>
              <w:t>（赵品荣）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七瑞种养专合社</w:t>
            </w:r>
            <w:r>
              <w:rPr>
                <w:rFonts w:hint="eastAsia" w:cs="Times New Roman"/>
                <w:sz w:val="24"/>
                <w:szCs w:val="24"/>
                <w:lang w:val="en-US" w:eastAsia="zh-CN"/>
              </w:rPr>
              <w:t>（陈瑞）</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姊妹养殖专合社</w:t>
            </w:r>
            <w:r>
              <w:rPr>
                <w:rFonts w:hint="eastAsia" w:cs="Times New Roman"/>
                <w:sz w:val="24"/>
                <w:szCs w:val="24"/>
                <w:lang w:val="en-US" w:eastAsia="zh-CN"/>
              </w:rPr>
              <w:t>（聂建）</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217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大罗镇卓之亦养殖农场</w:t>
            </w:r>
            <w:r>
              <w:rPr>
                <w:rFonts w:hint="eastAsia" w:cs="Times New Roman"/>
                <w:sz w:val="24"/>
                <w:szCs w:val="24"/>
                <w:lang w:val="en-US" w:eastAsia="zh-CN"/>
              </w:rPr>
              <w:t>（杨华）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218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default" w:cs="Times New Roman"/>
                <w:sz w:val="24"/>
                <w:szCs w:val="24"/>
                <w:lang w:val="en-US" w:eastAsia="zh-CN"/>
              </w:rPr>
              <w:t>隆泰养殖专合社</w:t>
            </w:r>
            <w:r>
              <w:rPr>
                <w:rFonts w:hint="eastAsia" w:cs="Times New Roman"/>
                <w:sz w:val="24"/>
                <w:szCs w:val="24"/>
                <w:lang w:val="en-US" w:eastAsia="zh-CN"/>
              </w:rPr>
              <w:t>张小平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219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福鑫种养殖专业合作社（王勇）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梁永镇永旺家庭农场（白国政）</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巴州区俊茂种养殖农场（唐俊）</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万琳海种养殖专业合作社（牟海德）</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成龙家庭农场（林三成）</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红民种养殖专业合作社（杨金）</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一峰家庭农场（王一峰）</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洪民家庭农场（苟红琼）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乾丰合作社（杨志明）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巴国农业有限公司（肖静）</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sz w:val="24"/>
                <w:szCs w:val="24"/>
                <w:lang w:val="en-US" w:eastAsia="zh-CN"/>
              </w:rPr>
            </w:pPr>
            <w:r>
              <w:rPr>
                <w:rFonts w:hint="eastAsia" w:cs="Times New Roman"/>
                <w:sz w:val="24"/>
                <w:szCs w:val="24"/>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229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丰州家庭农场（王冬梅）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2300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青平种养殖合作社（蒲清平）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700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翔洋种养殖专业合作社（樊洪刚）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2200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建红家庭农场（张红）</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王氏家庭农场（彭交）</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张荣家庭农场（张荣）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碧山养殖场（邓超）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瑞丰家庭农场（苟勇刚）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永福家庭农场（罗志文）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4800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众惠养殖场（李均益）</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239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吴杨繁荣养殖场（吴兴明）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巴郡源生态养殖场（王文洲）</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5100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巴中市巴州区关渡乡大排山农场（简新华）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巴中市巴州区关渡乡大财富牛家庭农场（苟林）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巴中市巴州区幸福家庭农场（施雄）</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巴中市巴州区强兴种养殖专业合作社（蔡强元）</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巴中市巴州区博润养殖专业合作社（鲜莉）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巴中市奉二肉牛养殖农场（施汶汝）</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lang w:val="en-US"/>
              </w:rPr>
            </w:pPr>
            <w:r>
              <w:rPr>
                <w:rFonts w:hint="eastAsia" w:eastAsia="宋体" w:cs="Times New Roman"/>
                <w:i w:val="0"/>
                <w:iCs w:val="0"/>
                <w:color w:val="000000"/>
                <w:kern w:val="0"/>
                <w:sz w:val="24"/>
                <w:szCs w:val="24"/>
                <w:u w:val="none"/>
                <w:lang w:val="en-US" w:eastAsia="zh-CN" w:bidi="ar"/>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巴中市巴州区硕丰家庭农场（汪榜国）</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w:t>
            </w:r>
          </w:p>
        </w:tc>
        <w:tc>
          <w:tcPr>
            <w:tcW w:w="1978"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巴州区吉祥富贵养殖家庭农场（张小平）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秧田沟种养专业合作社（许冰清）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巴州区农汇家庭农场（刘文平）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生猪</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杜何刘种养殖专合社（杜斌）</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160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252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巴中市巴州区繁茂养殖场（王尔才）</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汪劲松</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巴中市巴州区大和界牌种养专业合作社（程天兵）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巴州区先锋养殖场（陈容华）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禄秀种养殖专业合作社（石天禄）</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巴州区蔡氏养殖场（蔡兵）</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四川省巴中市巴州区鼎山镇鑫旺家庭农场（谯攀）</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259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巴中市巴州区滕华养殖专业合作社（谯腾）</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巴中市巴州区鼎山绿丰生态养殖场（陈涛）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巴中市巴州区刘家庄农场（刘小平）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巴中市巴州区绿享家庭农场（王维）</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鼎山镇首市村巴山肉牛育肥基地（代昌军）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10000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大元养殖场（屈钊信）</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黄东包牛场（陈召）</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塔子坪牧业公司（倪正新）</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喻慧</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敖勇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269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陈明加</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150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陈姝利</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苏余钞</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泽阳养殖场（刘智慧）</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康鑫种养殖合作社（金素芳）</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116</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曾口镇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锐燕养殖场（金晓燕）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127</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巴中市巴州区水宁寺镇继荣养牛场（陈继荣）</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129</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巴中市巴州区水宁寺镇双全种养殖场（陈双全）</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104</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水宁寺镇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巴中市巴州区隆康养殖专业合作社（冯国兆）</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125</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回风街道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巴州区顺兴养殖场（王晓霞）</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肉牛</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eastAsia" w:cs="Times New Roman"/>
                <w:sz w:val="24"/>
                <w:szCs w:val="24"/>
                <w:lang w:val="en-US" w:eastAsia="zh-CN"/>
              </w:rPr>
              <w:t>200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279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梁永镇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巴州区骏源种养殖专业合作社（樊宏）</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聚缘种养殖专业合作社（廖正富）</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五顶种养殖专业合作社（黄林）</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巴州区德英家庭农场（马德英）</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巴州区林山黄羊养殖场（黄礼军）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枣林镇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巴州区鸿郦黄羊养殖场（贺继茂）</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巴中市巴州区禾祥农场（张定美）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鑫婷养殖合作社（张会琼）</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杨进仕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500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王仕勇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700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289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陈彩明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300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巴中市巴州区天马养殖专业合作社（冯玉）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天马山镇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一一种养殖专业合作社（李虎一）</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400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凤溪镇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巴州区凤溪镇兴荣畅梦养殖家庭农场（唐荣华）</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羊</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1000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293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清江镇杏垭村</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巴中市巴州区雄吉种养殖专业合作社（任燕）</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25000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eastAsia="仿宋"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巴州区富邦那养殖专合（焦丽涉）</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rPr>
            </w:pPr>
            <w:r>
              <w:rPr>
                <w:rFonts w:hint="default" w:cs="Times New Roman"/>
                <w:sz w:val="24"/>
                <w:szCs w:val="24"/>
                <w:lang w:val="en-US" w:eastAsia="zh-CN"/>
              </w:rPr>
              <w:t>26500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玉堂街道</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巴州区花果山家庭农场（肖建国）</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25800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巴中市巴州区金鑫种养殖专业合作社（谯大军）</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30000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297</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巴中市巴州区大和乡仕成生态家庭农场（王书亭）</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50000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298</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巴中市巴州区大和乡凤鸣家庭养殖场（王文）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40000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299</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大和乡刘勇养殖场（刘勇）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30000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明文武家庭农场（明文武）</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30000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301</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大和乡</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秦巴土鸡养殖场（罗友仁）</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30000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eastAsia" w:eastAsia="宋体" w:cs="Times New Roman"/>
                <w:i w:val="0"/>
                <w:iCs w:val="0"/>
                <w:color w:val="000000"/>
                <w:kern w:val="0"/>
                <w:sz w:val="24"/>
                <w:szCs w:val="24"/>
                <w:u w:val="none"/>
                <w:lang w:val="en-US" w:eastAsia="zh-CN" w:bidi="ar"/>
              </w:rPr>
              <w:t>302</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鼎山镇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巴中市巴州区鼎山镇绿野康诚家庭农场（罗智勇）</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35000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eastAsia" w:eastAsia="宋体" w:cs="Times New Roman"/>
                <w:i w:val="0"/>
                <w:iCs w:val="0"/>
                <w:color w:val="000000"/>
                <w:kern w:val="0"/>
                <w:sz w:val="24"/>
                <w:szCs w:val="24"/>
                <w:u w:val="none"/>
                <w:lang w:val="en-US" w:eastAsia="zh-CN" w:bidi="ar"/>
              </w:rPr>
              <w:t>303</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平梁镇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张国清</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蛋鸡</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200000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eastAsia" w:eastAsia="宋体" w:cs="Times New Roman"/>
                <w:i w:val="0"/>
                <w:iCs w:val="0"/>
                <w:color w:val="000000"/>
                <w:kern w:val="0"/>
                <w:sz w:val="24"/>
                <w:szCs w:val="24"/>
                <w:u w:val="none"/>
                <w:lang w:val="en-US" w:eastAsia="zh-CN" w:bidi="ar"/>
              </w:rPr>
              <w:t>304</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清江镇亮垭村</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巴中市巴州区滕耀种养殖专业合作社（陈玲）</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兔</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10000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eastAsia" w:eastAsia="宋体" w:cs="Times New Roman"/>
                <w:i w:val="0"/>
                <w:iCs w:val="0"/>
                <w:color w:val="000000"/>
                <w:kern w:val="0"/>
                <w:sz w:val="24"/>
                <w:szCs w:val="24"/>
                <w:u w:val="none"/>
                <w:lang w:val="en-US" w:eastAsia="zh-CN" w:bidi="ar"/>
              </w:rPr>
              <w:t>305</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清江镇中岭村</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巴州区清江镇芃琳养殖场（刘永通）</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兔</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10000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jc w:val="center"/>
        </w:trPr>
        <w:tc>
          <w:tcPr>
            <w:tcW w:w="1294"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cs="Times New Roman"/>
                <w:sz w:val="24"/>
                <w:szCs w:val="24"/>
                <w:lang w:val="en-US" w:eastAsia="zh-CN"/>
              </w:rPr>
            </w:pPr>
            <w:r>
              <w:rPr>
                <w:rFonts w:hint="eastAsia" w:eastAsia="宋体" w:cs="Times New Roman"/>
                <w:i w:val="0"/>
                <w:iCs w:val="0"/>
                <w:color w:val="000000"/>
                <w:kern w:val="0"/>
                <w:sz w:val="24"/>
                <w:szCs w:val="24"/>
                <w:u w:val="none"/>
                <w:lang w:val="en-US" w:eastAsia="zh-CN" w:bidi="ar"/>
              </w:rPr>
              <w:t>306</w:t>
            </w:r>
          </w:p>
        </w:tc>
        <w:tc>
          <w:tcPr>
            <w:tcW w:w="1985"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化成镇</w:t>
            </w:r>
          </w:p>
        </w:tc>
        <w:tc>
          <w:tcPr>
            <w:tcW w:w="6343"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窑湾种养殖厂（王春）</w:t>
            </w:r>
          </w:p>
        </w:tc>
        <w:tc>
          <w:tcPr>
            <w:tcW w:w="20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cs="Times New Roman"/>
                <w:sz w:val="24"/>
                <w:szCs w:val="24"/>
                <w:lang w:val="en-US" w:eastAsia="zh-CN"/>
              </w:rPr>
            </w:pPr>
            <w:r>
              <w:rPr>
                <w:rFonts w:hint="eastAsia" w:cs="Times New Roman"/>
                <w:sz w:val="24"/>
                <w:szCs w:val="24"/>
                <w:lang w:val="en-US" w:eastAsia="zh-CN"/>
              </w:rPr>
              <w:t>兔</w:t>
            </w:r>
          </w:p>
        </w:tc>
        <w:tc>
          <w:tcPr>
            <w:tcW w:w="1739"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default" w:cs="Times New Roman"/>
                <w:sz w:val="24"/>
                <w:szCs w:val="24"/>
                <w:lang w:val="en-US" w:eastAsia="zh-CN"/>
              </w:rPr>
              <w:t>15000</w:t>
            </w:r>
          </w:p>
        </w:tc>
        <w:tc>
          <w:tcPr>
            <w:tcW w:w="1978" w:type="dxa"/>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default" w:cs="Times New Roman"/>
                <w:sz w:val="24"/>
                <w:szCs w:val="24"/>
                <w:lang w:val="en-US" w:eastAsia="zh-CN"/>
              </w:rPr>
            </w:pPr>
            <w:r>
              <w:rPr>
                <w:rFonts w:hint="eastAsia" w:cs="Times New Roman"/>
                <w:sz w:val="24"/>
                <w:szCs w:val="24"/>
                <w:lang w:val="en-US" w:eastAsia="zh-CN"/>
              </w:rPr>
              <w:t>300</w:t>
            </w:r>
          </w:p>
        </w:tc>
      </w:tr>
    </w:tbl>
    <w:p>
      <w:pPr>
        <w:rPr>
          <w:rFonts w:cs="Times New Roman"/>
          <w:sz w:val="24"/>
          <w:szCs w:val="24"/>
        </w:rPr>
      </w:pPr>
    </w:p>
    <w:p>
      <w:pPr>
        <w:pStyle w:val="57"/>
        <w:keepNext/>
        <w:keepLines/>
        <w:pageBreakBefore/>
        <w:widowControl w:val="0"/>
        <w:spacing w:before="190" w:after="190"/>
        <w:ind w:firstLine="0"/>
        <w:outlineLvl w:val="1"/>
        <w:rPr>
          <w:rFonts w:hint="eastAsia" w:eastAsia="仿宋"/>
          <w:kern w:val="2"/>
          <w:szCs w:val="24"/>
          <w:lang w:eastAsia="zh-CN"/>
        </w:rPr>
      </w:pPr>
      <w:bookmarkStart w:id="214" w:name="_Toc25084"/>
      <w:bookmarkStart w:id="215" w:name="_Toc12526"/>
      <w:r>
        <w:rPr>
          <w:rFonts w:hint="eastAsia" w:eastAsia="仿宋"/>
          <w:kern w:val="2"/>
          <w:szCs w:val="24"/>
        </w:rPr>
        <w:t>附表3规划期内拟整治</w:t>
      </w:r>
      <w:r>
        <w:rPr>
          <w:rFonts w:eastAsia="仿宋"/>
          <w:kern w:val="2"/>
          <w:szCs w:val="24"/>
        </w:rPr>
        <w:t>养殖</w:t>
      </w:r>
      <w:r>
        <w:rPr>
          <w:rFonts w:hint="eastAsia" w:eastAsia="仿宋"/>
          <w:kern w:val="2"/>
          <w:szCs w:val="24"/>
        </w:rPr>
        <w:t>户清单</w:t>
      </w:r>
      <w:bookmarkEnd w:id="214"/>
      <w:r>
        <w:rPr>
          <w:rFonts w:hint="eastAsia" w:eastAsia="仿宋"/>
          <w:kern w:val="2"/>
          <w:szCs w:val="24"/>
          <w:lang w:eastAsia="zh-CN"/>
        </w:rPr>
        <w:t>（猪）</w:t>
      </w:r>
      <w:bookmarkEnd w:id="215"/>
    </w:p>
    <w:tbl>
      <w:tblPr>
        <w:tblStyle w:val="23"/>
        <w:tblW w:w="152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7"/>
        <w:gridCol w:w="1218"/>
        <w:gridCol w:w="2688"/>
        <w:gridCol w:w="595"/>
        <w:gridCol w:w="562"/>
        <w:gridCol w:w="1440"/>
        <w:gridCol w:w="1649"/>
        <w:gridCol w:w="1757"/>
        <w:gridCol w:w="1451"/>
        <w:gridCol w:w="1918"/>
        <w:gridCol w:w="1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8" w:hRule="atLeast"/>
          <w:tblHeader/>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序号</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镇街</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养殖户名</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猪存栏</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家数</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配套土地面积（亩）</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堆粪场有效容积（m</w:t>
            </w:r>
            <w:r>
              <w:rPr>
                <w:rFonts w:hint="default" w:ascii="Times New Roman" w:hAnsi="Times New Roman" w:eastAsia="仿宋" w:cs="Times New Roman"/>
                <w:b/>
                <w:bCs w:val="0"/>
                <w:kern w:val="2"/>
                <w:sz w:val="24"/>
                <w:szCs w:val="24"/>
                <w:vertAlign w:val="superscript"/>
                <w:lang w:val="en-US" w:eastAsia="zh-CN" w:bidi="ar"/>
              </w:rPr>
              <w:t>3</w:t>
            </w:r>
            <w:r>
              <w:rPr>
                <w:rFonts w:hint="default" w:ascii="Times New Roman" w:hAnsi="Times New Roman" w:eastAsia="仿宋" w:cs="Times New Roman"/>
                <w:b/>
                <w:bCs w:val="0"/>
                <w:kern w:val="2"/>
                <w:sz w:val="24"/>
                <w:szCs w:val="24"/>
                <w:lang w:val="en-US" w:eastAsia="zh-CN" w:bidi="ar"/>
              </w:rPr>
              <w:t>）</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堆粪场面积（m</w:t>
            </w:r>
            <w:r>
              <w:rPr>
                <w:rFonts w:hint="default" w:ascii="Times New Roman" w:hAnsi="Times New Roman" w:eastAsia="仿宋" w:cs="Times New Roman"/>
                <w:b/>
                <w:bCs w:val="0"/>
                <w:kern w:val="2"/>
                <w:sz w:val="24"/>
                <w:szCs w:val="24"/>
                <w:vertAlign w:val="superscript"/>
                <w:lang w:val="en-US" w:eastAsia="zh-CN" w:bidi="ar"/>
              </w:rPr>
              <w:t>2</w:t>
            </w:r>
            <w:r>
              <w:rPr>
                <w:rFonts w:hint="default" w:ascii="Times New Roman" w:hAnsi="Times New Roman" w:eastAsia="仿宋" w:cs="Times New Roman"/>
                <w:b/>
                <w:bCs w:val="0"/>
                <w:kern w:val="2"/>
                <w:sz w:val="24"/>
                <w:szCs w:val="24"/>
                <w:lang w:val="en-US" w:eastAsia="zh-CN" w:bidi="ar"/>
              </w:rPr>
              <w:t>）</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堆粪场工程估算（万元）</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污水贮存池有效容积（m</w:t>
            </w:r>
            <w:r>
              <w:rPr>
                <w:rFonts w:hint="default" w:ascii="Times New Roman" w:hAnsi="Times New Roman" w:eastAsia="仿宋" w:cs="Times New Roman"/>
                <w:b/>
                <w:bCs w:val="0"/>
                <w:kern w:val="2"/>
                <w:sz w:val="24"/>
                <w:szCs w:val="24"/>
                <w:vertAlign w:val="superscript"/>
                <w:lang w:val="en-US" w:eastAsia="zh-CN" w:bidi="ar"/>
              </w:rPr>
              <w:t>3</w:t>
            </w:r>
            <w:r>
              <w:rPr>
                <w:rFonts w:hint="default" w:ascii="Times New Roman" w:hAnsi="Times New Roman" w:eastAsia="仿宋" w:cs="Times New Roman"/>
                <w:b/>
                <w:bCs w:val="0"/>
                <w:kern w:val="2"/>
                <w:sz w:val="24"/>
                <w:szCs w:val="24"/>
                <w:lang w:val="en-US" w:eastAsia="zh-CN" w:bidi="ar"/>
              </w:rPr>
              <w:t>）</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贮水池工程估算（万元）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梁永镇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强盛种养殖专业合作市</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（林强）</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200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67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47</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1.77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180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梁永镇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建兴种养殖专业合作社</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（程兴文）</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000000"/>
                <w:sz w:val="24"/>
                <w:szCs w:val="24"/>
                <w:lang w:val="en-US"/>
              </w:rPr>
            </w:pPr>
            <w:r>
              <w:rPr>
                <w:rFonts w:hint="default" w:ascii="Times New Roman" w:hAnsi="Times New Roman" w:eastAsia="仿宋" w:cs="Times New Roman"/>
                <w:b w:val="0"/>
                <w:bCs w:val="0"/>
                <w:kern w:val="2"/>
                <w:sz w:val="24"/>
                <w:szCs w:val="24"/>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梁永镇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飞哥家庭农场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（刘赢博）</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200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000000"/>
                <w:sz w:val="24"/>
                <w:szCs w:val="24"/>
                <w:lang w:val="en-US"/>
              </w:rPr>
            </w:pPr>
            <w:r>
              <w:rPr>
                <w:rFonts w:hint="default" w:ascii="Times New Roman" w:hAnsi="Times New Roman" w:eastAsia="仿宋" w:cs="Times New Roman"/>
                <w:b w:val="0"/>
                <w:bCs w:val="0"/>
                <w:kern w:val="2"/>
                <w:sz w:val="24"/>
                <w:szCs w:val="24"/>
                <w:lang w:val="en-US" w:eastAsia="zh-CN" w:bidi="ar"/>
              </w:rPr>
              <w:t>67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47</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1.77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180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梁永镇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明东家庭农场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（何明东）</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000000"/>
                <w:sz w:val="24"/>
                <w:szCs w:val="24"/>
                <w:lang w:val="en-US"/>
              </w:rPr>
            </w:pPr>
            <w:r>
              <w:rPr>
                <w:rFonts w:hint="default" w:ascii="Times New Roman" w:hAnsi="Times New Roman" w:eastAsia="仿宋" w:cs="Times New Roman"/>
                <w:b w:val="0"/>
                <w:bCs w:val="0"/>
                <w:kern w:val="2"/>
                <w:sz w:val="24"/>
                <w:szCs w:val="24"/>
                <w:lang w:val="en-US" w:eastAsia="zh-CN" w:bidi="ar"/>
              </w:rPr>
              <w:t>17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12</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0.44</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45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梁永镇合计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750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375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251</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176</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6.63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675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kern w:val="2"/>
                <w:sz w:val="24"/>
                <w:szCs w:val="24"/>
                <w:lang w:val="en-US" w:eastAsia="zh-CN" w:bidi="ar"/>
              </w:rPr>
            </w:pPr>
            <w:r>
              <w:rPr>
                <w:rFonts w:hint="default" w:ascii="Times New Roman" w:hAnsi="Times New Roman" w:eastAsia="仿宋" w:cs="Times New Roman"/>
                <w:b w:val="0"/>
                <w:bCs w:val="0"/>
                <w:kern w:val="2"/>
                <w:sz w:val="24"/>
                <w:szCs w:val="24"/>
                <w:lang w:val="en-US" w:eastAsia="zh-CN" w:bidi="ar"/>
              </w:rPr>
              <w:t>25.99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枣林镇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灵杰种养殖专业合作社</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（吴登国）</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枣林镇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李国才</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0.88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枣林镇合计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宕梁街道</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杨勇</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8</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宕梁街道</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马</w:t>
            </w:r>
            <w:r>
              <w:rPr>
                <w:rFonts w:hint="eastAsia" w:cs="Times New Roman"/>
                <w:kern w:val="2"/>
                <w:sz w:val="24"/>
                <w:szCs w:val="24"/>
                <w:lang w:val="en-US" w:eastAsia="zh-CN" w:bidi="ar"/>
              </w:rPr>
              <w:t>德</w:t>
            </w:r>
            <w:r>
              <w:rPr>
                <w:rFonts w:hint="default" w:ascii="Times New Roman" w:hAnsi="Times New Roman" w:eastAsia="仿宋" w:cs="Times New Roman"/>
                <w:kern w:val="2"/>
                <w:sz w:val="24"/>
                <w:szCs w:val="24"/>
                <w:lang w:val="en-US" w:eastAsia="zh-CN" w:bidi="ar"/>
              </w:rPr>
              <w:t>荣</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0.88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9</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宕梁街道</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宕梁街道合计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700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163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6.18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630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10</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马宏生猪养殖场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（马宏）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张力生猪养殖场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（张力）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张小平生猪养殖场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（张小平）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47</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1.77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180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张兴德生猪养殖场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（张兴德）</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1.32</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孟德养殖场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（李仕中）</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0.44</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李蓉养殖场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1.06</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桃园养殖场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（张剑）</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红梅养殖场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（黄全国）</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1.32</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18</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王君臣养殖场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（王君臣）</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19</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碑湾养殖场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（赵伟）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20</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大茅坪镇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会群养殖场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（王大喜）</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1.32</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大茅坪镇合计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2420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1210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807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565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21.36</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2178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83.89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三江镇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巴中市三江镇茂全宇家庭农场（王茂全）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180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3.18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324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8"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三江镇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巴中市巴州区三江镇友明家庭农场（田友明）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2.30</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三江镇合计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620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310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207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144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5.48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558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白庙乡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巴州区白庙乡余华养殖场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（余华）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白庙乡合计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巴中市巴州区鼎山镇莱福家庭农场（王琼）</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巴中市巴州区晟轩养殖场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（王丽君）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117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81</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3.09</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315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巴州区鼎山镇双哥养殖场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（谯守美）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巴中市巴州区李阳清家庭农场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28</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四川省巴中市巴州区鼎山镇鑫旺家庭农场（谯攀）</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1.32</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29</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治明种养殖家庭农场（罗治明）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30</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巴中市巴州区鼎山镇宝山犇牛家庭农场（严知凡）</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鼎山镇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巴中市巴州区明菊种养殖专业合作社（魏家成）</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鼎山镇合计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1970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985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656</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458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17.39</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1773</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化成镇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巴中市巴州区化成镇陈家嘴种养殖厂（陈林）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化成镇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巴中市巴州区恒和农场（周林祥）</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2.30</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化成镇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李天才</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0.88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化成镇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陈加华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0.88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化成镇合计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710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355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236</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164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6.27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639</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天马山镇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巴州区寺岭镇黄草坪家庭农场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（杨静林）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天马山镇合计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巴中市巴州区共裕种养殖专业合作社（邓开栋）</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38</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巴中市原野生态农业有限公司</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（何正奎）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19</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0.71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72</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39</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巴中市巴州区金涌种养殖专业合作社（郭勇）</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40</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巴中市巴州区宝鑫种养殖专业合作社（张小红）</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巴中市巴州区旺福生态养殖场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（汪东升）</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巴中市巴州区源茂种养殖专业合作社（苟爱民）</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3.97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巴中绿农康有限公司（何琪）</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巴中市巴州区双山种养殖专业合作社（罗天翔）</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曾口镇椿树村股份经济联合社</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（李廷刚）</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巴中市巴州区祥顺种养殖专业合作社（王春婷）</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1.32</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巴中市巴州区胖哥种养殖专业合作社（杨杰成）</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0.88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48</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巴中市巴州区永富祥畜禽养殖专业合作社（冯小容）</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49</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巴中市巴州区鑫桂源家庭农场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（冉平）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50</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巴中市巴州区晙霖牧养殖家庭农场（何晙霖）</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180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42</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1.59</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162</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巴中市巴州区兴财种养殖专业合作社（王兴财）</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曾口镇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巴州区曾口镇勇创家庭农场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（高勇）</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83</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曾口镇合计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4960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2480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1650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1154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43.78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4464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171.98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巴中市巴州区洪河家庭农场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（何贵芳）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21</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0.79</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81</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水宁寺镇印盒村股份经济联合社（陈明星）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131</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65.5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30</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1.16</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118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水宁寺镇印盒村股份经济联合社（王兴）</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107</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53.5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36</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0.95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96</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巴州区水宁寺镇长福祥养殖场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（黄林华）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115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207</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巴中市巴州区宏瑞养殖家庭农场（王道强）</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467</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233.5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156</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109</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4.13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420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58</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巴中市巴州区春蓉家庭养殖场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（鲜春蓉）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114</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57</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38</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103</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59</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巴中市巴州区喜洋永胜养殖场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（冯勇）</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420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210</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140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98</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3.71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378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60</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巴中市巴州区长福祥农场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（谢长江）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66</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0.58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59</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61</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巴中市巴州区明轩农场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（库文强）</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1.32</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62</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w:t>
            </w: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镇凤玉家庭农场（刘仕凤）</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371</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185.5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124</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86</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3.28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63</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巴中市巴州区</w:t>
            </w: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镇天源养殖场（苟洪）</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66</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0.58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59</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64</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巴中市庆丰家庭农场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（贾尚清）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182</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91</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61</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42</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1.61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164</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65</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巴州区花溪俊华养殖场</w:t>
            </w:r>
          </w:p>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（刘俊华）</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314</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157</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105</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2.77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283</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66</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苟仕江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142</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71</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33</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128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67</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王伟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231</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kern w:val="2"/>
                <w:sz w:val="24"/>
                <w:szCs w:val="24"/>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115.5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77</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54</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2.04</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208</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i w:val="0"/>
                <w:iCs w:val="0"/>
                <w:color w:val="000000"/>
                <w:kern w:val="0"/>
                <w:sz w:val="24"/>
                <w:szCs w:val="24"/>
                <w:u w:val="none"/>
                <w:lang w:val="en-US" w:eastAsia="zh-CN" w:bidi="ar"/>
              </w:rPr>
              <w:t>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kern w:val="2"/>
                <w:sz w:val="24"/>
                <w:szCs w:val="24"/>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r>
              <w:rPr>
                <w:rFonts w:hint="eastAsia" w:cs="Times New Roman"/>
                <w:kern w:val="2"/>
                <w:sz w:val="24"/>
                <w:szCs w:val="24"/>
                <w:lang w:val="en-US" w:eastAsia="zh-CN" w:bidi="ar"/>
              </w:rPr>
              <w:t>水宁寺</w:t>
            </w:r>
            <w:r>
              <w:rPr>
                <w:rFonts w:hint="default" w:ascii="Times New Roman" w:hAnsi="Times New Roman" w:eastAsia="仿宋" w:cs="Times New Roman"/>
                <w:kern w:val="2"/>
                <w:sz w:val="24"/>
                <w:szCs w:val="24"/>
                <w:lang w:val="en-US" w:eastAsia="zh-CN" w:bidi="ar"/>
              </w:rPr>
              <w:t>镇合计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3081</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1540.5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1029</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716</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27.21</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2773</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106.81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jc w:val="center"/>
        </w:trPr>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kern w:val="2"/>
                <w:sz w:val="24"/>
                <w:szCs w:val="24"/>
                <w:lang w:val="en-US" w:eastAsia="zh-CN" w:bidi="ar"/>
              </w:rPr>
              <w:t>总合计</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16411</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67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8205.5</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5468</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3819</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144.89</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14770</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568.96</w:t>
            </w:r>
          </w:p>
        </w:tc>
      </w:tr>
    </w:tbl>
    <w:p>
      <w:pPr>
        <w:pStyle w:val="57"/>
        <w:widowControl w:val="0"/>
        <w:spacing w:before="190" w:after="190" w:line="240" w:lineRule="auto"/>
        <w:ind w:firstLine="0"/>
        <w:rPr>
          <w:rFonts w:eastAsia="仿宋"/>
          <w:kern w:val="2"/>
          <w:szCs w:val="24"/>
        </w:rPr>
      </w:pPr>
      <w:r>
        <w:rPr>
          <w:rFonts w:hint="eastAsia" w:eastAsia="仿宋"/>
          <w:kern w:val="2"/>
          <w:szCs w:val="24"/>
        </w:rPr>
        <w:t>续附表3-2规划期内拟整治</w:t>
      </w:r>
      <w:r>
        <w:rPr>
          <w:rFonts w:eastAsia="仿宋"/>
          <w:kern w:val="2"/>
          <w:szCs w:val="24"/>
        </w:rPr>
        <w:t>养殖</w:t>
      </w:r>
      <w:r>
        <w:rPr>
          <w:rFonts w:hint="eastAsia" w:eastAsia="仿宋"/>
          <w:kern w:val="2"/>
          <w:szCs w:val="24"/>
        </w:rPr>
        <w:t>户清单</w:t>
      </w:r>
      <w:r>
        <w:rPr>
          <w:rFonts w:hint="eastAsia" w:eastAsia="仿宋"/>
          <w:kern w:val="2"/>
          <w:szCs w:val="24"/>
          <w:lang w:eastAsia="zh-CN"/>
        </w:rPr>
        <w:t>（肉牛）</w:t>
      </w:r>
    </w:p>
    <w:tbl>
      <w:tblPr>
        <w:tblStyle w:val="23"/>
        <w:tblW w:w="13014" w:type="dxa"/>
        <w:jc w:val="center"/>
        <w:tblLayout w:type="fixed"/>
        <w:tblCellMar>
          <w:top w:w="0" w:type="dxa"/>
          <w:left w:w="108" w:type="dxa"/>
          <w:bottom w:w="0" w:type="dxa"/>
          <w:right w:w="108" w:type="dxa"/>
        </w:tblCellMar>
      </w:tblPr>
      <w:tblGrid>
        <w:gridCol w:w="593"/>
        <w:gridCol w:w="888"/>
        <w:gridCol w:w="1347"/>
        <w:gridCol w:w="568"/>
        <w:gridCol w:w="597"/>
        <w:gridCol w:w="766"/>
        <w:gridCol w:w="1276"/>
        <w:gridCol w:w="1468"/>
        <w:gridCol w:w="1259"/>
        <w:gridCol w:w="1340"/>
        <w:gridCol w:w="1561"/>
        <w:gridCol w:w="1351"/>
      </w:tblGrid>
      <w:tr>
        <w:tblPrEx>
          <w:tblCellMar>
            <w:top w:w="0" w:type="dxa"/>
            <w:left w:w="108" w:type="dxa"/>
            <w:bottom w:w="0" w:type="dxa"/>
            <w:right w:w="108" w:type="dxa"/>
          </w:tblCellMar>
        </w:tblPrEx>
        <w:trPr>
          <w:trHeight w:val="1142" w:hRule="atLeast"/>
          <w:tblHeader/>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序号</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镇街</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养殖户名</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肉牛存栏</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家数</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猪当量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配套土地面积（亩）</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堆粪场有效容积（m</w:t>
            </w:r>
            <w:r>
              <w:rPr>
                <w:rFonts w:hint="default" w:ascii="Times New Roman" w:hAnsi="Times New Roman" w:eastAsia="仿宋" w:cs="Times New Roman"/>
                <w:b/>
                <w:sz w:val="24"/>
                <w:szCs w:val="24"/>
                <w:vertAlign w:val="superscript"/>
              </w:rPr>
              <w:t>3</w:t>
            </w:r>
            <w:r>
              <w:rPr>
                <w:rFonts w:hint="default" w:ascii="Times New Roman" w:hAnsi="Times New Roman" w:eastAsia="仿宋" w:cs="Times New Roman"/>
                <w:b/>
                <w:sz w:val="24"/>
                <w:szCs w:val="24"/>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堆粪场面积（m</w:t>
            </w:r>
            <w:r>
              <w:rPr>
                <w:rFonts w:hint="default" w:ascii="Times New Roman" w:hAnsi="Times New Roman" w:eastAsia="仿宋" w:cs="Times New Roman"/>
                <w:b/>
                <w:sz w:val="24"/>
                <w:szCs w:val="24"/>
                <w:vertAlign w:val="superscript"/>
              </w:rPr>
              <w:t>2</w:t>
            </w:r>
            <w:r>
              <w:rPr>
                <w:rFonts w:hint="default" w:ascii="Times New Roman" w:hAnsi="Times New Roman" w:eastAsia="仿宋" w:cs="Times New Roman"/>
                <w:b/>
                <w:sz w:val="24"/>
                <w:szCs w:val="24"/>
              </w:rPr>
              <w:t>）</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堆粪场工程估算（万元）</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污水贮存池有效容积（m</w:t>
            </w:r>
            <w:r>
              <w:rPr>
                <w:rFonts w:hint="default" w:ascii="Times New Roman" w:hAnsi="Times New Roman" w:eastAsia="仿宋" w:cs="Times New Roman"/>
                <w:b/>
                <w:sz w:val="24"/>
                <w:szCs w:val="24"/>
                <w:vertAlign w:val="superscript"/>
              </w:rPr>
              <w:t>3</w:t>
            </w:r>
            <w:r>
              <w:rPr>
                <w:rFonts w:hint="default" w:ascii="Times New Roman" w:hAnsi="Times New Roman" w:eastAsia="仿宋" w:cs="Times New Roman"/>
                <w:b/>
                <w:sz w:val="24"/>
                <w:szCs w:val="24"/>
              </w:rPr>
              <w:t>）</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贮水池工程估算（万元）</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梁永镇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明东家庭农场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（何明东）</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梁永镇合计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109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巴中市泽宇家庭农场（张丽）</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8.09</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巴州区清江镇孝国养殖场（黄孝国）</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8.09</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巴州区清江镇烙成养殖场（吴烙成）</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36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巴中市巴州区松坡养殖农场（彭波）</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36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巴州区清江镇红包梁养殖场（明军）</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巴中市巴州区清江镇芹伟家庭农场（张晓芹）</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清江镇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巴中市巴州区耀鑫养殖场（马仕成）</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89</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240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9.24</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清江镇合计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450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7</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750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502</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350</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13.26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1350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51.99</w:t>
            </w:r>
          </w:p>
        </w:tc>
      </w:tr>
      <w:tr>
        <w:tblPrEx>
          <w:tblCellMar>
            <w:top w:w="0" w:type="dxa"/>
            <w:left w:w="108" w:type="dxa"/>
            <w:bottom w:w="0" w:type="dxa"/>
            <w:right w:w="108" w:type="dxa"/>
          </w:tblCellMar>
        </w:tblPrEx>
        <w:trPr>
          <w:trHeight w:val="109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枣林镇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巴州区琳龙养殖场（邱龙）</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枣林镇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邱万明</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枣林镇合计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100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166</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112</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78</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2.94</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300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11.56</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三江镇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巴中市巴州区三江镇杨卫林养殖场（杨卫林）</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8.09</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三江镇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杨书斋</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三江镇合计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120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400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134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93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3.53</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360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13.87</w:t>
            </w:r>
          </w:p>
        </w:tc>
      </w:tr>
      <w:tr>
        <w:tblPrEx>
          <w:tblCellMar>
            <w:top w:w="0" w:type="dxa"/>
            <w:left w:w="108" w:type="dxa"/>
            <w:bottom w:w="0" w:type="dxa"/>
            <w:right w:w="108" w:type="dxa"/>
          </w:tblCellMar>
        </w:tblPrEx>
        <w:trPr>
          <w:trHeight w:val="136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治明种养殖家庭农场（罗治明）</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巴中市巴州区鼎山镇宝山犇牛家庭农场（严知凡）</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巴州区鼎山镇双哥养殖场（谯守美）</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4.62</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刘芙勇</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4.62</w:t>
            </w:r>
          </w:p>
        </w:tc>
      </w:tr>
      <w:tr>
        <w:tblPrEx>
          <w:tblCellMar>
            <w:top w:w="0" w:type="dxa"/>
            <w:left w:w="108" w:type="dxa"/>
            <w:bottom w:w="0" w:type="dxa"/>
            <w:right w:w="108" w:type="dxa"/>
          </w:tblCellMar>
        </w:tblPrEx>
        <w:trPr>
          <w:trHeight w:val="109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铁龙堡家庭农场（刘平）</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兴明养殖场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（谯永明）</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巴中市巴州区鼎山镇林家庭农场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（巩梦林）</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36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牧丰养殖专业合作社（谯喜春）</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0.88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3.47</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石龙家庭农场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（邓光兵）</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8.09</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巴中市巴州区鼎山镇黑娃家庭农场（袁小东）</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四川鸿鹄金泉农业开发有限公司</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（袁金山）</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廖明春</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89</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240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9.24</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巴中市巴州区返乡养殖场（廖明兴）</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8.09</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魏家全</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0.88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3.47</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李平</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谯小芳</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巴中市巴州区天运养殖场（王继贤）</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鼎山镇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巴中市巴州区鼎山镇圣利家庭农场（成吉兵）</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0.88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3.47</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960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18</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1600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1069</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747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28.28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2880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110.92</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化成镇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雄野养殖场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（王社平）</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0.88</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3.47</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化成镇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张文军</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化成镇合计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80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133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89</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62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2.35</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240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9.25</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兰英养殖场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（王兰英）</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52</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40</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1.53</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156</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6.01</w:t>
            </w:r>
          </w:p>
        </w:tc>
      </w:tr>
      <w:tr>
        <w:tblPrEx>
          <w:tblCellMar>
            <w:top w:w="0" w:type="dxa"/>
            <w:left w:w="108" w:type="dxa"/>
            <w:bottom w:w="0" w:type="dxa"/>
            <w:right w:w="108" w:type="dxa"/>
          </w:tblCellMar>
        </w:tblPrEx>
        <w:trPr>
          <w:trHeight w:val="161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众兴旺种养殖专业合作社（吴和文）</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55</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92</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61</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1.62</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6.36</w:t>
            </w:r>
          </w:p>
        </w:tc>
      </w:tr>
      <w:tr>
        <w:tblPrEx>
          <w:tblCellMar>
            <w:top w:w="0" w:type="dxa"/>
            <w:left w:w="108" w:type="dxa"/>
            <w:bottom w:w="0" w:type="dxa"/>
            <w:right w:w="108" w:type="dxa"/>
          </w:tblCellMar>
        </w:tblPrEx>
        <w:trPr>
          <w:trHeight w:val="109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柳树沟家庭农场（吴强）</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136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秘铭种养殖家庭农场（苟国德）</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25</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0.44</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1.73</w:t>
            </w:r>
          </w:p>
        </w:tc>
      </w:tr>
      <w:tr>
        <w:tblPrEx>
          <w:tblCellMar>
            <w:top w:w="0" w:type="dxa"/>
            <w:left w:w="108" w:type="dxa"/>
            <w:bottom w:w="0" w:type="dxa"/>
            <w:right w:w="108" w:type="dxa"/>
          </w:tblCellMar>
        </w:tblPrEx>
        <w:trPr>
          <w:trHeight w:val="109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巴河种养殖专合社（周奎）</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0.35</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36</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1.39</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双良种养殖专合社（苏少林）</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150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5.78</w:t>
            </w:r>
          </w:p>
        </w:tc>
      </w:tr>
      <w:tr>
        <w:tblPrEx>
          <w:tblCellMar>
            <w:top w:w="0" w:type="dxa"/>
            <w:left w:w="108" w:type="dxa"/>
            <w:bottom w:w="0" w:type="dxa"/>
            <w:right w:w="108" w:type="dxa"/>
          </w:tblCellMar>
        </w:tblPrEx>
        <w:trPr>
          <w:trHeight w:val="129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金坤养牛专合社（袁宗万）</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79</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132</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237</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9.13</w:t>
            </w:r>
          </w:p>
        </w:tc>
      </w:tr>
      <w:tr>
        <w:tblPrEx>
          <w:tblCellMar>
            <w:top w:w="0" w:type="dxa"/>
            <w:left w:w="108" w:type="dxa"/>
            <w:bottom w:w="0" w:type="dxa"/>
            <w:right w:w="108" w:type="dxa"/>
          </w:tblCellMar>
        </w:tblPrEx>
        <w:trPr>
          <w:trHeight w:val="109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曾口镇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牛兴盛家庭农场（杨中）</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42</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1.24</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126</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4.85</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曾口镇合计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355</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8</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1183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592</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396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276</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10.45</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1065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41.03</w:t>
            </w:r>
          </w:p>
        </w:tc>
      </w:tr>
      <w:tr>
        <w:tblPrEx>
          <w:tblCellMar>
            <w:top w:w="0" w:type="dxa"/>
            <w:left w:w="108" w:type="dxa"/>
            <w:bottom w:w="0" w:type="dxa"/>
            <w:right w:w="108" w:type="dxa"/>
          </w:tblCellMar>
        </w:tblPrEx>
        <w:trPr>
          <w:trHeight w:val="163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巴州区水宁寺镇和东家庭农场（曹潘）</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89</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240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9.24</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巴中市巴州区富民养殖专业合作社（苟先念）</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130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2.30</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234</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9.01</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巴中市巴州区水宁寺镇昌兵农场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（贺昌兵）</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96</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2.83</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288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11.09</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巴中市巴州区水宁寺镇春波养殖场（叶春波）</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84</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140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2.47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252</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9.71</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施毅</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58</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1.71</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174</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6.70</w:t>
            </w:r>
          </w:p>
        </w:tc>
      </w:tr>
      <w:tr>
        <w:tblPrEx>
          <w:tblCellMar>
            <w:top w:w="0" w:type="dxa"/>
            <w:left w:w="108" w:type="dxa"/>
            <w:bottom w:w="0" w:type="dxa"/>
            <w:right w:w="108" w:type="dxa"/>
          </w:tblCellMar>
        </w:tblPrEx>
        <w:trPr>
          <w:trHeight w:val="1361"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巴州区水宁寺镇龙缘养殖场（马斌）</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117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2.06</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8.09</w:t>
            </w:r>
          </w:p>
        </w:tc>
      </w:tr>
      <w:tr>
        <w:tblPrEx>
          <w:tblCellMar>
            <w:top w:w="0" w:type="dxa"/>
            <w:left w:w="108" w:type="dxa"/>
            <w:bottom w:w="0" w:type="dxa"/>
            <w:right w:w="108" w:type="dxa"/>
          </w:tblCellMar>
        </w:tblPrEx>
        <w:trPr>
          <w:trHeight w:val="1899"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巴中市巴州区梨子圆种养殖专业合作社（景志）</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31</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52</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0.91</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93</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3.58</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巴中市巴州区花溪春岭家庭农场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（张建元）</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76</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127</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2.24</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228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8.78</w:t>
            </w:r>
          </w:p>
        </w:tc>
      </w:tr>
      <w:tr>
        <w:tblPrEx>
          <w:tblCellMar>
            <w:top w:w="0" w:type="dxa"/>
            <w:left w:w="108" w:type="dxa"/>
            <w:bottom w:w="0" w:type="dxa"/>
            <w:right w:w="108" w:type="dxa"/>
          </w:tblCellMar>
        </w:tblPrEx>
        <w:trPr>
          <w:trHeight w:val="163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巴中市巴州区花溪兴业家庭农场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（熊力）</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61</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102</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68</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183</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7.05</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巴中市巴州区花溪国寿家庭农场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（孙国寿）</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32</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36</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0.94</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96</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3.70</w:t>
            </w:r>
          </w:p>
        </w:tc>
      </w:tr>
      <w:tr>
        <w:tblPrEx>
          <w:tblCellMar>
            <w:top w:w="0" w:type="dxa"/>
            <w:left w:w="108" w:type="dxa"/>
            <w:bottom w:w="0" w:type="dxa"/>
            <w:right w:w="108" w:type="dxa"/>
          </w:tblCellMar>
        </w:tblPrEx>
        <w:trPr>
          <w:trHeight w:val="1932"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巴中市巴州区花溪谢家洞家庭农场（李道德）</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75</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125</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58</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2.21</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225</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8.67</w:t>
            </w:r>
          </w:p>
        </w:tc>
      </w:tr>
      <w:tr>
        <w:tblPrEx>
          <w:tblCellMar>
            <w:top w:w="0" w:type="dxa"/>
            <w:left w:w="108" w:type="dxa"/>
            <w:bottom w:w="0" w:type="dxa"/>
            <w:right w:w="108" w:type="dxa"/>
          </w:tblCellMar>
        </w:tblPrEx>
        <w:trPr>
          <w:trHeight w:val="163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巴中市巴州区宏大生态养殖场（陈刚）</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60</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47</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1.77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180</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6.93</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谢向阳</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21</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35</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16</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0.62</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63</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2.43</w:t>
            </w:r>
          </w:p>
        </w:tc>
      </w:tr>
      <w:tr>
        <w:tblPrEx>
          <w:tblCellMar>
            <w:top w:w="0" w:type="dxa"/>
            <w:left w:w="108" w:type="dxa"/>
            <w:bottom w:w="0" w:type="dxa"/>
            <w:right w:w="108" w:type="dxa"/>
          </w:tblCellMar>
        </w:tblPrEx>
        <w:trPr>
          <w:trHeight w:val="65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水宁寺镇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张奇明</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29</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48</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32</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22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0.85</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87</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3.35</w:t>
            </w:r>
          </w:p>
        </w:tc>
      </w:tr>
      <w:tr>
        <w:tblPrEx>
          <w:tblCellMar>
            <w:top w:w="0" w:type="dxa"/>
            <w:left w:w="108" w:type="dxa"/>
            <w:bottom w:w="0" w:type="dxa"/>
            <w:right w:w="108" w:type="dxa"/>
          </w:tblCellMar>
        </w:tblPrEx>
        <w:trPr>
          <w:trHeight w:val="970"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水宁寺镇合计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851</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2836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1419</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945</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658</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25.07</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2553</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98.33</w:t>
            </w:r>
          </w:p>
        </w:tc>
      </w:tr>
      <w:tr>
        <w:tblPrEx>
          <w:tblCellMar>
            <w:top w:w="0" w:type="dxa"/>
            <w:left w:w="108" w:type="dxa"/>
            <w:bottom w:w="0" w:type="dxa"/>
            <w:right w:w="108" w:type="dxa"/>
          </w:tblCellMar>
        </w:tblPrEx>
        <w:trPr>
          <w:trHeight w:val="744" w:hRule="atLeast"/>
          <w:jc w:val="center"/>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eastAsia="zh-CN"/>
              </w:rPr>
            </w:pPr>
            <w:r>
              <w:rPr>
                <w:rFonts w:hint="default" w:ascii="Times New Roman" w:hAnsi="Times New Roman" w:eastAsia="仿宋" w:cs="Times New Roman"/>
                <w:color w:val="000000"/>
                <w:kern w:val="0"/>
                <w:sz w:val="24"/>
                <w:szCs w:val="24"/>
                <w:lang w:val="en-US" w:eastAsia="zh-CN"/>
              </w:rPr>
              <w:t>总合计</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2966</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9886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4943</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3295</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2299</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87.33</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8898</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342.73</w:t>
            </w:r>
          </w:p>
        </w:tc>
      </w:tr>
    </w:tbl>
    <w:p>
      <w:pPr>
        <w:pStyle w:val="57"/>
        <w:widowControl w:val="0"/>
        <w:spacing w:before="190" w:after="190" w:line="240" w:lineRule="auto"/>
        <w:ind w:firstLine="0"/>
        <w:rPr>
          <w:rFonts w:hint="eastAsia" w:eastAsia="仿宋"/>
          <w:kern w:val="2"/>
          <w:szCs w:val="24"/>
          <w:lang w:val="en-US" w:eastAsia="zh-CN"/>
        </w:rPr>
      </w:pPr>
      <w:r>
        <w:rPr>
          <w:rFonts w:hint="eastAsia" w:eastAsia="仿宋"/>
          <w:kern w:val="2"/>
          <w:szCs w:val="24"/>
        </w:rPr>
        <w:t>续附表3-</w:t>
      </w:r>
      <w:r>
        <w:rPr>
          <w:rFonts w:hint="eastAsia" w:eastAsia="仿宋"/>
          <w:kern w:val="2"/>
          <w:szCs w:val="24"/>
          <w:lang w:val="en-US" w:eastAsia="zh-CN"/>
        </w:rPr>
        <w:t>3</w:t>
      </w:r>
      <w:r>
        <w:rPr>
          <w:rFonts w:hint="eastAsia" w:eastAsia="仿宋"/>
          <w:kern w:val="2"/>
          <w:szCs w:val="24"/>
        </w:rPr>
        <w:t>规划期内拟整治</w:t>
      </w:r>
      <w:r>
        <w:rPr>
          <w:rFonts w:eastAsia="仿宋"/>
          <w:kern w:val="2"/>
          <w:szCs w:val="24"/>
        </w:rPr>
        <w:t>养殖</w:t>
      </w:r>
      <w:r>
        <w:rPr>
          <w:rFonts w:hint="eastAsia" w:eastAsia="仿宋"/>
          <w:kern w:val="2"/>
          <w:szCs w:val="24"/>
        </w:rPr>
        <w:t>户清单</w:t>
      </w:r>
      <w:r>
        <w:rPr>
          <w:rFonts w:hint="eastAsia" w:eastAsia="仿宋"/>
          <w:kern w:val="2"/>
          <w:szCs w:val="24"/>
          <w:lang w:eastAsia="zh-CN"/>
        </w:rPr>
        <w:t>（羊）</w:t>
      </w:r>
    </w:p>
    <w:tbl>
      <w:tblPr>
        <w:tblStyle w:val="23"/>
        <w:tblW w:w="13814" w:type="dxa"/>
        <w:jc w:val="center"/>
        <w:tblLayout w:type="fixed"/>
        <w:tblCellMar>
          <w:top w:w="0" w:type="dxa"/>
          <w:left w:w="108" w:type="dxa"/>
          <w:bottom w:w="0" w:type="dxa"/>
          <w:right w:w="108" w:type="dxa"/>
        </w:tblCellMar>
      </w:tblPr>
      <w:tblGrid>
        <w:gridCol w:w="610"/>
        <w:gridCol w:w="981"/>
        <w:gridCol w:w="1400"/>
        <w:gridCol w:w="622"/>
        <w:gridCol w:w="622"/>
        <w:gridCol w:w="801"/>
        <w:gridCol w:w="1383"/>
        <w:gridCol w:w="1513"/>
        <w:gridCol w:w="1325"/>
        <w:gridCol w:w="1471"/>
        <w:gridCol w:w="1726"/>
        <w:gridCol w:w="1360"/>
      </w:tblGrid>
      <w:tr>
        <w:tblPrEx>
          <w:tblCellMar>
            <w:top w:w="0" w:type="dxa"/>
            <w:left w:w="108" w:type="dxa"/>
            <w:bottom w:w="0" w:type="dxa"/>
            <w:right w:w="108" w:type="dxa"/>
          </w:tblCellMar>
        </w:tblPrEx>
        <w:trPr>
          <w:trHeight w:val="956" w:hRule="atLeast"/>
          <w:tblHeader/>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序号</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乡镇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养殖户名</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羊</w:t>
            </w:r>
            <w:r>
              <w:rPr>
                <w:rFonts w:hint="default" w:ascii="Times New Roman" w:hAnsi="Times New Roman" w:cs="Times New Roman"/>
                <w:b/>
                <w:sz w:val="24"/>
                <w:szCs w:val="24"/>
              </w:rPr>
              <w:t>存栏</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家数</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猪当量</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配套土地面积（亩）</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堆粪场有效容积（m</w:t>
            </w:r>
            <w:r>
              <w:rPr>
                <w:rFonts w:hint="default" w:ascii="Times New Roman" w:hAnsi="Times New Roman" w:cs="Times New Roman"/>
                <w:b/>
                <w:sz w:val="24"/>
                <w:szCs w:val="24"/>
                <w:vertAlign w:val="superscript"/>
              </w:rPr>
              <w:t>3</w:t>
            </w:r>
            <w:r>
              <w:rPr>
                <w:rFonts w:hint="default" w:ascii="Times New Roman" w:hAnsi="Times New Roman" w:cs="Times New Roman"/>
                <w:b/>
                <w:sz w:val="24"/>
                <w:szCs w:val="24"/>
              </w:rPr>
              <w:t>）</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堆粪场面积（m</w:t>
            </w:r>
            <w:r>
              <w:rPr>
                <w:rFonts w:hint="default" w:ascii="Times New Roman" w:hAnsi="Times New Roman" w:cs="Times New Roman"/>
                <w:b/>
                <w:sz w:val="24"/>
                <w:szCs w:val="24"/>
                <w:vertAlign w:val="superscript"/>
              </w:rPr>
              <w:t>2</w:t>
            </w:r>
            <w:r>
              <w:rPr>
                <w:rFonts w:hint="default" w:ascii="Times New Roman" w:hAnsi="Times New Roman" w:cs="Times New Roman"/>
                <w:b/>
                <w:sz w:val="24"/>
                <w:szCs w:val="24"/>
              </w:rPr>
              <w:t>）</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堆粪场工程估算（万元）</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污水贮存池有效容积（m</w:t>
            </w:r>
            <w:r>
              <w:rPr>
                <w:rFonts w:hint="default" w:ascii="Times New Roman" w:hAnsi="Times New Roman" w:cs="Times New Roman"/>
                <w:b/>
                <w:sz w:val="24"/>
                <w:szCs w:val="24"/>
                <w:vertAlign w:val="superscript"/>
              </w:rPr>
              <w:t>3</w:t>
            </w:r>
            <w:r>
              <w:rPr>
                <w:rFonts w:hint="default" w:ascii="Times New Roman" w:hAnsi="Times New Roman" w:cs="Times New Roman"/>
                <w:b/>
                <w:sz w:val="24"/>
                <w:szCs w:val="24"/>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贮水池工程估算（万元）</w:t>
            </w:r>
          </w:p>
        </w:tc>
      </w:tr>
      <w:tr>
        <w:tblPrEx>
          <w:tblCellMar>
            <w:top w:w="0" w:type="dxa"/>
            <w:left w:w="108" w:type="dxa"/>
            <w:bottom w:w="0" w:type="dxa"/>
            <w:right w:w="108" w:type="dxa"/>
          </w:tblCellMar>
        </w:tblPrEx>
        <w:trPr>
          <w:trHeight w:val="1468"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梁永镇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巴州区俊茂种养殖农场（唐俊）</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99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梁永镇合计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75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清江镇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文克贵</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635"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清江镇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巴中市巴州区情姐养殖场（曾忠祥）</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99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清江镇合计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400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160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80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54</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38</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1.41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144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5.54</w:t>
            </w:r>
          </w:p>
        </w:tc>
      </w:tr>
      <w:tr>
        <w:tblPrEx>
          <w:tblCellMar>
            <w:top w:w="0" w:type="dxa"/>
            <w:left w:w="108" w:type="dxa"/>
            <w:bottom w:w="0" w:type="dxa"/>
            <w:right w:w="108" w:type="dxa"/>
          </w:tblCellMar>
        </w:tblPrEx>
        <w:trPr>
          <w:trHeight w:val="131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巴州区高岩养殖场（张举祥）</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468"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5</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巴州区刘吉富养殖场（刘吉富）</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468"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eastAsia="zh-CN"/>
              </w:rPr>
            </w:pPr>
            <w:r>
              <w:rPr>
                <w:rFonts w:hint="default" w:ascii="Times New Roman" w:hAnsi="Times New Roman" w:cs="Times New Roman"/>
                <w:color w:val="000000"/>
                <w:kern w:val="0"/>
                <w:sz w:val="24"/>
                <w:szCs w:val="24"/>
                <w:lang w:val="en-US" w:eastAsia="zh-CN"/>
              </w:rPr>
              <w:t>6</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灵杰种养殖专业合作社（吴登国）</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468"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红石笋养殖专业合作社（李攀）</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31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秀泉农业有限公司（李天柱）</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0.35</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1.39</w:t>
            </w:r>
          </w:p>
        </w:tc>
      </w:tr>
      <w:tr>
        <w:tblPrEx>
          <w:tblCellMar>
            <w:top w:w="0" w:type="dxa"/>
            <w:left w:w="108" w:type="dxa"/>
            <w:bottom w:w="0" w:type="dxa"/>
            <w:right w:w="108" w:type="dxa"/>
          </w:tblCellMar>
        </w:tblPrEx>
        <w:trPr>
          <w:trHeight w:val="99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lang w:val="en-US" w:eastAsia="zh-CN"/>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枣林镇合计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900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5</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360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180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121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85</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3.19</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324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12.47</w:t>
            </w:r>
          </w:p>
        </w:tc>
      </w:tr>
      <w:tr>
        <w:tblPrEx>
          <w:tblCellMar>
            <w:top w:w="0" w:type="dxa"/>
            <w:left w:w="108" w:type="dxa"/>
            <w:bottom w:w="0" w:type="dxa"/>
            <w:right w:w="108" w:type="dxa"/>
          </w:tblCellMar>
        </w:tblPrEx>
        <w:trPr>
          <w:trHeight w:val="1956"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9</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鼎山镇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巴州区鼎山镇星鑫黄羊养殖场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（康洪文）</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0.35</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1.39</w:t>
            </w:r>
          </w:p>
        </w:tc>
      </w:tr>
      <w:tr>
        <w:tblPrEx>
          <w:tblCellMar>
            <w:top w:w="0" w:type="dxa"/>
            <w:left w:w="108" w:type="dxa"/>
            <w:bottom w:w="0" w:type="dxa"/>
            <w:right w:w="108" w:type="dxa"/>
          </w:tblCellMar>
        </w:tblPrEx>
        <w:trPr>
          <w:trHeight w:val="99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lang w:val="en-US" w:eastAsia="zh-CN"/>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鼎山镇合计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100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40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20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0.35</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36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1.39</w:t>
            </w:r>
          </w:p>
        </w:tc>
      </w:tr>
      <w:tr>
        <w:tblPrEx>
          <w:tblCellMar>
            <w:top w:w="0" w:type="dxa"/>
            <w:left w:w="108" w:type="dxa"/>
            <w:bottom w:w="0" w:type="dxa"/>
            <w:right w:w="108" w:type="dxa"/>
          </w:tblCellMar>
        </w:tblPrEx>
        <w:trPr>
          <w:trHeight w:val="183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10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天马山镇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巴中市巴州区佳瑞种养殖专业合作社（饶斌）</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83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天马山镇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巴州区方碑脱贫攻坚造林专业合作社（张民）</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1635"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天马山镇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巴州区寺岭镇发勇家庭农场（何发勇）</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0.71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2.77</w:t>
            </w:r>
          </w:p>
        </w:tc>
      </w:tr>
      <w:tr>
        <w:tblPrEx>
          <w:tblCellMar>
            <w:top w:w="0" w:type="dxa"/>
            <w:left w:w="108" w:type="dxa"/>
            <w:bottom w:w="0" w:type="dxa"/>
            <w:right w:w="108" w:type="dxa"/>
          </w:tblCellMar>
        </w:tblPrEx>
        <w:trPr>
          <w:trHeight w:val="99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天马山镇合计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600</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240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120</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81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57</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2.13</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216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8.31</w:t>
            </w:r>
          </w:p>
        </w:tc>
      </w:tr>
      <w:tr>
        <w:tblPrEx>
          <w:tblCellMar>
            <w:top w:w="0" w:type="dxa"/>
            <w:left w:w="108" w:type="dxa"/>
            <w:bottom w:w="0" w:type="dxa"/>
            <w:right w:w="108" w:type="dxa"/>
          </w:tblCellMar>
        </w:tblPrEx>
        <w:trPr>
          <w:trHeight w:val="1956"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水宁寺镇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巴中市葛藤坎生态专业合作社</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（李明亮）</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134</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53.6</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26.8</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0.47</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48.24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1.86</w:t>
            </w:r>
          </w:p>
        </w:tc>
      </w:tr>
      <w:tr>
        <w:tblPrEx>
          <w:tblCellMar>
            <w:top w:w="0" w:type="dxa"/>
            <w:left w:w="108" w:type="dxa"/>
            <w:bottom w:w="0" w:type="dxa"/>
            <w:right w:w="108" w:type="dxa"/>
          </w:tblCellMar>
        </w:tblPrEx>
        <w:trPr>
          <w:trHeight w:val="2197"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水宁寺镇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巴中市巴州区绿益康生态养殖有限公司（王丽娟）</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67</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26.8</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13.4</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0.24</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24.12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0.93</w:t>
            </w:r>
          </w:p>
        </w:tc>
      </w:tr>
      <w:tr>
        <w:tblPrEx>
          <w:tblCellMar>
            <w:top w:w="0" w:type="dxa"/>
            <w:left w:w="108" w:type="dxa"/>
            <w:bottom w:w="0" w:type="dxa"/>
            <w:right w:w="108" w:type="dxa"/>
          </w:tblCellMar>
        </w:tblPrEx>
        <w:trPr>
          <w:trHeight w:val="1956"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5</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水宁寺镇</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巴中市巴州区东霖养殖专业合作社（杨海涛）</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84</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33.6</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16.8</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0.30</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30.24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1.16</w:t>
            </w:r>
          </w:p>
        </w:tc>
      </w:tr>
      <w:tr>
        <w:tblPrEx>
          <w:tblCellMar>
            <w:top w:w="0" w:type="dxa"/>
            <w:left w:w="108" w:type="dxa"/>
            <w:bottom w:w="0" w:type="dxa"/>
            <w:right w:w="108" w:type="dxa"/>
          </w:tblCellMar>
        </w:tblPrEx>
        <w:trPr>
          <w:trHeight w:val="992"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水宁寺镇合计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285</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114</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57</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38</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26</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1.01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102.6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3.95</w:t>
            </w:r>
          </w:p>
        </w:tc>
      </w:tr>
      <w:tr>
        <w:tblPrEx>
          <w:tblCellMar>
            <w:top w:w="0" w:type="dxa"/>
            <w:left w:w="108" w:type="dxa"/>
            <w:bottom w:w="0" w:type="dxa"/>
            <w:right w:w="108" w:type="dxa"/>
          </w:tblCellMar>
        </w:tblPrEx>
        <w:trPr>
          <w:trHeight w:val="1028"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4"/>
                <w:szCs w:val="24"/>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总合计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4"/>
                <w:szCs w:val="24"/>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2485</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15</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994</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497</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334</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234</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8.81</w:t>
            </w:r>
          </w:p>
        </w:tc>
        <w:tc>
          <w:tcPr>
            <w:tcW w:w="1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894.6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34.43</w:t>
            </w:r>
          </w:p>
        </w:tc>
      </w:tr>
    </w:tbl>
    <w:p>
      <w:pPr>
        <w:pStyle w:val="57"/>
        <w:widowControl w:val="0"/>
        <w:spacing w:before="190" w:after="190" w:line="240" w:lineRule="auto"/>
        <w:ind w:firstLine="0"/>
        <w:rPr>
          <w:rFonts w:eastAsia="仿宋"/>
          <w:kern w:val="2"/>
          <w:szCs w:val="24"/>
        </w:rPr>
      </w:pPr>
      <w:r>
        <w:rPr>
          <w:rFonts w:hint="eastAsia" w:eastAsia="仿宋"/>
          <w:kern w:val="2"/>
          <w:szCs w:val="24"/>
        </w:rPr>
        <w:t>续附表3-</w:t>
      </w:r>
      <w:r>
        <w:rPr>
          <w:rFonts w:hint="eastAsia" w:eastAsia="仿宋"/>
          <w:kern w:val="2"/>
          <w:szCs w:val="24"/>
          <w:lang w:val="en-US" w:eastAsia="zh-CN"/>
        </w:rPr>
        <w:t>4</w:t>
      </w:r>
      <w:r>
        <w:rPr>
          <w:rFonts w:hint="eastAsia" w:eastAsia="仿宋"/>
          <w:kern w:val="2"/>
          <w:szCs w:val="24"/>
        </w:rPr>
        <w:t>规划期内拟整治</w:t>
      </w:r>
      <w:r>
        <w:rPr>
          <w:rFonts w:eastAsia="仿宋"/>
          <w:kern w:val="2"/>
          <w:szCs w:val="24"/>
        </w:rPr>
        <w:t>养殖</w:t>
      </w:r>
      <w:r>
        <w:rPr>
          <w:rFonts w:hint="eastAsia" w:eastAsia="仿宋"/>
          <w:kern w:val="2"/>
          <w:szCs w:val="24"/>
        </w:rPr>
        <w:t>户清单</w:t>
      </w:r>
      <w:r>
        <w:rPr>
          <w:rFonts w:hint="eastAsia" w:eastAsia="仿宋"/>
          <w:kern w:val="2"/>
          <w:szCs w:val="24"/>
          <w:lang w:eastAsia="zh-CN"/>
        </w:rPr>
        <w:t>（兼用型鸡）</w:t>
      </w:r>
    </w:p>
    <w:tbl>
      <w:tblPr>
        <w:tblStyle w:val="23"/>
        <w:tblW w:w="13755" w:type="dxa"/>
        <w:jc w:val="center"/>
        <w:tblLayout w:type="fixed"/>
        <w:tblCellMar>
          <w:top w:w="0" w:type="dxa"/>
          <w:left w:w="108" w:type="dxa"/>
          <w:bottom w:w="0" w:type="dxa"/>
          <w:right w:w="108" w:type="dxa"/>
        </w:tblCellMar>
      </w:tblPr>
      <w:tblGrid>
        <w:gridCol w:w="443"/>
        <w:gridCol w:w="1349"/>
        <w:gridCol w:w="1604"/>
        <w:gridCol w:w="1027"/>
        <w:gridCol w:w="1027"/>
        <w:gridCol w:w="911"/>
        <w:gridCol w:w="1569"/>
        <w:gridCol w:w="1868"/>
        <w:gridCol w:w="1897"/>
        <w:gridCol w:w="2060"/>
      </w:tblGrid>
      <w:tr>
        <w:tblPrEx>
          <w:tblCellMar>
            <w:top w:w="0" w:type="dxa"/>
            <w:left w:w="108" w:type="dxa"/>
            <w:bottom w:w="0" w:type="dxa"/>
            <w:right w:w="108" w:type="dxa"/>
          </w:tblCellMar>
        </w:tblPrEx>
        <w:trPr>
          <w:trHeight w:val="892" w:hRule="atLeast"/>
          <w:tblHeader/>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序号</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乡镇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养殖户名</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eastAsia" w:ascii="Times New Roman" w:hAnsi="Times New Roman" w:cs="Times New Roman"/>
                <w:b/>
                <w:bCs/>
                <w:color w:val="000000"/>
                <w:kern w:val="0"/>
                <w:sz w:val="24"/>
                <w:szCs w:val="24"/>
                <w:lang w:val="en-US" w:eastAsia="zh-CN"/>
              </w:rPr>
              <w:t>兼用型</w:t>
            </w:r>
            <w:r>
              <w:rPr>
                <w:rFonts w:hint="default" w:ascii="Times New Roman" w:hAnsi="Times New Roman" w:cs="Times New Roman"/>
                <w:b/>
                <w:bCs/>
                <w:color w:val="000000"/>
                <w:kern w:val="0"/>
                <w:sz w:val="24"/>
                <w:szCs w:val="24"/>
              </w:rPr>
              <w:t>鸡存栏</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家数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猪当量</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配套土地面积（亩）</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堆粪场有效容积（m</w:t>
            </w:r>
            <w:r>
              <w:rPr>
                <w:rFonts w:hint="default" w:ascii="Times New Roman" w:hAnsi="Times New Roman" w:cs="Times New Roman"/>
                <w:b/>
                <w:bCs/>
                <w:color w:val="000000"/>
                <w:kern w:val="0"/>
                <w:sz w:val="24"/>
                <w:szCs w:val="24"/>
                <w:vertAlign w:val="superscript"/>
              </w:rPr>
              <w:t>3</w:t>
            </w:r>
            <w:r>
              <w:rPr>
                <w:rFonts w:hint="default" w:ascii="Times New Roman" w:hAnsi="Times New Roman" w:cs="Times New Roman"/>
                <w:b/>
                <w:bCs/>
                <w:color w:val="000000"/>
                <w:kern w:val="0"/>
                <w:sz w:val="24"/>
                <w:szCs w:val="24"/>
              </w:rPr>
              <w:t>）</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堆粪场面积（</w:t>
            </w:r>
            <w:r>
              <w:rPr>
                <w:rFonts w:hint="default" w:ascii="Times New Roman" w:hAnsi="Times New Roman" w:cs="Times New Roman"/>
                <w:b/>
                <w:sz w:val="24"/>
                <w:szCs w:val="24"/>
              </w:rPr>
              <w:t>m</w:t>
            </w:r>
            <w:r>
              <w:rPr>
                <w:rFonts w:hint="default" w:ascii="Times New Roman" w:hAnsi="Times New Roman" w:cs="Times New Roman"/>
                <w:b/>
                <w:sz w:val="24"/>
                <w:szCs w:val="24"/>
                <w:vertAlign w:val="superscript"/>
              </w:rPr>
              <w:t>2</w:t>
            </w:r>
            <w:r>
              <w:rPr>
                <w:rFonts w:hint="default" w:ascii="Times New Roman" w:hAnsi="Times New Roman" w:cs="Times New Roman"/>
                <w:b/>
                <w:bCs/>
                <w:color w:val="000000"/>
                <w:kern w:val="0"/>
                <w:sz w:val="24"/>
                <w:szCs w:val="24"/>
              </w:rPr>
              <w:t>）</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kern w:val="0"/>
                <w:sz w:val="24"/>
                <w:szCs w:val="24"/>
              </w:rPr>
              <w:t>堆粪场工程估算（万元）</w:t>
            </w:r>
          </w:p>
        </w:tc>
      </w:tr>
      <w:tr>
        <w:tblPrEx>
          <w:tblCellMar>
            <w:top w:w="0" w:type="dxa"/>
            <w:left w:w="108" w:type="dxa"/>
            <w:bottom w:w="0" w:type="dxa"/>
            <w:right w:w="108" w:type="dxa"/>
          </w:tblCellMar>
        </w:tblPrEx>
        <w:trPr>
          <w:trHeight w:val="1750"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清江镇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巴中市巴州区清江镇腊红山家庭农场（秦中勋）</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133</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93</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3.53</w:t>
            </w:r>
          </w:p>
        </w:tc>
      </w:tr>
      <w:tr>
        <w:tblPrEx>
          <w:tblCellMar>
            <w:top w:w="0" w:type="dxa"/>
            <w:left w:w="108" w:type="dxa"/>
            <w:bottom w:w="0" w:type="dxa"/>
            <w:right w:w="108" w:type="dxa"/>
          </w:tblCellMar>
        </w:tblPrEx>
        <w:trPr>
          <w:trHeight w:val="1464"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清江镇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w:t>
            </w:r>
            <w:r>
              <w:rPr>
                <w:rFonts w:hint="eastAsia" w:cs="Times New Roman"/>
                <w:color w:val="000000"/>
                <w:kern w:val="0"/>
                <w:sz w:val="24"/>
                <w:szCs w:val="24"/>
                <w:lang w:val="en-US" w:eastAsia="zh-CN"/>
              </w:rPr>
              <w:t>清</w:t>
            </w:r>
            <w:r>
              <w:rPr>
                <w:rFonts w:hint="default" w:ascii="Times New Roman" w:hAnsi="Times New Roman" w:cs="Times New Roman"/>
                <w:color w:val="000000"/>
                <w:kern w:val="0"/>
                <w:sz w:val="24"/>
                <w:szCs w:val="24"/>
                <w:lang w:val="en-US" w:eastAsia="zh-CN"/>
              </w:rPr>
              <w:t>江镇永泉家庭农场（施为全）</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133</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93</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3.53</w:t>
            </w:r>
          </w:p>
        </w:tc>
      </w:tr>
      <w:tr>
        <w:tblPrEx>
          <w:tblCellMar>
            <w:top w:w="0" w:type="dxa"/>
            <w:left w:w="108" w:type="dxa"/>
            <w:bottom w:w="0" w:type="dxa"/>
            <w:right w:w="108" w:type="dxa"/>
          </w:tblCellMar>
        </w:tblPrEx>
        <w:trPr>
          <w:trHeight w:val="1464"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eastAsia" w:cs="Times New Roman"/>
                <w:color w:val="000000"/>
                <w:kern w:val="0"/>
                <w:sz w:val="24"/>
                <w:szCs w:val="24"/>
                <w:lang w:val="en-US" w:eastAsia="zh-CN"/>
              </w:rPr>
              <w:t>清</w:t>
            </w:r>
            <w:r>
              <w:rPr>
                <w:rFonts w:hint="default" w:ascii="Times New Roman" w:hAnsi="Times New Roman" w:cs="Times New Roman"/>
                <w:color w:val="000000"/>
                <w:kern w:val="0"/>
                <w:sz w:val="24"/>
                <w:szCs w:val="24"/>
                <w:lang w:val="en-US" w:eastAsia="zh-CN"/>
              </w:rPr>
              <w:t>江镇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w:t>
            </w:r>
            <w:r>
              <w:rPr>
                <w:rFonts w:hint="eastAsia" w:cs="Times New Roman"/>
                <w:color w:val="000000"/>
                <w:kern w:val="0"/>
                <w:sz w:val="24"/>
                <w:szCs w:val="24"/>
                <w:lang w:val="en-US" w:eastAsia="zh-CN"/>
              </w:rPr>
              <w:t>清</w:t>
            </w:r>
            <w:r>
              <w:rPr>
                <w:rFonts w:hint="default" w:ascii="Times New Roman" w:hAnsi="Times New Roman" w:cs="Times New Roman"/>
                <w:color w:val="000000"/>
                <w:kern w:val="0"/>
                <w:sz w:val="24"/>
                <w:szCs w:val="24"/>
                <w:lang w:val="en-US" w:eastAsia="zh-CN"/>
              </w:rPr>
              <w:t>江镇刘永通养殖场（刘永通）</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133</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93</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3.53</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清江镇合计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1200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600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399</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279</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10.59</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玉堂街道</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巴州区老地方家庭农场（徐丽容）</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30500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1220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610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284</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10.78</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玉堂街道</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巴州区凌安家庭农场（尹新杰）</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31000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1240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620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413</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288</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10.95</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6</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玉堂街道</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巴州区绿园家庭农场（温乙一）</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30500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1220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610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284</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10.78</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7</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玉堂街道</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巴州区爱琼家庭农场（党绪刚）</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32000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1280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640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427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298</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11.31</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玉堂街道合计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124000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4</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4960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2480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1654</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1154</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43.82</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8</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灼洋种养殖专业合作社（李光乾）</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8000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320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160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74</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2.83</w:t>
            </w:r>
          </w:p>
        </w:tc>
      </w:tr>
      <w:tr>
        <w:tblPrEx>
          <w:tblCellMar>
            <w:top w:w="0" w:type="dxa"/>
            <w:left w:w="108" w:type="dxa"/>
            <w:bottom w:w="0" w:type="dxa"/>
            <w:right w:w="108" w:type="dxa"/>
          </w:tblCellMar>
        </w:tblPrEx>
        <w:trPr>
          <w:trHeight w:val="684"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9</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枣林镇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李亮</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5000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47</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1.77</w:t>
            </w:r>
          </w:p>
        </w:tc>
      </w:tr>
      <w:tr>
        <w:tblPrEx>
          <w:tblCellMar>
            <w:top w:w="0" w:type="dxa"/>
            <w:left w:w="108" w:type="dxa"/>
            <w:bottom w:w="0" w:type="dxa"/>
            <w:right w:w="108" w:type="dxa"/>
          </w:tblCellMar>
        </w:tblPrEx>
        <w:trPr>
          <w:trHeight w:val="733"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枣林镇合计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13000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520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260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174</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121</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4.6</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10</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化成镇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巴山优品合作社</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（李永根）</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400</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279</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10.60</w:t>
            </w:r>
          </w:p>
        </w:tc>
      </w:tr>
      <w:tr>
        <w:tblPrEx>
          <w:tblCellMar>
            <w:top w:w="0" w:type="dxa"/>
            <w:left w:w="108" w:type="dxa"/>
            <w:bottom w:w="0" w:type="dxa"/>
            <w:right w:w="108" w:type="dxa"/>
          </w:tblCellMar>
        </w:tblPrEx>
        <w:trPr>
          <w:trHeight w:val="1094"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11</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化成镇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陈军家庭农场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（陈军）</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120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28</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1.06</w:t>
            </w:r>
          </w:p>
        </w:tc>
      </w:tr>
      <w:tr>
        <w:tblPrEx>
          <w:tblCellMar>
            <w:top w:w="0" w:type="dxa"/>
            <w:left w:w="108" w:type="dxa"/>
            <w:bottom w:w="0" w:type="dxa"/>
            <w:right w:w="108" w:type="dxa"/>
          </w:tblCellMar>
        </w:tblPrEx>
        <w:trPr>
          <w:trHeight w:val="733"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化成镇合计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33000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1320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660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440</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307</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11.66</w:t>
            </w:r>
          </w:p>
        </w:tc>
      </w:tr>
      <w:tr>
        <w:tblPrEx>
          <w:tblCellMar>
            <w:top w:w="0" w:type="dxa"/>
            <w:left w:w="108" w:type="dxa"/>
            <w:bottom w:w="0" w:type="dxa"/>
            <w:right w:w="108" w:type="dxa"/>
          </w:tblCellMar>
        </w:tblPrEx>
        <w:trPr>
          <w:trHeight w:val="1464"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12</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天马山镇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巴中市巴州区付均家庭农场（杨付均）</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5000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47</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1.77</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天马山镇合计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5000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67</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47</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1.77</w:t>
            </w:r>
          </w:p>
        </w:tc>
      </w:tr>
      <w:tr>
        <w:tblPrEx>
          <w:tblCellMar>
            <w:top w:w="0" w:type="dxa"/>
            <w:left w:w="108" w:type="dxa"/>
            <w:bottom w:w="0" w:type="dxa"/>
            <w:right w:w="108" w:type="dxa"/>
          </w:tblCellMar>
        </w:tblPrEx>
        <w:trPr>
          <w:trHeight w:val="1643"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水宁寺镇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巴中市巴州区水乡真情养殖专业合作社（李斌）</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40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13</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9</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0.35</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cs="Times New Roman"/>
                <w:color w:val="000000"/>
                <w:kern w:val="0"/>
                <w:sz w:val="24"/>
                <w:szCs w:val="24"/>
              </w:rPr>
              <w:t>1</w:t>
            </w:r>
            <w:r>
              <w:rPr>
                <w:rFonts w:hint="default" w:ascii="Times New Roman" w:hAnsi="Times New Roman" w:cs="Times New Roman"/>
                <w:color w:val="000000"/>
                <w:kern w:val="0"/>
                <w:sz w:val="24"/>
                <w:szCs w:val="24"/>
                <w:lang w:val="en-US" w:eastAsia="zh-CN"/>
              </w:rPr>
              <w:t>4</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水宁寺镇</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巴州区水宁寺镇创佳农业（陈斌）</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19000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760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380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253</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177</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6.71</w:t>
            </w:r>
          </w:p>
        </w:tc>
      </w:tr>
      <w:tr>
        <w:tblPrEx>
          <w:tblCellMar>
            <w:top w:w="0" w:type="dxa"/>
            <w:left w:w="108" w:type="dxa"/>
            <w:bottom w:w="0" w:type="dxa"/>
            <w:right w:w="108" w:type="dxa"/>
          </w:tblCellMar>
        </w:tblPrEx>
        <w:trPr>
          <w:trHeight w:val="128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水宁寺镇合计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800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400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266</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186</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eastAsia="等线" w:cs="Times New Roman"/>
                <w:i w:val="0"/>
                <w:iCs w:val="0"/>
                <w:color w:val="000000"/>
                <w:kern w:val="0"/>
                <w:sz w:val="22"/>
                <w:szCs w:val="22"/>
                <w:u w:val="none"/>
                <w:lang w:val="en-US" w:eastAsia="zh-CN" w:bidi="ar"/>
              </w:rPr>
              <w:t>7.06</w:t>
            </w:r>
          </w:p>
        </w:tc>
      </w:tr>
      <w:tr>
        <w:tblPrEx>
          <w:tblCellMar>
            <w:top w:w="0" w:type="dxa"/>
            <w:left w:w="108" w:type="dxa"/>
            <w:bottom w:w="0" w:type="dxa"/>
            <w:right w:w="108" w:type="dxa"/>
          </w:tblCellMar>
        </w:tblPrEx>
        <w:trPr>
          <w:trHeight w:val="772" w:hRule="atLeast"/>
          <w:jc w:val="center"/>
        </w:trPr>
        <w:tc>
          <w:tcPr>
            <w:tcW w:w="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4"/>
                <w:szCs w:val="24"/>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总合计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4"/>
                <w:szCs w:val="24"/>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225000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14</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9000</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4500</w:t>
            </w:r>
          </w:p>
        </w:tc>
        <w:tc>
          <w:tcPr>
            <w:tcW w:w="1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3000</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2094</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79.5</w:t>
            </w:r>
          </w:p>
        </w:tc>
      </w:tr>
    </w:tbl>
    <w:p>
      <w:pPr>
        <w:pStyle w:val="57"/>
        <w:widowControl w:val="0"/>
        <w:spacing w:before="190" w:after="190" w:line="240" w:lineRule="auto"/>
        <w:ind w:firstLine="0"/>
        <w:rPr>
          <w:rFonts w:hint="default" w:eastAsia="仿宋"/>
          <w:kern w:val="2"/>
          <w:szCs w:val="24"/>
          <w:lang w:val="en-US" w:eastAsia="zh-CN"/>
        </w:rPr>
      </w:pPr>
      <w:r>
        <w:rPr>
          <w:rFonts w:hint="eastAsia" w:eastAsia="仿宋"/>
          <w:kern w:val="2"/>
          <w:szCs w:val="24"/>
        </w:rPr>
        <w:t>续附表3-</w:t>
      </w:r>
      <w:r>
        <w:rPr>
          <w:rFonts w:hint="eastAsia" w:eastAsia="仿宋"/>
          <w:kern w:val="2"/>
          <w:szCs w:val="24"/>
          <w:lang w:val="en-US" w:eastAsia="zh-CN"/>
        </w:rPr>
        <w:t>5</w:t>
      </w:r>
      <w:r>
        <w:rPr>
          <w:rFonts w:hint="eastAsia" w:eastAsia="仿宋"/>
          <w:kern w:val="2"/>
          <w:szCs w:val="24"/>
        </w:rPr>
        <w:t>规划期内拟整治</w:t>
      </w:r>
      <w:r>
        <w:rPr>
          <w:rFonts w:eastAsia="仿宋"/>
          <w:kern w:val="2"/>
          <w:szCs w:val="24"/>
        </w:rPr>
        <w:t>养殖</w:t>
      </w:r>
      <w:r>
        <w:rPr>
          <w:rFonts w:hint="eastAsia" w:eastAsia="仿宋"/>
          <w:kern w:val="2"/>
          <w:szCs w:val="24"/>
        </w:rPr>
        <w:t>户清单</w:t>
      </w:r>
      <w:r>
        <w:rPr>
          <w:rFonts w:hint="eastAsia" w:eastAsia="仿宋"/>
          <w:kern w:val="2"/>
          <w:szCs w:val="24"/>
          <w:lang w:eastAsia="zh-CN"/>
        </w:rPr>
        <w:t>（蛋鸡）</w:t>
      </w:r>
    </w:p>
    <w:tbl>
      <w:tblPr>
        <w:tblStyle w:val="23"/>
        <w:tblW w:w="13733" w:type="dxa"/>
        <w:jc w:val="center"/>
        <w:tblLayout w:type="fixed"/>
        <w:tblCellMar>
          <w:top w:w="0" w:type="dxa"/>
          <w:left w:w="108" w:type="dxa"/>
          <w:bottom w:w="0" w:type="dxa"/>
          <w:right w:w="108" w:type="dxa"/>
        </w:tblCellMar>
      </w:tblPr>
      <w:tblGrid>
        <w:gridCol w:w="657"/>
        <w:gridCol w:w="1165"/>
        <w:gridCol w:w="1799"/>
        <w:gridCol w:w="968"/>
        <w:gridCol w:w="782"/>
        <w:gridCol w:w="870"/>
        <w:gridCol w:w="1669"/>
        <w:gridCol w:w="1931"/>
        <w:gridCol w:w="1727"/>
        <w:gridCol w:w="2165"/>
      </w:tblGrid>
      <w:tr>
        <w:tblPrEx>
          <w:tblCellMar>
            <w:top w:w="0" w:type="dxa"/>
            <w:left w:w="108" w:type="dxa"/>
            <w:bottom w:w="0" w:type="dxa"/>
            <w:right w:w="108" w:type="dxa"/>
          </w:tblCellMar>
        </w:tblPrEx>
        <w:trPr>
          <w:trHeight w:val="1034" w:hRule="atLeast"/>
          <w:tblHeader/>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序号</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乡镇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养殖户名</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eastAsia" w:ascii="Times New Roman" w:hAnsi="Times New Roman" w:cs="Times New Roman"/>
                <w:b/>
                <w:bCs/>
                <w:color w:val="000000"/>
                <w:kern w:val="0"/>
                <w:sz w:val="24"/>
                <w:szCs w:val="24"/>
                <w:lang w:val="en-US" w:eastAsia="zh-CN"/>
              </w:rPr>
              <w:t>蛋</w:t>
            </w:r>
            <w:r>
              <w:rPr>
                <w:rFonts w:hint="default" w:ascii="Times New Roman" w:hAnsi="Times New Roman" w:eastAsia="仿宋" w:cs="Times New Roman"/>
                <w:b/>
                <w:bCs/>
                <w:color w:val="000000"/>
                <w:kern w:val="0"/>
                <w:sz w:val="24"/>
                <w:szCs w:val="24"/>
              </w:rPr>
              <w:t>鸡存栏</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家数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猪当量</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配套土地面积（亩）</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堆粪场有效容积（</w:t>
            </w:r>
            <w:r>
              <w:rPr>
                <w:rFonts w:hint="default" w:ascii="Times New Roman" w:hAnsi="Times New Roman" w:eastAsia="仿宋" w:cs="Times New Roman"/>
                <w:b/>
                <w:sz w:val="24"/>
                <w:szCs w:val="24"/>
              </w:rPr>
              <w:t>m</w:t>
            </w:r>
            <w:r>
              <w:rPr>
                <w:rFonts w:hint="default" w:ascii="Times New Roman" w:hAnsi="Times New Roman" w:eastAsia="仿宋" w:cs="Times New Roman"/>
                <w:b/>
                <w:sz w:val="24"/>
                <w:szCs w:val="24"/>
                <w:vertAlign w:val="superscript"/>
              </w:rPr>
              <w:t>3</w:t>
            </w:r>
            <w:r>
              <w:rPr>
                <w:rFonts w:hint="default" w:ascii="Times New Roman" w:hAnsi="Times New Roman" w:eastAsia="仿宋" w:cs="Times New Roman"/>
                <w:b/>
                <w:bCs/>
                <w:color w:val="000000"/>
                <w:kern w:val="0"/>
                <w:sz w:val="24"/>
                <w:szCs w:val="24"/>
              </w:rPr>
              <w:t>）</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堆粪场面积（</w:t>
            </w:r>
            <w:r>
              <w:rPr>
                <w:rFonts w:hint="default" w:ascii="Times New Roman" w:hAnsi="Times New Roman" w:eastAsia="仿宋" w:cs="Times New Roman"/>
                <w:b/>
                <w:sz w:val="24"/>
                <w:szCs w:val="24"/>
              </w:rPr>
              <w:t>m</w:t>
            </w:r>
            <w:r>
              <w:rPr>
                <w:rFonts w:hint="default" w:ascii="Times New Roman" w:hAnsi="Times New Roman" w:eastAsia="仿宋" w:cs="Times New Roman"/>
                <w:b/>
                <w:sz w:val="24"/>
                <w:szCs w:val="24"/>
                <w:vertAlign w:val="superscript"/>
              </w:rPr>
              <w:t>2</w:t>
            </w:r>
            <w:r>
              <w:rPr>
                <w:rFonts w:hint="default" w:ascii="Times New Roman" w:hAnsi="Times New Roman" w:eastAsia="仿宋" w:cs="Times New Roman"/>
                <w:b/>
                <w:bCs/>
                <w:color w:val="000000"/>
                <w:kern w:val="0"/>
                <w:sz w:val="24"/>
                <w:szCs w:val="24"/>
              </w:rPr>
              <w:t>）</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kern w:val="0"/>
                <w:sz w:val="24"/>
                <w:szCs w:val="24"/>
              </w:rPr>
              <w:t>堆粪场工程估算（万元）</w:t>
            </w:r>
          </w:p>
        </w:tc>
      </w:tr>
      <w:tr>
        <w:tblPrEx>
          <w:tblCellMar>
            <w:top w:w="0" w:type="dxa"/>
            <w:left w:w="108" w:type="dxa"/>
            <w:bottom w:w="0" w:type="dxa"/>
            <w:right w:w="108" w:type="dxa"/>
          </w:tblCellMar>
        </w:tblPrEx>
        <w:trPr>
          <w:trHeight w:val="172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清江镇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巴中市巴州区鸿远种养殖专业合作社</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（陈大明）</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267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186</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7.07</w:t>
            </w:r>
          </w:p>
        </w:tc>
      </w:tr>
      <w:tr>
        <w:tblPrEx>
          <w:tblCellMar>
            <w:top w:w="0" w:type="dxa"/>
            <w:left w:w="108" w:type="dxa"/>
            <w:bottom w:w="0" w:type="dxa"/>
            <w:right w:w="108" w:type="dxa"/>
          </w:tblCellMar>
        </w:tblPrEx>
        <w:trPr>
          <w:trHeight w:val="172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2</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清江镇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巴中市巴州区滕耀种养殖专业合作社</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（陈玲）</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1384"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3</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eastAsia" w:cs="Times New Roman"/>
                <w:color w:val="000000"/>
                <w:kern w:val="0"/>
                <w:sz w:val="24"/>
                <w:szCs w:val="24"/>
                <w:lang w:val="en-US" w:eastAsia="zh-CN"/>
              </w:rPr>
              <w:t>清</w:t>
            </w:r>
            <w:r>
              <w:rPr>
                <w:rFonts w:hint="default" w:ascii="Times New Roman" w:hAnsi="Times New Roman" w:eastAsia="仿宋" w:cs="Times New Roman"/>
                <w:color w:val="000000"/>
                <w:kern w:val="0"/>
                <w:sz w:val="24"/>
                <w:szCs w:val="24"/>
                <w:lang w:val="en-US" w:eastAsia="zh-CN"/>
              </w:rPr>
              <w:t>江镇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巴州区</w:t>
            </w:r>
            <w:r>
              <w:rPr>
                <w:rFonts w:hint="eastAsia" w:cs="Times New Roman"/>
                <w:color w:val="000000"/>
                <w:kern w:val="0"/>
                <w:sz w:val="24"/>
                <w:szCs w:val="24"/>
                <w:lang w:val="en-US" w:eastAsia="zh-CN"/>
              </w:rPr>
              <w:t>清</w:t>
            </w:r>
            <w:r>
              <w:rPr>
                <w:rFonts w:hint="default" w:ascii="Times New Roman" w:hAnsi="Times New Roman" w:eastAsia="仿宋" w:cs="Times New Roman"/>
                <w:color w:val="000000"/>
                <w:kern w:val="0"/>
                <w:sz w:val="24"/>
                <w:szCs w:val="24"/>
                <w:lang w:val="en-US" w:eastAsia="zh-CN"/>
              </w:rPr>
              <w:t>江镇刘永通养殖场（刘永洒）</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清江镇合计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40000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1600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800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372</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14.13</w:t>
            </w:r>
          </w:p>
        </w:tc>
      </w:tr>
      <w:tr>
        <w:tblPrEx>
          <w:tblCellMar>
            <w:top w:w="0" w:type="dxa"/>
            <w:left w:w="108" w:type="dxa"/>
            <w:bottom w:w="0" w:type="dxa"/>
            <w:right w:w="108" w:type="dxa"/>
          </w:tblCellMar>
        </w:tblPrEx>
        <w:trPr>
          <w:trHeight w:val="172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4</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大和乡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巴中市巴州区大和乡先林家庭养殖场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（杨先林）</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741"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5</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大和乡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玉胜农场（李玉）</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大和乡合计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800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400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266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186</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7.06</w:t>
            </w:r>
          </w:p>
        </w:tc>
      </w:tr>
      <w:tr>
        <w:tblPrEx>
          <w:tblCellMar>
            <w:top w:w="0" w:type="dxa"/>
            <w:left w:w="108" w:type="dxa"/>
            <w:bottom w:w="0" w:type="dxa"/>
            <w:right w:w="108" w:type="dxa"/>
          </w:tblCellMar>
        </w:tblPrEx>
        <w:trPr>
          <w:trHeight w:val="128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6</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枣林镇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灵山江文养殖专业合作社（吴三江）</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枣林镇合计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786"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7</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大茅坪镇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宏斌农业（白洪兵）</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110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8</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大茅坪镇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蜀粮土鸡合作社</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（杨曽）</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320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160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74</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2.83</w:t>
            </w:r>
          </w:p>
        </w:tc>
      </w:tr>
      <w:tr>
        <w:tblPrEx>
          <w:tblCellMar>
            <w:top w:w="0" w:type="dxa"/>
            <w:left w:w="108" w:type="dxa"/>
            <w:bottom w:w="0" w:type="dxa"/>
            <w:right w:w="108" w:type="dxa"/>
          </w:tblCellMar>
        </w:tblPrEx>
        <w:trPr>
          <w:trHeight w:val="1045"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9</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大茅坪镇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杨中元养鸡场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（杨中元）</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320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160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74</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2.83</w:t>
            </w:r>
          </w:p>
        </w:tc>
      </w:tr>
      <w:tr>
        <w:tblPrEx>
          <w:tblCellMar>
            <w:top w:w="0" w:type="dxa"/>
            <w:left w:w="108" w:type="dxa"/>
            <w:bottom w:w="0" w:type="dxa"/>
            <w:right w:w="108" w:type="dxa"/>
          </w:tblCellMar>
        </w:tblPrEx>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大茅坪镇合计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26000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1040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520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347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241</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9.19</w:t>
            </w:r>
          </w:p>
        </w:tc>
      </w:tr>
      <w:tr>
        <w:tblPrEx>
          <w:tblCellMar>
            <w:top w:w="0" w:type="dxa"/>
            <w:left w:w="108" w:type="dxa"/>
            <w:bottom w:w="0" w:type="dxa"/>
            <w:right w:w="108" w:type="dxa"/>
          </w:tblCellMar>
        </w:tblPrEx>
        <w:trPr>
          <w:trHeight w:val="1529"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10</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巴中市巴州区鼎山镇晋林家庭农场</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（巩保成）</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15000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140</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5.30</w:t>
            </w:r>
          </w:p>
        </w:tc>
      </w:tr>
      <w:tr>
        <w:tblPrEx>
          <w:tblCellMar>
            <w:top w:w="0" w:type="dxa"/>
            <w:left w:w="108" w:type="dxa"/>
            <w:bottom w:w="0" w:type="dxa"/>
            <w:right w:w="108" w:type="dxa"/>
          </w:tblCellMar>
        </w:tblPrEx>
        <w:trPr>
          <w:trHeight w:val="1384"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11</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巴州区鼎山镇佳兴家庭农场（钟秀全）</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47</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1.77</w:t>
            </w:r>
          </w:p>
        </w:tc>
      </w:tr>
      <w:tr>
        <w:tblPrEx>
          <w:tblCellMar>
            <w:top w:w="0" w:type="dxa"/>
            <w:left w:w="108" w:type="dxa"/>
            <w:bottom w:w="0" w:type="dxa"/>
            <w:right w:w="108" w:type="dxa"/>
          </w:tblCellMar>
        </w:tblPrEx>
        <w:trPr>
          <w:trHeight w:val="1384"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12</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巴州区鼎山镇玉美家庭农场（钟玉美）</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47</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1.77</w:t>
            </w:r>
          </w:p>
        </w:tc>
      </w:tr>
      <w:tr>
        <w:tblPrEx>
          <w:tblCellMar>
            <w:top w:w="0" w:type="dxa"/>
            <w:left w:w="108" w:type="dxa"/>
            <w:bottom w:w="0" w:type="dxa"/>
            <w:right w:w="108" w:type="dxa"/>
          </w:tblCellMar>
        </w:tblPrEx>
        <w:trPr>
          <w:trHeight w:val="1384"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13</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巴州区鼎山镇惠民家庭农场（陈林贵）</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5000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47</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1.77</w:t>
            </w:r>
          </w:p>
        </w:tc>
      </w:tr>
      <w:tr>
        <w:tblPrEx>
          <w:tblCellMar>
            <w:top w:w="0" w:type="dxa"/>
            <w:left w:w="108" w:type="dxa"/>
            <w:bottom w:w="0" w:type="dxa"/>
            <w:right w:w="108" w:type="dxa"/>
          </w:tblCellMar>
        </w:tblPrEx>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14</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家合家庭农场（白合）</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575"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15</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巩泽</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93</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3.53</w:t>
            </w:r>
          </w:p>
        </w:tc>
      </w:tr>
      <w:tr>
        <w:tblPrEx>
          <w:tblCellMar>
            <w:top w:w="0" w:type="dxa"/>
            <w:left w:w="108" w:type="dxa"/>
            <w:bottom w:w="0" w:type="dxa"/>
            <w:right w:w="108" w:type="dxa"/>
          </w:tblCellMar>
        </w:tblPrEx>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鼎山镇合计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50000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2000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1000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667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467</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17.67</w:t>
            </w:r>
          </w:p>
        </w:tc>
      </w:tr>
      <w:tr>
        <w:tblPrEx>
          <w:tblCellMar>
            <w:top w:w="0" w:type="dxa"/>
            <w:left w:w="108" w:type="dxa"/>
            <w:bottom w:w="0" w:type="dxa"/>
            <w:right w:w="108" w:type="dxa"/>
          </w:tblCellMar>
        </w:tblPrEx>
        <w:trPr>
          <w:trHeight w:val="172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16</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水宁寺镇</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巴中市巴州区大丰收生态农业有限公司</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（陈熙）</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22000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880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440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293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205</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7.77</w:t>
            </w:r>
          </w:p>
        </w:tc>
      </w:tr>
      <w:tr>
        <w:tblPrEx>
          <w:tblCellMar>
            <w:top w:w="0" w:type="dxa"/>
            <w:left w:w="108" w:type="dxa"/>
            <w:bottom w:w="0" w:type="dxa"/>
            <w:right w:w="108" w:type="dxa"/>
          </w:tblCellMar>
        </w:tblPrEx>
        <w:trPr>
          <w:trHeight w:val="84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水宁寺镇合计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22000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880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440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293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205</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7.77</w:t>
            </w:r>
          </w:p>
        </w:tc>
      </w:tr>
      <w:tr>
        <w:tblPrEx>
          <w:tblCellMar>
            <w:top w:w="0" w:type="dxa"/>
            <w:left w:w="108" w:type="dxa"/>
            <w:bottom w:w="0" w:type="dxa"/>
            <w:right w:w="108" w:type="dxa"/>
          </w:tblCellMar>
        </w:tblPrEx>
        <w:trPr>
          <w:trHeight w:val="615"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000000"/>
                <w:sz w:val="24"/>
                <w:szCs w:val="24"/>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总合计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168000</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6720</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3360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2240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1562.791</w:t>
            </w:r>
          </w:p>
        </w:tc>
        <w:tc>
          <w:tcPr>
            <w:tcW w:w="2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i w:val="0"/>
                <w:iCs w:val="0"/>
                <w:color w:val="000000"/>
                <w:kern w:val="0"/>
                <w:sz w:val="22"/>
                <w:szCs w:val="22"/>
                <w:u w:val="none"/>
                <w:lang w:val="en-US" w:eastAsia="zh-CN" w:bidi="ar"/>
              </w:rPr>
              <w:t>59.35998</w:t>
            </w:r>
          </w:p>
        </w:tc>
      </w:tr>
    </w:tbl>
    <w:p>
      <w:pPr>
        <w:pStyle w:val="57"/>
        <w:widowControl w:val="0"/>
        <w:spacing w:before="190" w:after="190"/>
        <w:ind w:firstLine="0"/>
        <w:rPr>
          <w:rFonts w:eastAsia="仿宋"/>
          <w:kern w:val="2"/>
          <w:szCs w:val="24"/>
        </w:rPr>
      </w:pPr>
    </w:p>
    <w:p>
      <w:pPr>
        <w:keepNext/>
        <w:keepLines/>
        <w:pageBreakBefore/>
        <w:jc w:val="center"/>
        <w:outlineLvl w:val="1"/>
        <w:rPr>
          <w:rFonts w:cs="Times New Roman"/>
          <w:b/>
          <w:sz w:val="24"/>
          <w:szCs w:val="24"/>
        </w:rPr>
      </w:pPr>
      <w:bookmarkStart w:id="216" w:name="_Toc30873"/>
      <w:bookmarkStart w:id="217" w:name="_Toc32051"/>
      <w:r>
        <w:rPr>
          <w:rFonts w:hint="eastAsia" w:cs="Times New Roman"/>
          <w:b/>
          <w:sz w:val="24"/>
          <w:szCs w:val="24"/>
        </w:rPr>
        <w:t>附</w:t>
      </w:r>
      <w:r>
        <w:rPr>
          <w:rFonts w:cs="Times New Roman"/>
          <w:b/>
          <w:sz w:val="24"/>
          <w:szCs w:val="24"/>
        </w:rPr>
        <w:t>表4畜禽养殖污染防治重点工程支持主体和内容清单</w:t>
      </w:r>
      <w:bookmarkEnd w:id="216"/>
      <w:bookmarkEnd w:id="217"/>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94"/>
        <w:gridCol w:w="1997"/>
        <w:gridCol w:w="3217"/>
        <w:gridCol w:w="2474"/>
        <w:gridCol w:w="1268"/>
        <w:gridCol w:w="1455"/>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序号</w:t>
            </w:r>
          </w:p>
        </w:tc>
        <w:tc>
          <w:tcPr>
            <w:tcW w:w="421"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工程类型</w:t>
            </w:r>
          </w:p>
        </w:tc>
        <w:tc>
          <w:tcPr>
            <w:tcW w:w="704"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项目名称</w:t>
            </w:r>
          </w:p>
        </w:tc>
        <w:tc>
          <w:tcPr>
            <w:tcW w:w="1134"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项目内容</w:t>
            </w:r>
          </w:p>
        </w:tc>
        <w:tc>
          <w:tcPr>
            <w:tcW w:w="872"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建设地点</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eastAsia" w:cs="Times New Roman"/>
                <w:b/>
                <w:bCs/>
                <w:sz w:val="24"/>
                <w:szCs w:val="24"/>
                <w:lang w:val="en-US" w:eastAsia="zh-CN"/>
              </w:rPr>
              <w:t>完成</w:t>
            </w:r>
            <w:r>
              <w:rPr>
                <w:rFonts w:hint="default" w:cs="Times New Roman"/>
                <w:b/>
                <w:bCs/>
                <w:sz w:val="24"/>
                <w:szCs w:val="24"/>
              </w:rPr>
              <w:t>周期</w:t>
            </w:r>
          </w:p>
        </w:tc>
        <w:tc>
          <w:tcPr>
            <w:tcW w:w="513"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投资（万元）</w:t>
            </w:r>
          </w:p>
        </w:tc>
        <w:tc>
          <w:tcPr>
            <w:tcW w:w="665" w:type="pct"/>
            <w:vAlign w:val="center"/>
          </w:tcPr>
          <w:p>
            <w:pPr>
              <w:keepNext w:val="0"/>
              <w:keepLines w:val="0"/>
              <w:suppressLineNumbers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1</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规模以下养殖户粪污防治设施</w:t>
            </w:r>
          </w:p>
        </w:tc>
        <w:tc>
          <w:tcPr>
            <w:tcW w:w="704" w:type="pct"/>
            <w:vAlign w:val="center"/>
          </w:tcPr>
          <w:p>
            <w:pPr>
              <w:keepNext w:val="0"/>
              <w:keepLines w:val="0"/>
              <w:suppressLineNumbers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粪污治理设施提升项目</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color w:val="000000" w:themeColor="text1"/>
                <w:sz w:val="24"/>
                <w:szCs w:val="24"/>
                <w14:textFill>
                  <w14:solidFill>
                    <w14:schemeClr w14:val="tx1"/>
                  </w14:solidFill>
                </w14:textFill>
              </w:rPr>
            </w:pPr>
            <w:r>
              <w:rPr>
                <w:rFonts w:hint="default" w:cs="Times New Roman"/>
                <w:color w:val="000000" w:themeColor="text1"/>
                <w:sz w:val="24"/>
                <w:szCs w:val="24"/>
                <w14:textFill>
                  <w14:solidFill>
                    <w14:schemeClr w14:val="tx1"/>
                  </w14:solidFill>
                </w14:textFill>
              </w:rPr>
              <w:t>对</w:t>
            </w:r>
            <w:r>
              <w:rPr>
                <w:rFonts w:hint="eastAsia" w:cs="Times New Roman"/>
                <w:color w:val="000000" w:themeColor="text1"/>
                <w:sz w:val="24"/>
                <w:szCs w:val="24"/>
                <w:lang w:val="en-US" w:eastAsia="zh-CN"/>
                <w14:textFill>
                  <w14:solidFill>
                    <w14:schemeClr w14:val="tx1"/>
                  </w14:solidFill>
                </w14:textFill>
              </w:rPr>
              <w:t>160家</w:t>
            </w:r>
            <w:r>
              <w:rPr>
                <w:rFonts w:hint="default" w:cs="Times New Roman"/>
                <w:color w:val="000000" w:themeColor="text1"/>
                <w:sz w:val="24"/>
                <w:szCs w:val="24"/>
                <w14:textFill>
                  <w14:solidFill>
                    <w14:schemeClr w14:val="tx1"/>
                  </w14:solidFill>
                </w14:textFill>
              </w:rPr>
              <w:t>规模以下养殖户粪污防治设施升级改造，配套雨污分流设施。</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cs="Times New Roman"/>
                <w:color w:val="000000" w:themeColor="text1"/>
                <w:sz w:val="24"/>
                <w:szCs w:val="24"/>
                <w14:textFill>
                  <w14:solidFill>
                    <w14:schemeClr w14:val="tx1"/>
                  </w14:solidFill>
                </w14:textFill>
              </w:rPr>
            </w:pPr>
            <w:r>
              <w:rPr>
                <w:rFonts w:hint="default" w:ascii="仿宋" w:hAnsi="仿宋" w:cs="Times New Roman"/>
                <w:color w:val="000000" w:themeColor="text1"/>
                <w:sz w:val="24"/>
                <w:szCs w:val="24"/>
                <w:lang w:eastAsia="zh-CN"/>
                <w14:textFill>
                  <w14:solidFill>
                    <w14:schemeClr w14:val="tx1"/>
                  </w14:solidFill>
                </w14:textFill>
              </w:rPr>
              <w:t>化成镇、光辉镇、凤溪镇、天马山镇、枣林镇、清江镇、三江镇、平梁镇、水宁寺镇、梁永镇、鼎山镇、曾口镇、大茅坪镇</w:t>
            </w:r>
            <w:r>
              <w:rPr>
                <w:rFonts w:hint="default" w:ascii="仿宋" w:hAnsi="仿宋" w:cs="Times New Roman"/>
                <w:color w:val="000000" w:themeColor="text1"/>
                <w:sz w:val="24"/>
                <w:szCs w:val="24"/>
                <w14:textFill>
                  <w14:solidFill>
                    <w14:schemeClr w14:val="tx1"/>
                  </w14:solidFill>
                </w14:textFill>
              </w:rPr>
              <w:t>、</w:t>
            </w:r>
            <w:r>
              <w:rPr>
                <w:rFonts w:hint="default" w:ascii="仿宋" w:hAnsi="仿宋" w:cs="Times New Roman"/>
                <w:color w:val="000000" w:themeColor="text1"/>
                <w:sz w:val="24"/>
                <w:szCs w:val="24"/>
                <w:lang w:val="en-US" w:eastAsia="zh-CN"/>
                <w14:textFill>
                  <w14:solidFill>
                    <w14:schemeClr w14:val="tx1"/>
                  </w14:solidFill>
                </w14:textFill>
              </w:rPr>
              <w:t>大和乡、白庙乡</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p>
        </w:tc>
        <w:tc>
          <w:tcPr>
            <w:tcW w:w="217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eastAsia="仿宋" w:cs="Times New Roman"/>
                <w:sz w:val="24"/>
                <w:szCs w:val="24"/>
                <w:lang w:val="en-US" w:eastAsia="zh-CN"/>
              </w:rPr>
            </w:pPr>
            <w:r>
              <w:rPr>
                <w:rFonts w:hint="eastAsia" w:cs="Times New Roman"/>
                <w:sz w:val="24"/>
                <w:szCs w:val="24"/>
                <w:lang w:val="en-US" w:eastAsia="zh-CN"/>
              </w:rPr>
              <w:t>3297.87</w:t>
            </w:r>
          </w:p>
        </w:tc>
        <w:tc>
          <w:tcPr>
            <w:tcW w:w="665"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ascii="仿宋" w:hAnsi="仿宋" w:cs="Times New Roman"/>
                <w:color w:val="000000" w:themeColor="text1"/>
                <w:sz w:val="24"/>
                <w:szCs w:val="24"/>
                <w14:textFill>
                  <w14:solidFill>
                    <w14:schemeClr w14:val="tx1"/>
                  </w14:solidFill>
                </w14:textFill>
              </w:rPr>
              <w:t>各乡镇</w:t>
            </w:r>
            <w:r>
              <w:rPr>
                <w:rFonts w:hint="eastAsia" w:ascii="仿宋" w:hAnsi="仿宋" w:cs="Times New Roman"/>
                <w:color w:val="000000" w:themeColor="text1"/>
                <w:sz w:val="24"/>
                <w:szCs w:val="24"/>
                <w:lang w:val="en-US" w:eastAsia="zh-CN"/>
                <w14:textFill>
                  <w14:solidFill>
                    <w14:schemeClr w14:val="tx1"/>
                  </w14:solidFill>
                </w14:textFill>
              </w:rPr>
              <w:t>环保办</w:t>
            </w:r>
            <w:r>
              <w:rPr>
                <w:rFonts w:hint="default" w:ascii="仿宋" w:hAnsi="仿宋" w:cs="Times New Roman"/>
                <w:color w:val="000000" w:themeColor="text1"/>
                <w:sz w:val="24"/>
                <w:szCs w:val="24"/>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eastAsia" w:eastAsia="仿宋" w:cs="Times New Roman"/>
                <w:sz w:val="24"/>
                <w:szCs w:val="24"/>
                <w:lang w:eastAsia="zh-CN"/>
              </w:rPr>
            </w:pPr>
            <w:r>
              <w:rPr>
                <w:rFonts w:hint="eastAsia" w:cs="Times New Roman"/>
                <w:sz w:val="24"/>
                <w:szCs w:val="24"/>
                <w:lang w:val="en-US" w:eastAsia="zh-CN"/>
              </w:rPr>
              <w:t>2</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cs="Times New Roman"/>
                <w:sz w:val="24"/>
                <w:szCs w:val="24"/>
              </w:rPr>
              <w:t>监管系统建设</w:t>
            </w:r>
          </w:p>
        </w:tc>
        <w:tc>
          <w:tcPr>
            <w:tcW w:w="70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default" w:cs="Times New Roman"/>
                <w:sz w:val="24"/>
                <w:szCs w:val="24"/>
              </w:rPr>
              <w:t>区</w:t>
            </w:r>
            <w:r>
              <w:rPr>
                <w:rFonts w:hint="eastAsia" w:ascii="仿宋" w:hAnsi="仿宋" w:cs="Times New Roman"/>
                <w:color w:val="000000" w:themeColor="text1"/>
                <w:sz w:val="24"/>
                <w:szCs w:val="24"/>
                <w14:textFill>
                  <w14:solidFill>
                    <w14:schemeClr w14:val="tx1"/>
                  </w14:solidFill>
                </w14:textFill>
              </w:rPr>
              <w:t>畜禽养殖污染防治</w:t>
            </w:r>
            <w:r>
              <w:rPr>
                <w:rFonts w:hint="default" w:ascii="仿宋" w:hAnsi="仿宋" w:cs="Times New Roman"/>
                <w:color w:val="000000" w:themeColor="text1"/>
                <w:sz w:val="24"/>
                <w:szCs w:val="24"/>
                <w14:textFill>
                  <w14:solidFill>
                    <w14:schemeClr w14:val="tx1"/>
                  </w14:solidFill>
                </w14:textFill>
              </w:rPr>
              <w:t>信息化</w:t>
            </w:r>
            <w:r>
              <w:rPr>
                <w:rFonts w:hint="eastAsia" w:ascii="仿宋" w:hAnsi="仿宋" w:cs="Times New Roman"/>
                <w:color w:val="000000" w:themeColor="text1"/>
                <w:sz w:val="24"/>
                <w:szCs w:val="24"/>
                <w14:textFill>
                  <w14:solidFill>
                    <w14:schemeClr w14:val="tx1"/>
                  </w14:solidFill>
                </w14:textFill>
              </w:rPr>
              <w:t>监管平台</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ascii="仿宋" w:hAnsi="仿宋" w:cs="Times New Roman"/>
                <w:color w:val="000000" w:themeColor="text1"/>
                <w:sz w:val="24"/>
                <w:szCs w:val="24"/>
                <w14:textFill>
                  <w14:solidFill>
                    <w14:schemeClr w14:val="tx1"/>
                  </w14:solidFill>
                </w14:textFill>
              </w:rPr>
              <w:t>建设区畜禽</w:t>
            </w:r>
            <w:r>
              <w:rPr>
                <w:rFonts w:hint="default" w:ascii="仿宋" w:hAnsi="仿宋" w:cs="Times New Roman"/>
                <w:color w:val="000000" w:themeColor="text1"/>
                <w:sz w:val="24"/>
                <w:szCs w:val="24"/>
                <w14:textFill>
                  <w14:solidFill>
                    <w14:schemeClr w14:val="tx1"/>
                  </w14:solidFill>
                </w14:textFill>
              </w:rPr>
              <w:t>养殖信息、污染防治信息、</w:t>
            </w:r>
            <w:r>
              <w:rPr>
                <w:rFonts w:hint="eastAsia" w:ascii="仿宋" w:hAnsi="仿宋" w:cs="Times New Roman"/>
                <w:color w:val="000000" w:themeColor="text1"/>
                <w:sz w:val="24"/>
                <w:szCs w:val="24"/>
                <w14:textFill>
                  <w14:solidFill>
                    <w14:schemeClr w14:val="tx1"/>
                  </w14:solidFill>
                </w14:textFill>
              </w:rPr>
              <w:t>管理信息</w:t>
            </w:r>
            <w:r>
              <w:rPr>
                <w:rFonts w:hint="default" w:ascii="仿宋" w:hAnsi="仿宋" w:cs="Times New Roman"/>
                <w:color w:val="000000" w:themeColor="text1"/>
                <w:sz w:val="24"/>
                <w:szCs w:val="24"/>
                <w14:textFill>
                  <w14:solidFill>
                    <w14:schemeClr w14:val="tx1"/>
                  </w14:solidFill>
                </w14:textFill>
              </w:rPr>
              <w:t>等综合管理信息平台</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sz w:val="24"/>
                <w:szCs w:val="24"/>
                <w:lang w:val="en-US" w:eastAsia="zh-CN"/>
              </w:rPr>
            </w:pPr>
            <w:r>
              <w:rPr>
                <w:rFonts w:hint="eastAsia" w:cs="Times New Roman"/>
                <w:sz w:val="24"/>
                <w:szCs w:val="24"/>
                <w:lang w:val="en-US" w:eastAsia="zh-CN"/>
              </w:rPr>
              <w:t>/</w:t>
            </w:r>
          </w:p>
        </w:tc>
        <w:tc>
          <w:tcPr>
            <w:tcW w:w="447"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2025</w:t>
            </w:r>
          </w:p>
        </w:tc>
        <w:tc>
          <w:tcPr>
            <w:tcW w:w="2172" w:type="dxa"/>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s="Times New Roman"/>
                <w:sz w:val="24"/>
                <w:szCs w:val="24"/>
              </w:rPr>
            </w:pPr>
            <w:r>
              <w:rPr>
                <w:rFonts w:hint="eastAsia" w:cs="Times New Roman"/>
                <w:sz w:val="24"/>
                <w:szCs w:val="24"/>
              </w:rPr>
              <w:t>1</w:t>
            </w:r>
            <w:r>
              <w:rPr>
                <w:rFonts w:hint="default" w:cs="Times New Roman"/>
                <w:sz w:val="24"/>
                <w:szCs w:val="24"/>
              </w:rPr>
              <w:t>00</w:t>
            </w:r>
          </w:p>
        </w:tc>
        <w:tc>
          <w:tcPr>
            <w:tcW w:w="665" w:type="pct"/>
            <w:shd w:val="clear" w:color="auto" w:fill="auto"/>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lang w:val="en-US" w:eastAsia="zh-CN"/>
              </w:rPr>
            </w:pPr>
            <w:r>
              <w:rPr>
                <w:rFonts w:hint="eastAsia" w:cs="Times New Roman"/>
                <w:sz w:val="24"/>
                <w:szCs w:val="24"/>
                <w:lang w:val="en-US" w:eastAsia="zh-CN"/>
              </w:rPr>
              <w:t>3</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粪污集中处理中心</w:t>
            </w:r>
          </w:p>
        </w:tc>
        <w:tc>
          <w:tcPr>
            <w:tcW w:w="704" w:type="pct"/>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kern w:val="2"/>
                <w:sz w:val="24"/>
                <w:szCs w:val="24"/>
                <w:lang w:val="en-US" w:eastAsia="zh-CN" w:bidi="ar-SA"/>
              </w:rPr>
            </w:pPr>
            <w:r>
              <w:rPr>
                <w:rFonts w:hint="default" w:cs="Times New Roman"/>
                <w:color w:val="000000" w:themeColor="text1"/>
                <w:sz w:val="24"/>
                <w:szCs w:val="24"/>
                <w14:textFill>
                  <w14:solidFill>
                    <w14:schemeClr w14:val="tx1"/>
                  </w14:solidFill>
                </w14:textFill>
              </w:rPr>
              <w:t>粪污处理设施提升项目</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default" w:cs="Times New Roman"/>
                <w:color w:val="000000" w:themeColor="text1"/>
                <w:sz w:val="24"/>
                <w:szCs w:val="24"/>
                <w14:textFill>
                  <w14:solidFill>
                    <w14:schemeClr w14:val="tx1"/>
                  </w14:solidFill>
                </w14:textFill>
              </w:rPr>
              <w:t>对乡镇畜禽粪污进行收集、集中处理和转运。</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cs="Times New Roman"/>
                <w:color w:val="000000" w:themeColor="text1"/>
                <w:sz w:val="24"/>
                <w:szCs w:val="24"/>
                <w:lang w:eastAsia="zh-CN"/>
                <w14:textFill>
                  <w14:solidFill>
                    <w14:schemeClr w14:val="tx1"/>
                  </w14:solidFill>
                </w14:textFill>
              </w:rPr>
              <w:t>鼎山镇（兼顾梁永镇）</w:t>
            </w:r>
            <w:r>
              <w:rPr>
                <w:rFonts w:hint="default" w:ascii="仿宋" w:hAnsi="仿宋" w:cs="Times New Roman"/>
                <w:color w:val="000000" w:themeColor="text1"/>
                <w:sz w:val="24"/>
                <w:szCs w:val="24"/>
                <w14:textFill>
                  <w14:solidFill>
                    <w14:schemeClr w14:val="tx1"/>
                  </w14:solidFill>
                </w14:textFill>
              </w:rPr>
              <w:t>和</w:t>
            </w:r>
            <w:r>
              <w:rPr>
                <w:rFonts w:hint="eastAsia" w:ascii="仿宋" w:hAnsi="仿宋" w:cs="Times New Roman"/>
                <w:color w:val="000000" w:themeColor="text1"/>
                <w:sz w:val="24"/>
                <w:szCs w:val="24"/>
                <w:lang w:eastAsia="zh-CN"/>
                <w14:textFill>
                  <w14:solidFill>
                    <w14:schemeClr w14:val="tx1"/>
                  </w14:solidFill>
                </w14:textFill>
              </w:rPr>
              <w:t>清江镇</w:t>
            </w:r>
            <w:r>
              <w:rPr>
                <w:rFonts w:hint="default" w:ascii="仿宋" w:hAnsi="仿宋" w:cs="Times New Roman"/>
                <w:color w:val="000000" w:themeColor="text1"/>
                <w:sz w:val="24"/>
                <w:szCs w:val="24"/>
                <w14:textFill>
                  <w14:solidFill>
                    <w14:schemeClr w14:val="tx1"/>
                  </w14:solidFill>
                </w14:textFill>
              </w:rPr>
              <w:t>附近</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kern w:val="2"/>
                <w:sz w:val="24"/>
                <w:szCs w:val="24"/>
                <w:lang w:val="en-US" w:eastAsia="zh-CN" w:bidi="ar-SA"/>
              </w:rPr>
            </w:pPr>
            <w:r>
              <w:rPr>
                <w:rFonts w:hint="default" w:cs="Times New Roman"/>
                <w:sz w:val="24"/>
                <w:szCs w:val="24"/>
              </w:rPr>
              <w:t>2025</w:t>
            </w:r>
          </w:p>
        </w:tc>
        <w:tc>
          <w:tcPr>
            <w:tcW w:w="217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kern w:val="2"/>
                <w:sz w:val="24"/>
                <w:szCs w:val="24"/>
                <w:lang w:val="en-US" w:eastAsia="zh-CN" w:bidi="ar-SA"/>
              </w:rPr>
            </w:pPr>
            <w:r>
              <w:rPr>
                <w:rFonts w:hint="eastAsia" w:cs="Times New Roman"/>
                <w:sz w:val="24"/>
                <w:szCs w:val="24"/>
                <w:lang w:val="en-US" w:eastAsia="zh-CN"/>
              </w:rPr>
              <w:t>3</w:t>
            </w:r>
            <w:r>
              <w:rPr>
                <w:rFonts w:hint="default" w:cs="Times New Roman"/>
                <w:sz w:val="24"/>
                <w:szCs w:val="24"/>
              </w:rPr>
              <w:t>00</w:t>
            </w:r>
          </w:p>
        </w:tc>
        <w:tc>
          <w:tcPr>
            <w:tcW w:w="665" w:type="pct"/>
            <w:shd w:val="clear" w:color="auto" w:fill="auto"/>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eastAsia="仿宋"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cs="Times New Roman"/>
                <w:color w:val="000000" w:themeColor="text1"/>
                <w:sz w:val="24"/>
                <w:szCs w:val="24"/>
                <w:highlight w:val="none"/>
                <w:lang w:val="en-US" w:eastAsia="zh-CN"/>
                <w14:textFill>
                  <w14:solidFill>
                    <w14:schemeClr w14:val="tx1"/>
                  </w14:solidFill>
                </w14:textFill>
              </w:rPr>
              <w:t>巴中市巴州</w:t>
            </w:r>
            <w:r>
              <w:rPr>
                <w:rFonts w:hint="eastAsia" w:ascii="仿宋" w:hAnsi="仿宋" w:cs="Times New Roman"/>
                <w:color w:val="000000" w:themeColor="text1"/>
                <w:sz w:val="24"/>
                <w:szCs w:val="24"/>
                <w:highlight w:val="none"/>
                <w:lang w:val="en-US" w:eastAsia="zh-Hans"/>
                <w14:textFill>
                  <w14:solidFill>
                    <w14:schemeClr w14:val="tx1"/>
                  </w14:solidFill>
                </w14:textFill>
              </w:rPr>
              <w:t>生态环境局</w:t>
            </w:r>
            <w:r>
              <w:rPr>
                <w:rFonts w:hint="default" w:ascii="仿宋" w:hAnsi="仿宋" w:cs="Times New Roman"/>
                <w:color w:val="000000" w:themeColor="text1"/>
                <w:sz w:val="24"/>
                <w:szCs w:val="24"/>
                <w:highlight w:val="none"/>
                <w:lang w:eastAsia="zh-Hans"/>
                <w14:textFill>
                  <w14:solidFill>
                    <w14:schemeClr w14:val="tx1"/>
                  </w14:solidFill>
                </w14:textFill>
              </w:rPr>
              <w:t>、</w:t>
            </w:r>
            <w:r>
              <w:rPr>
                <w:rFonts w:hint="eastAsia" w:ascii="仿宋" w:hAnsi="仿宋" w:cs="Times New Roman"/>
                <w:color w:val="000000" w:themeColor="text1"/>
                <w:sz w:val="24"/>
                <w:szCs w:val="24"/>
                <w:highlight w:val="none"/>
                <w:lang w:val="en-US" w:eastAsia="zh-CN"/>
                <w14:textFill>
                  <w14:solidFill>
                    <w14:schemeClr w14:val="tx1"/>
                  </w14:solidFill>
                </w14:textFill>
              </w:rPr>
              <w:t>巴州</w:t>
            </w:r>
            <w:r>
              <w:rPr>
                <w:rFonts w:hint="eastAsia" w:ascii="仿宋" w:hAnsi="仿宋" w:cs="Times New Roman"/>
                <w:color w:val="000000" w:themeColor="text1"/>
                <w:sz w:val="24"/>
                <w:szCs w:val="24"/>
                <w:highlight w:val="none"/>
                <w:lang w:val="en-US" w:eastAsia="zh-Hans"/>
                <w14:textFill>
                  <w14:solidFill>
                    <w14:schemeClr w14:val="tx1"/>
                  </w14:solidFill>
                </w14:textFill>
              </w:rPr>
              <w:t>区</w:t>
            </w:r>
            <w:r>
              <w:rPr>
                <w:rFonts w:hint="default" w:ascii="仿宋" w:hAnsi="仿宋" w:cs="Times New Roman"/>
                <w:color w:val="000000" w:themeColor="text1"/>
                <w:sz w:val="24"/>
                <w:szCs w:val="24"/>
                <w:highlight w:val="none"/>
                <w14:textFill>
                  <w14:solidFill>
                    <w14:schemeClr w14:val="tx1"/>
                  </w14:solidFill>
                </w14:textFill>
              </w:rPr>
              <w:t>农业农村局</w:t>
            </w:r>
            <w:r>
              <w:rPr>
                <w:rFonts w:hint="eastAsia" w:ascii="仿宋" w:hAnsi="仿宋" w:cs="Times New Roman"/>
                <w:color w:val="000000" w:themeColor="text1"/>
                <w:sz w:val="24"/>
                <w:szCs w:val="24"/>
                <w:highlight w:val="none"/>
                <w:lang w:eastAsia="zh-CN"/>
                <w14:textFill>
                  <w14:solidFill>
                    <w14:schemeClr w14:val="tx1"/>
                  </w14:solidFill>
                </w14:textFill>
              </w:rPr>
              <w:t>、</w:t>
            </w:r>
            <w:r>
              <w:rPr>
                <w:rFonts w:hint="eastAsia" w:ascii="仿宋" w:hAnsi="仿宋" w:cs="Times New Roman"/>
                <w:color w:val="000000" w:themeColor="text1"/>
                <w:sz w:val="24"/>
                <w:szCs w:val="24"/>
                <w:highlight w:val="none"/>
                <w:lang w:val="en-US" w:eastAsia="zh-CN"/>
                <w14:textFill>
                  <w14:solidFill>
                    <w14:schemeClr w14:val="tx1"/>
                  </w14:solidFill>
                </w14:textFill>
              </w:rPr>
              <w:t>鼎山镇环保办、清江镇环保办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kern w:val="2"/>
                <w:sz w:val="24"/>
                <w:szCs w:val="24"/>
                <w:lang w:val="en-US" w:eastAsia="zh-CN" w:bidi="ar-SA"/>
              </w:rPr>
            </w:pPr>
            <w:r>
              <w:rPr>
                <w:rFonts w:hint="eastAsia" w:cs="Times New Roman"/>
                <w:sz w:val="24"/>
                <w:szCs w:val="24"/>
                <w:lang w:val="en-US" w:eastAsia="zh-CN"/>
              </w:rPr>
              <w:t>4</w:t>
            </w:r>
          </w:p>
        </w:tc>
        <w:tc>
          <w:tcPr>
            <w:tcW w:w="421" w:type="pct"/>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kern w:val="2"/>
                <w:sz w:val="24"/>
                <w:szCs w:val="24"/>
                <w:lang w:val="en-US" w:eastAsia="zh-CN" w:bidi="ar-SA"/>
              </w:rPr>
            </w:pPr>
            <w:r>
              <w:rPr>
                <w:rFonts w:hint="default" w:cs="Times New Roman"/>
                <w:sz w:val="24"/>
                <w:szCs w:val="24"/>
              </w:rPr>
              <w:t>田间配套设施</w:t>
            </w:r>
          </w:p>
        </w:tc>
        <w:tc>
          <w:tcPr>
            <w:tcW w:w="704" w:type="pct"/>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kern w:val="2"/>
                <w:sz w:val="24"/>
                <w:szCs w:val="24"/>
                <w:lang w:val="en-US" w:eastAsia="zh-CN" w:bidi="ar-SA"/>
              </w:rPr>
            </w:pPr>
            <w:r>
              <w:rPr>
                <w:rFonts w:hint="default" w:cs="Times New Roman"/>
                <w:color w:val="000000"/>
                <w:kern w:val="0"/>
                <w:sz w:val="24"/>
                <w:szCs w:val="24"/>
              </w:rPr>
              <w:t>田间粪污暂存池</w:t>
            </w: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default" w:cs="Times New Roman"/>
                <w:color w:val="000000" w:themeColor="text1"/>
                <w:sz w:val="24"/>
                <w:szCs w:val="24"/>
                <w14:textFill>
                  <w14:solidFill>
                    <w14:schemeClr w14:val="tx1"/>
                  </w14:solidFill>
                </w14:textFill>
              </w:rPr>
              <w:t>建设</w:t>
            </w:r>
            <w:r>
              <w:rPr>
                <w:rFonts w:hint="default" w:cs="Times New Roman"/>
                <w:color w:val="000000" w:themeColor="text1"/>
                <w:sz w:val="24"/>
                <w:szCs w:val="24"/>
                <w:lang w:val="en-US" w:eastAsia="zh-CN"/>
                <w14:textFill>
                  <w14:solidFill>
                    <w14:schemeClr w14:val="tx1"/>
                  </w14:solidFill>
                </w14:textFill>
              </w:rPr>
              <w:t>51</w:t>
            </w:r>
            <w:r>
              <w:rPr>
                <w:rFonts w:hint="default" w:cs="Times New Roman"/>
                <w:color w:val="000000" w:themeColor="text1"/>
                <w:sz w:val="24"/>
                <w:szCs w:val="24"/>
                <w14:textFill>
                  <w14:solidFill>
                    <w14:schemeClr w14:val="tx1"/>
                  </w14:solidFill>
                </w14:textFill>
              </w:rPr>
              <w:t>处畜禽粪污处理田间配套设施，用以发酵和暂存各乡镇未能发酵成熟的粪污。</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cs="Times New Roman"/>
                <w:color w:val="000000" w:themeColor="text1"/>
                <w:sz w:val="24"/>
                <w:szCs w:val="24"/>
                <w:lang w:eastAsia="zh-CN"/>
                <w14:textFill>
                  <w14:solidFill>
                    <w14:schemeClr w14:val="tx1"/>
                  </w14:solidFill>
                </w14:textFill>
              </w:rPr>
              <w:t>化成镇、光辉镇、凤溪镇、天马山镇、枣林镇、清江镇、三江镇、平梁镇、水宁寺镇、梁永镇、鼎山镇、曾口镇、大茅坪镇</w:t>
            </w:r>
            <w:r>
              <w:rPr>
                <w:rFonts w:hint="default" w:ascii="仿宋" w:hAnsi="仿宋" w:cs="Times New Roman"/>
                <w:color w:val="000000" w:themeColor="text1"/>
                <w:sz w:val="24"/>
                <w:szCs w:val="24"/>
                <w14:textFill>
                  <w14:solidFill>
                    <w14:schemeClr w14:val="tx1"/>
                  </w14:solidFill>
                </w14:textFill>
              </w:rPr>
              <w:t>、</w:t>
            </w:r>
            <w:r>
              <w:rPr>
                <w:rFonts w:hint="default" w:ascii="仿宋" w:hAnsi="仿宋" w:cs="Times New Roman"/>
                <w:color w:val="000000" w:themeColor="text1"/>
                <w:sz w:val="24"/>
                <w:szCs w:val="24"/>
                <w:lang w:val="en-US" w:eastAsia="zh-CN"/>
                <w14:textFill>
                  <w14:solidFill>
                    <w14:schemeClr w14:val="tx1"/>
                  </w14:solidFill>
                </w14:textFill>
              </w:rPr>
              <w:t>大和乡、白庙乡</w:t>
            </w:r>
          </w:p>
        </w:tc>
        <w:tc>
          <w:tcPr>
            <w:tcW w:w="447"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kern w:val="2"/>
                <w:sz w:val="24"/>
                <w:szCs w:val="24"/>
                <w:lang w:val="en-US" w:eastAsia="zh-CN" w:bidi="ar-SA"/>
              </w:rPr>
            </w:pPr>
            <w:r>
              <w:rPr>
                <w:rFonts w:hint="default" w:cs="Times New Roman"/>
                <w:sz w:val="24"/>
                <w:szCs w:val="24"/>
              </w:rPr>
              <w:t>2025</w:t>
            </w:r>
          </w:p>
        </w:tc>
        <w:tc>
          <w:tcPr>
            <w:tcW w:w="2172"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4"/>
                <w:szCs w:val="24"/>
                <w:lang w:val="en-US" w:eastAsia="zh-CN" w:bidi="ar-SA"/>
              </w:rPr>
            </w:pPr>
            <w:r>
              <w:rPr>
                <w:rFonts w:hint="eastAsia" w:cs="Times New Roman"/>
                <w:bCs/>
                <w:sz w:val="24"/>
                <w:szCs w:val="24"/>
                <w:lang w:val="en-US" w:eastAsia="zh-CN"/>
              </w:rPr>
              <w:t>442.35</w:t>
            </w:r>
          </w:p>
        </w:tc>
        <w:tc>
          <w:tcPr>
            <w:tcW w:w="665" w:type="pct"/>
            <w:shd w:val="clear" w:color="auto" w:fill="auto"/>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仿宋" w:hAnsi="仿宋"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仿宋" w:hAnsi="仿宋" w:cs="Times New Roman"/>
                <w:color w:val="000000" w:themeColor="text1"/>
                <w:sz w:val="24"/>
                <w:szCs w:val="24"/>
                <w14:textFill>
                  <w14:solidFill>
                    <w14:schemeClr w14:val="tx1"/>
                  </w14:solidFill>
                </w14:textFill>
              </w:rPr>
              <w:t>各乡镇</w:t>
            </w:r>
            <w:r>
              <w:rPr>
                <w:rFonts w:hint="eastAsia" w:ascii="仿宋" w:hAnsi="仿宋" w:cs="Times New Roman"/>
                <w:color w:val="000000" w:themeColor="text1"/>
                <w:sz w:val="24"/>
                <w:szCs w:val="24"/>
                <w:lang w:val="en-US" w:eastAsia="zh-CN"/>
                <w14:textFill>
                  <w14:solidFill>
                    <w14:schemeClr w14:val="tx1"/>
                  </w14:solidFill>
                </w14:textFill>
              </w:rPr>
              <w:t>环保办</w:t>
            </w:r>
            <w:r>
              <w:rPr>
                <w:rFonts w:hint="default" w:ascii="仿宋" w:hAnsi="仿宋" w:cs="Times New Roman"/>
                <w:color w:val="000000" w:themeColor="text1"/>
                <w:sz w:val="24"/>
                <w:szCs w:val="24"/>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p>
        </w:tc>
        <w:tc>
          <w:tcPr>
            <w:tcW w:w="704" w:type="pct"/>
            <w:vAlign w:val="center"/>
          </w:tcPr>
          <w:p>
            <w:pPr>
              <w:keepNext w:val="0"/>
              <w:keepLines w:val="0"/>
              <w:suppressLineNumbers w:val="0"/>
              <w:spacing w:before="0" w:beforeAutospacing="0" w:after="0" w:afterAutospacing="0" w:line="240" w:lineRule="atLeast"/>
              <w:ind w:left="0" w:right="0"/>
              <w:rPr>
                <w:rFonts w:hint="default" w:ascii="仿宋" w:hAnsi="仿宋" w:cs="Times New Roman"/>
                <w:color w:val="000000" w:themeColor="text1"/>
                <w:sz w:val="24"/>
                <w:szCs w:val="24"/>
                <w14:textFill>
                  <w14:solidFill>
                    <w14:schemeClr w14:val="tx1"/>
                  </w14:solidFill>
                </w14:textFill>
              </w:rPr>
            </w:pPr>
            <w:r>
              <w:rPr>
                <w:rFonts w:hint="eastAsia" w:ascii="仿宋" w:hAnsi="仿宋" w:cs="Times New Roman"/>
                <w:color w:val="000000" w:themeColor="text1"/>
                <w:sz w:val="24"/>
                <w:szCs w:val="24"/>
                <w14:textFill>
                  <w14:solidFill>
                    <w14:schemeClr w14:val="tx1"/>
                  </w14:solidFill>
                </w14:textFill>
              </w:rPr>
              <w:t>预备费</w:t>
            </w:r>
          </w:p>
        </w:tc>
        <w:tc>
          <w:tcPr>
            <w:tcW w:w="1134" w:type="pct"/>
            <w:vAlign w:val="center"/>
          </w:tcPr>
          <w:p>
            <w:pPr>
              <w:keepNext w:val="0"/>
              <w:keepLines w:val="0"/>
              <w:suppressLineNumbers w:val="0"/>
              <w:spacing w:before="0" w:beforeAutospacing="0" w:after="0" w:afterAutospacing="0" w:line="240" w:lineRule="atLeast"/>
              <w:ind w:left="0" w:right="0"/>
              <w:rPr>
                <w:rFonts w:hint="default" w:ascii="仿宋" w:hAnsi="仿宋" w:cs="Times New Roman"/>
                <w:color w:val="000000" w:themeColor="text1"/>
                <w:kern w:val="0"/>
                <w:sz w:val="24"/>
                <w:szCs w:val="24"/>
                <w14:textFill>
                  <w14:solidFill>
                    <w14:schemeClr w14:val="tx1"/>
                  </w14:solidFill>
                </w14:textFill>
              </w:rPr>
            </w:pPr>
            <w:r>
              <w:rPr>
                <w:rFonts w:hint="eastAsia" w:ascii="仿宋" w:hAnsi="仿宋" w:cs="Times New Roman"/>
                <w:color w:val="000000" w:themeColor="text1"/>
                <w:kern w:val="0"/>
                <w:sz w:val="24"/>
                <w:szCs w:val="24"/>
                <w14:textFill>
                  <w14:solidFill>
                    <w14:schemeClr w14:val="tx1"/>
                  </w14:solidFill>
                </w14:textFill>
              </w:rPr>
              <w:t>建设期的前期决策、设计变更、贷款期利息等</w:t>
            </w: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447"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2172" w:type="dxa"/>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仿宋" w:cs="Times New Roman"/>
                <w:sz w:val="24"/>
                <w:szCs w:val="24"/>
                <w:lang w:val="en-US" w:eastAsia="zh-CN"/>
              </w:rPr>
            </w:pPr>
            <w:r>
              <w:rPr>
                <w:rFonts w:hint="eastAsia" w:cs="Times New Roman"/>
                <w:sz w:val="24"/>
                <w:szCs w:val="24"/>
                <w:lang w:val="en-US" w:eastAsia="zh-CN"/>
              </w:rPr>
              <w:t>414</w:t>
            </w:r>
          </w:p>
        </w:tc>
        <w:tc>
          <w:tcPr>
            <w:tcW w:w="665" w:type="pct"/>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s="Times New Roman"/>
                <w:sz w:val="24"/>
                <w:szCs w:val="24"/>
              </w:rPr>
            </w:pP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生态环境局</w:t>
            </w:r>
            <w:r>
              <w:rPr>
                <w:rFonts w:hint="default" w:ascii="仿宋" w:hAnsi="仿宋" w:cs="Times New Roman"/>
                <w:color w:val="000000" w:themeColor="text1"/>
                <w:sz w:val="24"/>
                <w:szCs w:val="24"/>
                <w:lang w:eastAsia="zh-Hans"/>
                <w14:textFill>
                  <w14:solidFill>
                    <w14:schemeClr w14:val="tx1"/>
                  </w14:solidFill>
                </w14:textFill>
              </w:rPr>
              <w:t>、</w:t>
            </w:r>
            <w:r>
              <w:rPr>
                <w:rFonts w:hint="eastAsia" w:ascii="仿宋" w:hAnsi="仿宋" w:cs="Times New Roman"/>
                <w:color w:val="000000" w:themeColor="text1"/>
                <w:sz w:val="24"/>
                <w:szCs w:val="24"/>
                <w:lang w:val="en-US" w:eastAsia="zh-CN"/>
                <w14:textFill>
                  <w14:solidFill>
                    <w14:schemeClr w14:val="tx1"/>
                  </w14:solidFill>
                </w14:textFill>
              </w:rPr>
              <w:t>巴中市巴州</w:t>
            </w:r>
            <w:r>
              <w:rPr>
                <w:rFonts w:hint="eastAsia" w:ascii="仿宋" w:hAnsi="仿宋" w:cs="Times New Roman"/>
                <w:color w:val="000000" w:themeColor="text1"/>
                <w:sz w:val="24"/>
                <w:szCs w:val="24"/>
                <w:lang w:val="en-US" w:eastAsia="zh-Hans"/>
                <w14:textFill>
                  <w14:solidFill>
                    <w14:schemeClr w14:val="tx1"/>
                  </w14:solidFill>
                </w14:textFill>
              </w:rPr>
              <w:t>区</w:t>
            </w:r>
            <w:r>
              <w:rPr>
                <w:rFonts w:hint="default" w:ascii="仿宋" w:hAnsi="仿宋" w:cs="Times New Roman"/>
                <w:color w:val="000000" w:themeColor="text1"/>
                <w:sz w:val="24"/>
                <w:szCs w:val="24"/>
                <w14:textFill>
                  <w14:solidFill>
                    <w14:schemeClr w14:val="tx1"/>
                  </w14:solidFill>
                </w14:textFill>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Align w:val="center"/>
          </w:tcPr>
          <w:p>
            <w:pPr>
              <w:keepNext w:val="0"/>
              <w:keepLines w:val="0"/>
              <w:suppressLineNumbers w:val="0"/>
              <w:spacing w:before="0" w:beforeAutospacing="0" w:after="0" w:afterAutospacing="0" w:line="240" w:lineRule="auto"/>
              <w:ind w:left="0" w:right="0"/>
              <w:jc w:val="center"/>
              <w:rPr>
                <w:rFonts w:hint="default" w:cs="Times New Roman"/>
                <w:sz w:val="24"/>
                <w:szCs w:val="24"/>
              </w:rPr>
            </w:pPr>
            <w:r>
              <w:rPr>
                <w:rFonts w:hint="default" w:cs="Times New Roman"/>
                <w:sz w:val="24"/>
                <w:szCs w:val="24"/>
              </w:rPr>
              <w:t>合计</w:t>
            </w:r>
          </w:p>
        </w:tc>
        <w:tc>
          <w:tcPr>
            <w:tcW w:w="421"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704"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1134"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872"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447"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c>
          <w:tcPr>
            <w:tcW w:w="2172" w:type="dxa"/>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lang w:val="en-US" w:eastAsia="zh-CN"/>
              </w:rPr>
            </w:pPr>
            <w:r>
              <w:rPr>
                <w:rFonts w:hint="eastAsia"/>
                <w:lang w:val="en-US" w:eastAsia="zh-CN"/>
              </w:rPr>
              <w:t>4554</w:t>
            </w:r>
          </w:p>
        </w:tc>
        <w:tc>
          <w:tcPr>
            <w:tcW w:w="665"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s="Times New Roman"/>
                <w:sz w:val="24"/>
                <w:szCs w:val="24"/>
              </w:rPr>
            </w:pPr>
          </w:p>
        </w:tc>
      </w:tr>
    </w:tbl>
    <w:p>
      <w:pPr>
        <w:jc w:val="center"/>
        <w:rPr>
          <w:rFonts w:eastAsia="仿宋_GB2312" w:cs="Times New Roman"/>
          <w:b/>
          <w:sz w:val="24"/>
          <w:szCs w:val="24"/>
        </w:rPr>
      </w:pPr>
    </w:p>
    <w:p>
      <w:pPr>
        <w:keepNext/>
        <w:keepLines/>
        <w:pageBreakBefore/>
        <w:jc w:val="center"/>
        <w:outlineLvl w:val="1"/>
        <w:rPr>
          <w:rFonts w:cs="Times New Roman"/>
          <w:b/>
          <w:sz w:val="24"/>
          <w:szCs w:val="24"/>
        </w:rPr>
      </w:pPr>
      <w:bookmarkStart w:id="218" w:name="_Toc88506580"/>
      <w:bookmarkStart w:id="219" w:name="_Toc329"/>
      <w:bookmarkStart w:id="220" w:name="_Toc24453"/>
      <w:r>
        <w:rPr>
          <w:rFonts w:hint="eastAsia" w:cs="Times New Roman"/>
          <w:b/>
          <w:sz w:val="24"/>
          <w:szCs w:val="24"/>
        </w:rPr>
        <w:t>附</w:t>
      </w:r>
      <w:r>
        <w:rPr>
          <w:rFonts w:cs="Times New Roman"/>
          <w:b/>
          <w:sz w:val="24"/>
          <w:szCs w:val="24"/>
        </w:rPr>
        <w:t>表</w:t>
      </w:r>
      <w:r>
        <w:rPr>
          <w:rFonts w:hint="eastAsia" w:cs="Times New Roman"/>
          <w:b/>
          <w:sz w:val="24"/>
          <w:szCs w:val="24"/>
        </w:rPr>
        <w:t xml:space="preserve">5 </w:t>
      </w:r>
      <w:r>
        <w:rPr>
          <w:rFonts w:hint="eastAsia" w:cs="Times New Roman"/>
          <w:b/>
          <w:sz w:val="24"/>
          <w:szCs w:val="24"/>
          <w:lang w:eastAsia="zh-CN"/>
        </w:rPr>
        <w:t>巴州区</w:t>
      </w:r>
      <w:r>
        <w:rPr>
          <w:rFonts w:hint="eastAsia" w:cs="Times New Roman"/>
          <w:b/>
          <w:sz w:val="24"/>
          <w:szCs w:val="24"/>
        </w:rPr>
        <w:t>耕地、</w:t>
      </w:r>
      <w:r>
        <w:rPr>
          <w:rFonts w:hint="eastAsia" w:cs="Times New Roman"/>
          <w:b/>
          <w:sz w:val="24"/>
          <w:szCs w:val="24"/>
          <w:lang w:eastAsia="zh-CN"/>
        </w:rPr>
        <w:t>林地</w:t>
      </w:r>
      <w:r>
        <w:rPr>
          <w:rFonts w:hint="eastAsia" w:cs="Times New Roman"/>
          <w:b/>
          <w:sz w:val="24"/>
          <w:szCs w:val="24"/>
        </w:rPr>
        <w:t>面积</w:t>
      </w:r>
      <w:r>
        <w:rPr>
          <w:rFonts w:cs="Times New Roman"/>
          <w:b/>
          <w:sz w:val="24"/>
          <w:szCs w:val="24"/>
        </w:rPr>
        <w:t>清单</w:t>
      </w:r>
      <w:bookmarkEnd w:id="218"/>
      <w:bookmarkEnd w:id="219"/>
      <w:bookmarkEnd w:id="220"/>
    </w:p>
    <w:tbl>
      <w:tblPr>
        <w:tblStyle w:val="23"/>
        <w:tblW w:w="1686" w:type="pct"/>
        <w:jc w:val="center"/>
        <w:tblLayout w:type="autofit"/>
        <w:tblCellMar>
          <w:top w:w="0" w:type="dxa"/>
          <w:left w:w="108" w:type="dxa"/>
          <w:bottom w:w="0" w:type="dxa"/>
          <w:right w:w="108" w:type="dxa"/>
        </w:tblCellMar>
      </w:tblPr>
      <w:tblGrid>
        <w:gridCol w:w="865"/>
        <w:gridCol w:w="1827"/>
        <w:gridCol w:w="2087"/>
      </w:tblGrid>
      <w:tr>
        <w:tblPrEx>
          <w:tblCellMar>
            <w:top w:w="0" w:type="dxa"/>
            <w:left w:w="108" w:type="dxa"/>
            <w:bottom w:w="0" w:type="dxa"/>
            <w:right w:w="108" w:type="dxa"/>
          </w:tblCellMar>
        </w:tblPrEx>
        <w:trPr>
          <w:trHeight w:val="270" w:hRule="atLeast"/>
          <w:jc w:val="center"/>
        </w:trPr>
        <w:tc>
          <w:tcPr>
            <w:tcW w:w="9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b/>
                <w:color w:val="000000"/>
                <w:kern w:val="0"/>
                <w:sz w:val="24"/>
                <w:szCs w:val="24"/>
              </w:rPr>
            </w:pPr>
            <w:r>
              <w:rPr>
                <w:rFonts w:hint="default" w:hAnsi="仿宋" w:cs="Times New Roman"/>
                <w:b/>
                <w:color w:val="000000"/>
                <w:kern w:val="0"/>
                <w:sz w:val="24"/>
                <w:szCs w:val="24"/>
              </w:rPr>
              <w:t>序号</w:t>
            </w:r>
          </w:p>
        </w:tc>
        <w:tc>
          <w:tcPr>
            <w:tcW w:w="191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b/>
                <w:color w:val="000000"/>
                <w:kern w:val="0"/>
                <w:sz w:val="24"/>
                <w:szCs w:val="24"/>
              </w:rPr>
            </w:pPr>
            <w:r>
              <w:rPr>
                <w:rFonts w:hint="default" w:hAnsi="仿宋" w:cs="Times New Roman"/>
                <w:b/>
                <w:color w:val="000000"/>
                <w:kern w:val="0"/>
                <w:sz w:val="24"/>
                <w:szCs w:val="24"/>
              </w:rPr>
              <w:t>分类</w:t>
            </w:r>
          </w:p>
        </w:tc>
        <w:tc>
          <w:tcPr>
            <w:tcW w:w="21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b/>
                <w:color w:val="000000"/>
                <w:kern w:val="0"/>
                <w:sz w:val="24"/>
                <w:szCs w:val="24"/>
              </w:rPr>
            </w:pPr>
            <w:r>
              <w:rPr>
                <w:rFonts w:hint="default" w:hAnsi="仿宋" w:cs="Times New Roman"/>
                <w:b/>
                <w:color w:val="000000"/>
                <w:kern w:val="0"/>
                <w:sz w:val="24"/>
                <w:szCs w:val="24"/>
              </w:rPr>
              <w:t>面积（公顷）</w:t>
            </w:r>
          </w:p>
        </w:tc>
      </w:tr>
      <w:tr>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r>
              <w:rPr>
                <w:rFonts w:hint="default" w:cs="Times New Roman"/>
                <w:color w:val="000000"/>
                <w:kern w:val="0"/>
                <w:sz w:val="24"/>
                <w:szCs w:val="24"/>
              </w:rPr>
              <w:t>1</w:t>
            </w: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b/>
                <w:color w:val="000000"/>
                <w:kern w:val="0"/>
                <w:sz w:val="24"/>
                <w:szCs w:val="24"/>
              </w:rPr>
            </w:pPr>
            <w:r>
              <w:rPr>
                <w:rFonts w:hint="default" w:hAnsi="仿宋" w:cs="Times New Roman"/>
                <w:b/>
                <w:color w:val="000000"/>
                <w:kern w:val="0"/>
                <w:sz w:val="24"/>
                <w:szCs w:val="24"/>
              </w:rPr>
              <w:t>耕地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45948.42</w:t>
            </w:r>
          </w:p>
        </w:tc>
      </w:tr>
      <w:tr>
        <w:tblPrEx>
          <w:tblCellMar>
            <w:top w:w="0" w:type="dxa"/>
            <w:left w:w="108" w:type="dxa"/>
            <w:bottom w:w="0" w:type="dxa"/>
            <w:right w:w="108" w:type="dxa"/>
          </w:tblCellMar>
        </w:tblPrEx>
        <w:trPr>
          <w:trHeight w:val="231"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r>
              <w:rPr>
                <w:rFonts w:hint="default" w:hAnsi="仿宋" w:cs="Times New Roman"/>
                <w:color w:val="000000"/>
                <w:kern w:val="0"/>
                <w:sz w:val="24"/>
                <w:szCs w:val="24"/>
              </w:rPr>
              <w:t>水田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32376.96</w:t>
            </w:r>
          </w:p>
        </w:tc>
      </w:tr>
      <w:tr>
        <w:tblPrEx>
          <w:tblCellMar>
            <w:top w:w="0" w:type="dxa"/>
            <w:left w:w="108" w:type="dxa"/>
            <w:bottom w:w="0" w:type="dxa"/>
            <w:right w:w="108" w:type="dxa"/>
          </w:tblCellMar>
        </w:tblPrEx>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r>
              <w:rPr>
                <w:rFonts w:hint="default" w:hAnsi="仿宋" w:cs="Times New Roman"/>
                <w:color w:val="000000"/>
                <w:kern w:val="0"/>
                <w:sz w:val="24"/>
                <w:szCs w:val="24"/>
              </w:rPr>
              <w:t>旱地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13571.46</w:t>
            </w:r>
          </w:p>
        </w:tc>
      </w:tr>
      <w:tr>
        <w:tblPrEx>
          <w:tblCellMar>
            <w:top w:w="0" w:type="dxa"/>
            <w:left w:w="108" w:type="dxa"/>
            <w:bottom w:w="0" w:type="dxa"/>
            <w:right w:w="108" w:type="dxa"/>
          </w:tblCellMar>
        </w:tblPrEx>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eastAsia="仿宋" w:cs="Times New Roman"/>
                <w:color w:val="000000"/>
                <w:kern w:val="0"/>
                <w:sz w:val="24"/>
                <w:szCs w:val="24"/>
                <w:lang w:eastAsia="zh-CN"/>
              </w:rPr>
            </w:pPr>
            <w:r>
              <w:rPr>
                <w:rFonts w:hint="eastAsia" w:cs="Times New Roman"/>
                <w:color w:val="000000"/>
                <w:kern w:val="0"/>
                <w:sz w:val="24"/>
                <w:szCs w:val="24"/>
                <w:lang w:val="en-US" w:eastAsia="zh-CN"/>
              </w:rPr>
              <w:t>2</w:t>
            </w: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b/>
                <w:color w:val="000000"/>
                <w:kern w:val="0"/>
                <w:sz w:val="24"/>
                <w:szCs w:val="24"/>
              </w:rPr>
            </w:pPr>
            <w:r>
              <w:rPr>
                <w:rFonts w:hint="default" w:hAnsi="仿宋" w:cs="Times New Roman"/>
                <w:b/>
                <w:color w:val="000000"/>
                <w:kern w:val="0"/>
                <w:sz w:val="24"/>
                <w:szCs w:val="24"/>
              </w:rPr>
              <w:t>林地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63066.61</w:t>
            </w:r>
          </w:p>
        </w:tc>
      </w:tr>
      <w:tr>
        <w:tblPrEx>
          <w:tblCellMar>
            <w:top w:w="0" w:type="dxa"/>
            <w:left w:w="108" w:type="dxa"/>
            <w:bottom w:w="0" w:type="dxa"/>
            <w:right w:w="108" w:type="dxa"/>
          </w:tblCellMar>
        </w:tblPrEx>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r>
              <w:rPr>
                <w:rFonts w:hint="default" w:hAnsi="仿宋" w:cs="Times New Roman"/>
                <w:color w:val="000000"/>
                <w:kern w:val="0"/>
                <w:sz w:val="24"/>
                <w:szCs w:val="24"/>
              </w:rPr>
              <w:t>乔木林地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61243.58</w:t>
            </w:r>
          </w:p>
        </w:tc>
      </w:tr>
      <w:tr>
        <w:tblPrEx>
          <w:tblCellMar>
            <w:top w:w="0" w:type="dxa"/>
            <w:left w:w="108" w:type="dxa"/>
            <w:bottom w:w="0" w:type="dxa"/>
            <w:right w:w="108" w:type="dxa"/>
          </w:tblCellMar>
        </w:tblPrEx>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eastAsia="仿宋" w:cs="Times New Roman"/>
                <w:color w:val="000000"/>
                <w:kern w:val="0"/>
                <w:sz w:val="24"/>
                <w:szCs w:val="24"/>
                <w:lang w:eastAsia="zh-CN"/>
              </w:rPr>
            </w:pPr>
            <w:r>
              <w:rPr>
                <w:rFonts w:hint="eastAsia" w:hAnsi="仿宋" w:cs="Times New Roman"/>
                <w:color w:val="000000"/>
                <w:kern w:val="0"/>
                <w:sz w:val="24"/>
                <w:szCs w:val="24"/>
                <w:lang w:val="en-US" w:eastAsia="zh-CN"/>
              </w:rPr>
              <w:t>竹林地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624.18</w:t>
            </w:r>
          </w:p>
        </w:tc>
      </w:tr>
      <w:tr>
        <w:tblPrEx>
          <w:tblCellMar>
            <w:top w:w="0" w:type="dxa"/>
            <w:left w:w="108" w:type="dxa"/>
            <w:bottom w:w="0" w:type="dxa"/>
            <w:right w:w="108" w:type="dxa"/>
          </w:tblCellMar>
        </w:tblPrEx>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hAnsi="仿宋" w:cs="Times New Roman"/>
                <w:color w:val="000000"/>
                <w:kern w:val="0"/>
                <w:sz w:val="24"/>
                <w:szCs w:val="24"/>
                <w:lang w:val="en-US" w:eastAsia="zh-CN"/>
              </w:rPr>
            </w:pPr>
            <w:r>
              <w:rPr>
                <w:rFonts w:hint="eastAsia" w:hAnsi="仿宋" w:cs="Times New Roman"/>
                <w:color w:val="000000"/>
                <w:kern w:val="0"/>
                <w:sz w:val="24"/>
                <w:szCs w:val="24"/>
                <w:lang w:val="en-US" w:eastAsia="zh-CN"/>
              </w:rPr>
              <w:t>灌木林地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lang w:val="en-US" w:eastAsia="zh-CN"/>
              </w:rPr>
            </w:pPr>
            <w:r>
              <w:rPr>
                <w:rFonts w:hint="eastAsia" w:cs="Times New Roman"/>
                <w:color w:val="000000"/>
                <w:kern w:val="0"/>
                <w:sz w:val="24"/>
                <w:szCs w:val="24"/>
                <w:lang w:val="en-US" w:eastAsia="zh-CN"/>
              </w:rPr>
              <w:t>808.48</w:t>
            </w:r>
          </w:p>
        </w:tc>
      </w:tr>
      <w:tr>
        <w:tblPrEx>
          <w:tblCellMar>
            <w:top w:w="0" w:type="dxa"/>
            <w:left w:w="108" w:type="dxa"/>
            <w:bottom w:w="0" w:type="dxa"/>
            <w:right w:w="108" w:type="dxa"/>
          </w:tblCellMar>
        </w:tblPrEx>
        <w:trPr>
          <w:trHeight w:val="270" w:hRule="atLeast"/>
          <w:jc w:val="center"/>
        </w:trPr>
        <w:tc>
          <w:tcPr>
            <w:tcW w:w="90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p>
        </w:tc>
        <w:tc>
          <w:tcPr>
            <w:tcW w:w="19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4"/>
                <w:szCs w:val="24"/>
              </w:rPr>
            </w:pPr>
            <w:r>
              <w:rPr>
                <w:rFonts w:hint="default" w:hAnsi="仿宋" w:cs="Times New Roman"/>
                <w:color w:val="000000"/>
                <w:kern w:val="0"/>
                <w:sz w:val="24"/>
                <w:szCs w:val="24"/>
              </w:rPr>
              <w:t>其他林地</w:t>
            </w:r>
          </w:p>
        </w:tc>
        <w:tc>
          <w:tcPr>
            <w:tcW w:w="2183"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eastAsia="仿宋" w:cs="Times New Roman"/>
                <w:color w:val="000000"/>
                <w:kern w:val="0"/>
                <w:sz w:val="24"/>
                <w:szCs w:val="24"/>
                <w:lang w:val="en-US" w:eastAsia="zh-CN"/>
              </w:rPr>
            </w:pPr>
            <w:r>
              <w:rPr>
                <w:rFonts w:hint="eastAsia" w:cs="Times New Roman"/>
                <w:color w:val="000000"/>
                <w:kern w:val="0"/>
                <w:sz w:val="24"/>
                <w:szCs w:val="24"/>
                <w:lang w:val="en-US" w:eastAsia="zh-CN"/>
              </w:rPr>
              <w:t>390.37</w:t>
            </w:r>
          </w:p>
        </w:tc>
      </w:tr>
    </w:tbl>
    <w:p/>
    <w:p>
      <w:pPr>
        <w:pStyle w:val="3"/>
        <w:pageBreakBefore/>
        <w:spacing w:before="381" w:after="381"/>
        <w:jc w:val="left"/>
        <w:rPr>
          <w:rFonts w:hint="eastAsia"/>
        </w:rPr>
        <w:sectPr>
          <w:pgSz w:w="16838" w:h="11906" w:orient="landscape"/>
          <w:pgMar w:top="1797" w:right="1440" w:bottom="1797" w:left="1440" w:header="851" w:footer="992" w:gutter="0"/>
          <w:cols w:space="1120" w:num="1"/>
          <w:docGrid w:type="lines" w:linePitch="381" w:charSpace="0"/>
        </w:sectPr>
      </w:pPr>
      <w:bookmarkStart w:id="221" w:name="_Toc15596"/>
      <w:bookmarkStart w:id="222" w:name="_Toc80745611"/>
    </w:p>
    <w:p>
      <w:pPr>
        <w:pStyle w:val="3"/>
        <w:pageBreakBefore/>
        <w:spacing w:before="381" w:after="381"/>
        <w:jc w:val="left"/>
      </w:pPr>
      <w:bookmarkStart w:id="223" w:name="_Toc15690"/>
      <w:r>
        <w:rPr>
          <w:rFonts w:hint="eastAsia"/>
        </w:rPr>
        <w:t>附图</w:t>
      </w:r>
      <w:bookmarkEnd w:id="221"/>
      <w:bookmarkEnd w:id="222"/>
      <w:bookmarkEnd w:id="223"/>
    </w:p>
    <w:p>
      <w:pPr>
        <w:jc w:val="left"/>
        <w:outlineLvl w:val="1"/>
        <w:rPr>
          <w:rFonts w:cs="Times New Roman"/>
          <w:b/>
          <w:sz w:val="24"/>
          <w:szCs w:val="24"/>
        </w:rPr>
      </w:pPr>
      <w:bookmarkStart w:id="224" w:name="_Toc11087"/>
      <w:bookmarkStart w:id="225" w:name="_Toc26538"/>
      <w:bookmarkStart w:id="226" w:name="_Toc30439"/>
      <w:r>
        <w:rPr>
          <w:rFonts w:cs="Times New Roman"/>
          <w:b/>
          <w:sz w:val="24"/>
          <w:szCs w:val="24"/>
        </w:rPr>
        <w:t>附图1 行政区划图</w:t>
      </w:r>
      <w:bookmarkEnd w:id="224"/>
      <w:bookmarkEnd w:id="225"/>
      <w:bookmarkEnd w:id="226"/>
    </w:p>
    <w:p>
      <w:pPr>
        <w:jc w:val="center"/>
      </w:pPr>
      <w:r>
        <w:drawing>
          <wp:inline distT="0" distB="0" distL="114300" distR="114300">
            <wp:extent cx="4423410" cy="6666230"/>
            <wp:effectExtent l="0" t="0" r="15240" b="127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9"/>
                    <a:stretch>
                      <a:fillRect/>
                    </a:stretch>
                  </pic:blipFill>
                  <pic:spPr>
                    <a:xfrm>
                      <a:off x="0" y="0"/>
                      <a:ext cx="4423410" cy="6666230"/>
                    </a:xfrm>
                    <a:prstGeom prst="rect">
                      <a:avLst/>
                    </a:prstGeom>
                    <a:noFill/>
                    <a:ln>
                      <a:noFill/>
                    </a:ln>
                  </pic:spPr>
                </pic:pic>
              </a:graphicData>
            </a:graphic>
          </wp:inline>
        </w:drawing>
      </w:r>
      <w:r>
        <w:br w:type="textWrapping"/>
      </w:r>
    </w:p>
    <w:p>
      <w:pPr>
        <w:keepNext/>
        <w:keepLines/>
        <w:pageBreakBefore/>
        <w:jc w:val="left"/>
        <w:outlineLvl w:val="1"/>
        <w:rPr>
          <w:rFonts w:cs="Times New Roman"/>
          <w:b/>
          <w:sz w:val="24"/>
          <w:szCs w:val="24"/>
        </w:rPr>
      </w:pPr>
      <w:bookmarkStart w:id="227" w:name="_Toc26574"/>
      <w:bookmarkStart w:id="228" w:name="_Toc30802"/>
      <w:r>
        <w:rPr>
          <w:rFonts w:cs="Times New Roman"/>
          <w:b/>
          <w:sz w:val="24"/>
          <w:szCs w:val="24"/>
        </w:rPr>
        <w:t>附图</w:t>
      </w:r>
      <w:r>
        <w:rPr>
          <w:rFonts w:hint="eastAsia" w:cs="Times New Roman"/>
          <w:b/>
          <w:sz w:val="24"/>
          <w:szCs w:val="24"/>
        </w:rPr>
        <w:t xml:space="preserve">2 </w:t>
      </w:r>
      <w:r>
        <w:rPr>
          <w:rFonts w:cs="Times New Roman"/>
          <w:b/>
          <w:sz w:val="24"/>
          <w:szCs w:val="24"/>
        </w:rPr>
        <w:t>水功能区划图</w:t>
      </w:r>
      <w:bookmarkEnd w:id="227"/>
      <w:bookmarkEnd w:id="228"/>
    </w:p>
    <w:p>
      <w:pPr>
        <w:jc w:val="center"/>
      </w:pPr>
    </w:p>
    <w:p>
      <w:pPr>
        <w:jc w:val="center"/>
        <w:rPr>
          <w:b/>
        </w:rPr>
      </w:pPr>
      <w:r>
        <w:drawing>
          <wp:inline distT="0" distB="0" distL="114300" distR="114300">
            <wp:extent cx="5345430" cy="7232650"/>
            <wp:effectExtent l="0" t="0" r="7620" b="635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rcRect t="5738"/>
                    <a:stretch>
                      <a:fillRect/>
                    </a:stretch>
                  </pic:blipFill>
                  <pic:spPr>
                    <a:xfrm>
                      <a:off x="0" y="0"/>
                      <a:ext cx="5345430" cy="7232650"/>
                    </a:xfrm>
                    <a:prstGeom prst="rect">
                      <a:avLst/>
                    </a:prstGeom>
                    <a:noFill/>
                    <a:ln>
                      <a:noFill/>
                    </a:ln>
                  </pic:spPr>
                </pic:pic>
              </a:graphicData>
            </a:graphic>
          </wp:inline>
        </w:drawing>
      </w:r>
    </w:p>
    <w:p/>
    <w:p>
      <w:pPr>
        <w:keepNext/>
        <w:keepLines/>
        <w:pageBreakBefore/>
        <w:jc w:val="left"/>
        <w:outlineLvl w:val="1"/>
        <w:rPr>
          <w:rFonts w:cs="Times New Roman"/>
          <w:b/>
          <w:sz w:val="24"/>
          <w:szCs w:val="24"/>
        </w:rPr>
        <w:sectPr>
          <w:pgSz w:w="11906" w:h="16838"/>
          <w:pgMar w:top="1440" w:right="1797" w:bottom="1440" w:left="1797" w:header="851" w:footer="992" w:gutter="0"/>
          <w:cols w:space="1120" w:num="1"/>
          <w:docGrid w:type="lines" w:linePitch="381" w:charSpace="0"/>
        </w:sectPr>
      </w:pPr>
      <w:bookmarkStart w:id="229" w:name="_Toc13353"/>
    </w:p>
    <w:p>
      <w:pPr>
        <w:keepNext/>
        <w:keepLines/>
        <w:pageBreakBefore/>
        <w:jc w:val="left"/>
        <w:outlineLvl w:val="1"/>
        <w:rPr>
          <w:rFonts w:cs="Times New Roman"/>
          <w:b/>
          <w:sz w:val="24"/>
          <w:szCs w:val="24"/>
        </w:rPr>
      </w:pPr>
      <w:bookmarkStart w:id="230" w:name="_Toc23110"/>
      <w:r>
        <w:rPr>
          <w:rFonts w:cs="Times New Roman"/>
          <w:b/>
          <w:sz w:val="24"/>
          <w:szCs w:val="24"/>
        </w:rPr>
        <w:t>附图</w:t>
      </w:r>
      <w:r>
        <w:rPr>
          <w:rFonts w:hint="eastAsia" w:cs="Times New Roman"/>
          <w:b/>
          <w:sz w:val="24"/>
          <w:szCs w:val="24"/>
          <w:lang w:val="en-US" w:eastAsia="zh-CN"/>
        </w:rPr>
        <w:t>3</w:t>
      </w:r>
      <w:r>
        <w:rPr>
          <w:rFonts w:hint="eastAsia" w:cs="Times New Roman"/>
          <w:b/>
          <w:sz w:val="24"/>
          <w:szCs w:val="24"/>
        </w:rPr>
        <w:t xml:space="preserve"> </w:t>
      </w:r>
      <w:r>
        <w:rPr>
          <w:rFonts w:hint="eastAsia" w:cs="Times New Roman"/>
          <w:b/>
          <w:sz w:val="24"/>
          <w:szCs w:val="24"/>
          <w:lang w:eastAsia="zh-CN"/>
        </w:rPr>
        <w:t>巴州区集中式饮用水水源地分布图</w:t>
      </w:r>
      <w:bookmarkEnd w:id="229"/>
      <w:bookmarkEnd w:id="230"/>
    </w:p>
    <w:p>
      <w:pPr>
        <w:pStyle w:val="2"/>
        <w:jc w:val="center"/>
        <w:rPr>
          <w:rFonts w:hint="eastAsia" w:eastAsia="仿宋"/>
          <w:lang w:eastAsia="zh-CN"/>
        </w:rPr>
      </w:pPr>
      <w:bookmarkStart w:id="231" w:name="_Toc22093"/>
      <w:bookmarkStart w:id="232" w:name="_Toc6181"/>
      <w:bookmarkStart w:id="233" w:name="_Toc19814"/>
      <w:bookmarkStart w:id="234" w:name="_Toc14435"/>
      <w:bookmarkStart w:id="235" w:name="_Toc8204"/>
      <w:bookmarkStart w:id="236" w:name="_Toc16882"/>
      <w:bookmarkStart w:id="237" w:name="_Toc9529"/>
      <w:bookmarkStart w:id="238" w:name="_Toc5584"/>
      <w:r>
        <w:rPr>
          <w:rFonts w:hint="eastAsia" w:eastAsia="仿宋"/>
          <w:lang w:eastAsia="zh-CN"/>
        </w:rPr>
        <w:drawing>
          <wp:inline distT="0" distB="0" distL="114300" distR="114300">
            <wp:extent cx="6219825" cy="4394200"/>
            <wp:effectExtent l="0" t="0" r="9525" b="6350"/>
            <wp:docPr id="12" name="图片 12" descr="巴州区集中式饮用水水源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巴州区集中式饮用水水源地分布图"/>
                    <pic:cNvPicPr>
                      <a:picLocks noChangeAspect="1"/>
                    </pic:cNvPicPr>
                  </pic:nvPicPr>
                  <pic:blipFill>
                    <a:blip r:embed="rId20"/>
                    <a:stretch>
                      <a:fillRect/>
                    </a:stretch>
                  </pic:blipFill>
                  <pic:spPr>
                    <a:xfrm>
                      <a:off x="0" y="0"/>
                      <a:ext cx="6219825" cy="4394200"/>
                    </a:xfrm>
                    <a:prstGeom prst="rect">
                      <a:avLst/>
                    </a:prstGeom>
                  </pic:spPr>
                </pic:pic>
              </a:graphicData>
            </a:graphic>
          </wp:inline>
        </w:drawing>
      </w:r>
      <w:bookmarkEnd w:id="231"/>
      <w:bookmarkEnd w:id="232"/>
      <w:bookmarkEnd w:id="233"/>
      <w:bookmarkEnd w:id="234"/>
      <w:bookmarkEnd w:id="235"/>
      <w:bookmarkEnd w:id="236"/>
      <w:bookmarkEnd w:id="237"/>
      <w:bookmarkEnd w:id="238"/>
    </w:p>
    <w:p>
      <w:pPr>
        <w:keepNext/>
        <w:keepLines/>
        <w:pageBreakBefore/>
        <w:jc w:val="left"/>
        <w:outlineLvl w:val="1"/>
        <w:rPr>
          <w:rFonts w:cs="Times New Roman"/>
          <w:b/>
          <w:sz w:val="24"/>
          <w:szCs w:val="24"/>
        </w:rPr>
        <w:sectPr>
          <w:pgSz w:w="16838" w:h="11906" w:orient="landscape"/>
          <w:pgMar w:top="1797" w:right="1440" w:bottom="1797" w:left="1440" w:header="851" w:footer="992" w:gutter="0"/>
          <w:cols w:space="1120" w:num="1"/>
          <w:docGrid w:type="lines" w:linePitch="381" w:charSpace="0"/>
        </w:sectPr>
      </w:pPr>
      <w:bookmarkStart w:id="239" w:name="_Toc28935"/>
    </w:p>
    <w:p>
      <w:pPr>
        <w:keepNext/>
        <w:keepLines/>
        <w:pageBreakBefore/>
        <w:jc w:val="left"/>
        <w:outlineLvl w:val="1"/>
        <w:rPr>
          <w:rFonts w:cs="Times New Roman"/>
          <w:b/>
          <w:sz w:val="24"/>
          <w:szCs w:val="24"/>
        </w:rPr>
      </w:pPr>
      <w:bookmarkStart w:id="240" w:name="_Toc5344"/>
      <w:r>
        <w:rPr>
          <w:rFonts w:cs="Times New Roman"/>
          <w:b/>
          <w:sz w:val="24"/>
          <w:szCs w:val="24"/>
        </w:rPr>
        <w:t>附图</w:t>
      </w:r>
      <w:r>
        <w:rPr>
          <w:rFonts w:hint="eastAsia" w:cs="Times New Roman"/>
          <w:b/>
          <w:sz w:val="24"/>
          <w:szCs w:val="24"/>
          <w:lang w:val="en-US" w:eastAsia="zh-CN"/>
        </w:rPr>
        <w:t>4</w:t>
      </w:r>
      <w:r>
        <w:rPr>
          <w:rFonts w:hint="eastAsia" w:cs="Times New Roman"/>
          <w:b/>
          <w:sz w:val="24"/>
          <w:szCs w:val="24"/>
        </w:rPr>
        <w:t xml:space="preserve"> </w:t>
      </w:r>
      <w:r>
        <w:rPr>
          <w:rFonts w:hint="eastAsia" w:cs="Times New Roman"/>
          <w:b/>
          <w:sz w:val="24"/>
          <w:szCs w:val="24"/>
          <w:lang w:eastAsia="zh-CN"/>
        </w:rPr>
        <w:t>巴州区畜禽养殖禁养区分布图</w:t>
      </w:r>
      <w:bookmarkEnd w:id="239"/>
      <w:bookmarkEnd w:id="240"/>
    </w:p>
    <w:p>
      <w:pPr>
        <w:pStyle w:val="2"/>
        <w:jc w:val="center"/>
      </w:pPr>
      <w:bookmarkStart w:id="241" w:name="_Toc28484"/>
      <w:bookmarkStart w:id="242" w:name="_Toc14518"/>
      <w:bookmarkStart w:id="243" w:name="_Toc22805"/>
      <w:bookmarkStart w:id="244" w:name="_Toc9468"/>
      <w:bookmarkStart w:id="245" w:name="_Toc24527"/>
      <w:bookmarkStart w:id="246" w:name="_Toc25835"/>
      <w:bookmarkStart w:id="247" w:name="_Toc22434"/>
      <w:bookmarkStart w:id="248" w:name="_Toc8339"/>
      <w:r>
        <w:drawing>
          <wp:inline distT="0" distB="0" distL="114300" distR="114300">
            <wp:extent cx="5533390" cy="6823075"/>
            <wp:effectExtent l="0" t="0" r="10160" b="1587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5533390" cy="6823075"/>
                    </a:xfrm>
                    <a:prstGeom prst="rect">
                      <a:avLst/>
                    </a:prstGeom>
                    <a:noFill/>
                    <a:ln>
                      <a:noFill/>
                    </a:ln>
                  </pic:spPr>
                </pic:pic>
              </a:graphicData>
            </a:graphic>
          </wp:inline>
        </w:drawing>
      </w:r>
      <w:bookmarkEnd w:id="241"/>
      <w:bookmarkEnd w:id="242"/>
      <w:bookmarkEnd w:id="243"/>
      <w:bookmarkEnd w:id="244"/>
      <w:bookmarkEnd w:id="245"/>
      <w:bookmarkEnd w:id="246"/>
      <w:bookmarkEnd w:id="247"/>
      <w:bookmarkEnd w:id="248"/>
    </w:p>
    <w:p>
      <w:pPr>
        <w:ind w:left="3373" w:hanging="3373" w:hangingChars="1400"/>
        <w:jc w:val="left"/>
        <w:rPr>
          <w:rFonts w:cs="Times New Roman"/>
          <w:b/>
          <w:sz w:val="24"/>
          <w:szCs w:val="24"/>
        </w:rPr>
        <w:sectPr>
          <w:pgSz w:w="11906" w:h="16838"/>
          <w:pgMar w:top="1440" w:right="1797" w:bottom="1440" w:left="1797" w:header="851" w:footer="992" w:gutter="0"/>
          <w:cols w:space="1120" w:num="1"/>
          <w:docGrid w:type="lines" w:linePitch="381" w:charSpace="0"/>
        </w:sectPr>
      </w:pPr>
    </w:p>
    <w:p>
      <w:pPr>
        <w:ind w:left="3373" w:hanging="3373" w:hangingChars="1400"/>
        <w:jc w:val="left"/>
        <w:rPr>
          <w:rFonts w:hint="eastAsia" w:cs="Times New Roman"/>
          <w:b/>
          <w:sz w:val="24"/>
          <w:szCs w:val="24"/>
          <w:lang w:eastAsia="zh-CN"/>
        </w:rPr>
      </w:pPr>
      <w:r>
        <w:rPr>
          <w:rFonts w:cs="Times New Roman"/>
          <w:b/>
          <w:sz w:val="24"/>
          <w:szCs w:val="24"/>
        </w:rPr>
        <w:t>附图</w:t>
      </w:r>
      <w:r>
        <w:rPr>
          <w:rFonts w:hint="eastAsia" w:cs="Times New Roman"/>
          <w:b/>
          <w:sz w:val="24"/>
          <w:szCs w:val="24"/>
          <w:lang w:val="en-US" w:eastAsia="zh-CN"/>
        </w:rPr>
        <w:t>5</w:t>
      </w:r>
      <w:r>
        <w:rPr>
          <w:rFonts w:hint="eastAsia" w:cs="Times New Roman"/>
          <w:b/>
          <w:sz w:val="24"/>
          <w:szCs w:val="24"/>
        </w:rPr>
        <w:t xml:space="preserve"> </w:t>
      </w:r>
      <w:r>
        <w:rPr>
          <w:rFonts w:hint="eastAsia" w:cs="Times New Roman"/>
          <w:b/>
          <w:sz w:val="24"/>
          <w:szCs w:val="24"/>
          <w:lang w:eastAsia="zh-CN"/>
        </w:rPr>
        <w:t>巴州区林地耕地分布图</w:t>
      </w:r>
    </w:p>
    <w:p>
      <w:pPr>
        <w:ind w:left="3373" w:hanging="3920" w:hangingChars="1400"/>
        <w:jc w:val="center"/>
      </w:pPr>
      <w:r>
        <w:drawing>
          <wp:inline distT="0" distB="0" distL="114300" distR="114300">
            <wp:extent cx="7344410" cy="4719320"/>
            <wp:effectExtent l="0" t="0" r="8890" b="50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7344410" cy="4719320"/>
                    </a:xfrm>
                    <a:prstGeom prst="rect">
                      <a:avLst/>
                    </a:prstGeom>
                    <a:noFill/>
                    <a:ln>
                      <a:noFill/>
                    </a:ln>
                  </pic:spPr>
                </pic:pic>
              </a:graphicData>
            </a:graphic>
          </wp:inline>
        </w:drawing>
      </w:r>
    </w:p>
    <w:p>
      <w:pPr>
        <w:keepNext/>
        <w:keepLines/>
        <w:pageBreakBefore/>
        <w:jc w:val="left"/>
        <w:outlineLvl w:val="1"/>
        <w:rPr>
          <w:rFonts w:hint="eastAsia" w:cs="Times New Roman"/>
          <w:b/>
          <w:sz w:val="24"/>
          <w:szCs w:val="24"/>
          <w:lang w:eastAsia="zh-CN"/>
        </w:rPr>
        <w:sectPr>
          <w:pgSz w:w="16838" w:h="11906" w:orient="landscape"/>
          <w:pgMar w:top="1797" w:right="1440" w:bottom="1797" w:left="1440" w:header="851" w:footer="992" w:gutter="0"/>
          <w:cols w:space="1120" w:num="1"/>
          <w:docGrid w:type="lines" w:linePitch="381" w:charSpace="0"/>
        </w:sectPr>
      </w:pPr>
      <w:bookmarkStart w:id="249" w:name="_Toc1269"/>
      <w:bookmarkStart w:id="250" w:name="_Toc20319"/>
      <w:r>
        <w:rPr>
          <w:rFonts w:cs="Times New Roman"/>
          <w:b/>
          <w:sz w:val="24"/>
          <w:szCs w:val="24"/>
        </w:rPr>
        <w:t>附图</w:t>
      </w:r>
      <w:r>
        <w:rPr>
          <w:rFonts w:hint="eastAsia" w:cs="Times New Roman"/>
          <w:b/>
          <w:sz w:val="24"/>
          <w:szCs w:val="24"/>
          <w:lang w:val="en-US" w:eastAsia="zh-CN"/>
        </w:rPr>
        <w:t>6</w:t>
      </w:r>
      <w:r>
        <w:rPr>
          <w:rFonts w:hint="eastAsia" w:cs="Times New Roman"/>
          <w:b/>
          <w:sz w:val="24"/>
          <w:szCs w:val="24"/>
        </w:rPr>
        <w:t xml:space="preserve"> </w:t>
      </w:r>
      <w:r>
        <w:rPr>
          <w:rFonts w:hint="eastAsia" w:cs="Times New Roman"/>
          <w:b/>
          <w:sz w:val="24"/>
          <w:szCs w:val="24"/>
          <w:lang w:eastAsia="zh-CN"/>
        </w:rPr>
        <w:t>畜禽规模养殖场分布图</w:t>
      </w:r>
      <w:bookmarkEnd w:id="249"/>
      <w:bookmarkEnd w:id="250"/>
    </w:p>
    <w:p>
      <w:pPr>
        <w:jc w:val="center"/>
      </w:pPr>
      <w:r>
        <w:drawing>
          <wp:inline distT="0" distB="0" distL="114300" distR="114300">
            <wp:extent cx="6282690" cy="4812665"/>
            <wp:effectExtent l="0" t="0" r="3810" b="698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3"/>
                    <a:stretch>
                      <a:fillRect/>
                    </a:stretch>
                  </pic:blipFill>
                  <pic:spPr>
                    <a:xfrm>
                      <a:off x="0" y="0"/>
                      <a:ext cx="6282690" cy="4812665"/>
                    </a:xfrm>
                    <a:prstGeom prst="rect">
                      <a:avLst/>
                    </a:prstGeom>
                    <a:noFill/>
                    <a:ln>
                      <a:noFill/>
                    </a:ln>
                  </pic:spPr>
                </pic:pic>
              </a:graphicData>
            </a:graphic>
          </wp:inline>
        </w:drawing>
      </w:r>
    </w:p>
    <w:p>
      <w:pPr>
        <w:keepNext/>
        <w:keepLines/>
        <w:pageBreakBefore/>
        <w:jc w:val="left"/>
        <w:outlineLvl w:val="1"/>
        <w:rPr>
          <w:rFonts w:hint="eastAsia" w:cs="Times New Roman"/>
          <w:b/>
          <w:sz w:val="24"/>
          <w:szCs w:val="24"/>
          <w:lang w:eastAsia="zh-CN"/>
        </w:rPr>
        <w:sectPr>
          <w:type w:val="continuous"/>
          <w:pgSz w:w="16838" w:h="11906" w:orient="landscape"/>
          <w:pgMar w:top="1797" w:right="1440" w:bottom="1797" w:left="1440" w:header="851" w:footer="992" w:gutter="0"/>
          <w:cols w:space="1120" w:num="1"/>
          <w:docGrid w:type="lines" w:linePitch="381" w:charSpace="0"/>
        </w:sectPr>
      </w:pPr>
      <w:bookmarkStart w:id="251" w:name="_Toc24782"/>
      <w:bookmarkStart w:id="252" w:name="_Toc21864"/>
      <w:r>
        <w:rPr>
          <w:rFonts w:cs="Times New Roman"/>
          <w:b/>
          <w:sz w:val="24"/>
          <w:szCs w:val="24"/>
        </w:rPr>
        <w:t>附图</w:t>
      </w:r>
      <w:r>
        <w:rPr>
          <w:rFonts w:hint="eastAsia" w:cs="Times New Roman"/>
          <w:b/>
          <w:sz w:val="24"/>
          <w:szCs w:val="24"/>
          <w:lang w:val="en-US" w:eastAsia="zh-CN"/>
        </w:rPr>
        <w:t>7</w:t>
      </w:r>
      <w:r>
        <w:rPr>
          <w:rFonts w:hint="eastAsia" w:cs="Times New Roman"/>
          <w:b/>
          <w:sz w:val="24"/>
          <w:szCs w:val="24"/>
        </w:rPr>
        <w:t xml:space="preserve"> </w:t>
      </w:r>
      <w:r>
        <w:rPr>
          <w:rFonts w:hint="eastAsia" w:cs="Times New Roman"/>
          <w:b/>
          <w:sz w:val="24"/>
          <w:szCs w:val="24"/>
          <w:lang w:eastAsia="zh-CN"/>
        </w:rPr>
        <w:t>近期和远期治理范围图</w:t>
      </w:r>
      <w:bookmarkEnd w:id="251"/>
      <w:bookmarkEnd w:id="252"/>
    </w:p>
    <w:p>
      <w:pPr>
        <w:jc w:val="center"/>
      </w:pPr>
      <w:r>
        <w:drawing>
          <wp:inline distT="0" distB="0" distL="114300" distR="114300">
            <wp:extent cx="6819900" cy="4375150"/>
            <wp:effectExtent l="0" t="0" r="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4"/>
                    <a:stretch>
                      <a:fillRect/>
                    </a:stretch>
                  </pic:blipFill>
                  <pic:spPr>
                    <a:xfrm>
                      <a:off x="0" y="0"/>
                      <a:ext cx="6819900" cy="4375150"/>
                    </a:xfrm>
                    <a:prstGeom prst="rect">
                      <a:avLst/>
                    </a:prstGeom>
                    <a:noFill/>
                    <a:ln>
                      <a:noFill/>
                    </a:ln>
                  </pic:spPr>
                </pic:pic>
              </a:graphicData>
            </a:graphic>
          </wp:inline>
        </w:drawing>
      </w:r>
    </w:p>
    <w:p/>
    <w:p>
      <w:pPr>
        <w:keepNext/>
        <w:keepLines/>
        <w:pageBreakBefore/>
        <w:jc w:val="left"/>
        <w:outlineLvl w:val="1"/>
        <w:rPr>
          <w:rFonts w:hint="eastAsia" w:cs="Times New Roman"/>
          <w:b/>
          <w:sz w:val="24"/>
          <w:szCs w:val="24"/>
          <w:lang w:eastAsia="zh-CN"/>
        </w:rPr>
        <w:sectPr>
          <w:type w:val="continuous"/>
          <w:pgSz w:w="16838" w:h="11906" w:orient="landscape"/>
          <w:pgMar w:top="1797" w:right="1440" w:bottom="1797" w:left="1440" w:header="851" w:footer="992" w:gutter="0"/>
          <w:cols w:space="1120" w:num="1"/>
          <w:docGrid w:type="lines" w:linePitch="381" w:charSpace="0"/>
        </w:sectPr>
      </w:pPr>
      <w:bookmarkStart w:id="253" w:name="_Toc5132"/>
      <w:bookmarkStart w:id="254" w:name="_Toc27598"/>
      <w:r>
        <w:rPr>
          <w:rFonts w:cs="Times New Roman"/>
          <w:b/>
          <w:sz w:val="24"/>
          <w:szCs w:val="24"/>
        </w:rPr>
        <w:t>附图</w:t>
      </w:r>
      <w:r>
        <w:rPr>
          <w:rFonts w:hint="eastAsia" w:cs="Times New Roman"/>
          <w:b/>
          <w:sz w:val="24"/>
          <w:szCs w:val="24"/>
          <w:lang w:val="en-US" w:eastAsia="zh-CN"/>
        </w:rPr>
        <w:t>8</w:t>
      </w:r>
      <w:r>
        <w:rPr>
          <w:rFonts w:hint="eastAsia" w:cs="Times New Roman"/>
          <w:b/>
          <w:sz w:val="24"/>
          <w:szCs w:val="24"/>
        </w:rPr>
        <w:t xml:space="preserve"> </w:t>
      </w:r>
      <w:r>
        <w:rPr>
          <w:rFonts w:hint="eastAsia" w:cs="Times New Roman"/>
          <w:b/>
          <w:sz w:val="24"/>
          <w:szCs w:val="24"/>
          <w:lang w:eastAsia="zh-CN"/>
        </w:rPr>
        <w:t>畜禽粪污集中处理中心建设布局图</w:t>
      </w:r>
      <w:bookmarkEnd w:id="253"/>
      <w:bookmarkEnd w:id="254"/>
    </w:p>
    <w:p>
      <w:pPr>
        <w:jc w:val="center"/>
      </w:pPr>
      <w:r>
        <w:drawing>
          <wp:inline distT="0" distB="0" distL="114300" distR="114300">
            <wp:extent cx="5991860" cy="4583430"/>
            <wp:effectExtent l="0" t="0" r="8890"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5"/>
                    <a:stretch>
                      <a:fillRect/>
                    </a:stretch>
                  </pic:blipFill>
                  <pic:spPr>
                    <a:xfrm>
                      <a:off x="0" y="0"/>
                      <a:ext cx="5991860" cy="4583430"/>
                    </a:xfrm>
                    <a:prstGeom prst="rect">
                      <a:avLst/>
                    </a:prstGeom>
                    <a:noFill/>
                    <a:ln>
                      <a:noFill/>
                    </a:ln>
                  </pic:spPr>
                </pic:pic>
              </a:graphicData>
            </a:graphic>
          </wp:inline>
        </w:drawing>
      </w:r>
    </w:p>
    <w:p>
      <w:pPr>
        <w:keepNext/>
        <w:keepLines/>
        <w:pageBreakBefore/>
        <w:jc w:val="left"/>
        <w:outlineLvl w:val="1"/>
        <w:rPr>
          <w:rFonts w:hint="eastAsia" w:cs="Times New Roman"/>
          <w:b/>
          <w:sz w:val="24"/>
          <w:szCs w:val="24"/>
          <w:lang w:eastAsia="zh-CN"/>
        </w:rPr>
        <w:sectPr>
          <w:type w:val="continuous"/>
          <w:pgSz w:w="16838" w:h="11906" w:orient="landscape"/>
          <w:pgMar w:top="1797" w:right="1440" w:bottom="1797" w:left="1440" w:header="851" w:footer="992" w:gutter="0"/>
          <w:cols w:space="1120" w:num="1"/>
          <w:docGrid w:type="lines" w:linePitch="381" w:charSpace="0"/>
        </w:sectPr>
      </w:pPr>
      <w:bookmarkStart w:id="255" w:name="_Toc31494"/>
      <w:bookmarkStart w:id="256" w:name="_Toc13925"/>
      <w:r>
        <w:rPr>
          <w:rFonts w:cs="Times New Roman"/>
          <w:b/>
          <w:sz w:val="24"/>
          <w:szCs w:val="24"/>
        </w:rPr>
        <w:t>附图</w:t>
      </w:r>
      <w:r>
        <w:rPr>
          <w:rFonts w:hint="eastAsia" w:cs="Times New Roman"/>
          <w:b/>
          <w:sz w:val="24"/>
          <w:szCs w:val="24"/>
          <w:lang w:val="en-US" w:eastAsia="zh-CN"/>
        </w:rPr>
        <w:t>9</w:t>
      </w:r>
      <w:r>
        <w:rPr>
          <w:rFonts w:hint="eastAsia" w:cs="Times New Roman"/>
          <w:b/>
          <w:sz w:val="24"/>
          <w:szCs w:val="24"/>
        </w:rPr>
        <w:t xml:space="preserve"> </w:t>
      </w:r>
      <w:r>
        <w:rPr>
          <w:rFonts w:hint="eastAsia" w:cs="Times New Roman"/>
          <w:b/>
          <w:sz w:val="24"/>
          <w:szCs w:val="24"/>
          <w:lang w:eastAsia="zh-CN"/>
        </w:rPr>
        <w:t>粪肥还田利用田间配套设施建设分布图</w:t>
      </w:r>
      <w:bookmarkEnd w:id="255"/>
      <w:bookmarkEnd w:id="256"/>
    </w:p>
    <w:p>
      <w:pPr>
        <w:jc w:val="center"/>
      </w:pPr>
      <w:r>
        <w:drawing>
          <wp:inline distT="0" distB="0" distL="114300" distR="114300">
            <wp:extent cx="6146165" cy="4701540"/>
            <wp:effectExtent l="0" t="0" r="6985"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6146165" cy="4701540"/>
                    </a:xfrm>
                    <a:prstGeom prst="rect">
                      <a:avLst/>
                    </a:prstGeom>
                    <a:noFill/>
                    <a:ln>
                      <a:noFill/>
                    </a:ln>
                  </pic:spPr>
                </pic:pic>
              </a:graphicData>
            </a:graphic>
          </wp:inline>
        </w:drawing>
      </w:r>
    </w:p>
    <w:sectPr>
      <w:type w:val="continuous"/>
      <w:pgSz w:w="16838" w:h="11906" w:orient="landscape"/>
      <w:pgMar w:top="1797" w:right="1440" w:bottom="1797"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0812045"/>
      <w:showingPlcHdr/>
    </w:sdtPr>
    <w:sdtContent>
      <w:p>
        <w:pPr>
          <w:pStyle w:val="14"/>
          <w:jc w:val="center"/>
        </w:pP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751186899"/>
                          </w:sdtPr>
                          <w:sdtContent>
                            <w:p>
                              <w:pPr>
                                <w:pStyle w:val="14"/>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Pv/oyAgAAY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reRH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7Q+/+jICAABjBAAADgAAAAAAAAABACAAAAAfAQAAZHJzL2Uyb0RvYy54bWxQSwUG&#10;AAAAAAYABgBZAQAAwwUAAAAA&#10;">
              <v:fill on="f" focussize="0,0"/>
              <v:stroke on="f" weight="0.5pt"/>
              <v:imagedata o:title=""/>
              <o:lock v:ext="edit" aspectratio="f"/>
              <v:textbox inset="0mm,0mm,0mm,0mm" style="mso-fit-shape-to-text:t;">
                <w:txbxContent>
                  <w:sdt>
                    <w:sdtPr>
                      <w:id w:val="-1751186899"/>
                    </w:sdtPr>
                    <w:sdtContent>
                      <w:p>
                        <w:pPr>
                          <w:pStyle w:val="14"/>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2"/>
                    </w:pPr>
                  </w:p>
                </w:txbxContent>
              </v:textbox>
            </v:shape>
          </w:pict>
        </mc:Fallback>
      </mc:AlternateConten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535392808"/>
                          </w:sdtPr>
                          <w:sdtContent>
                            <w:p>
                              <w:pPr>
                                <w:pStyle w:val="14"/>
                                <w:jc w:val="center"/>
                              </w:pPr>
                              <w:r>
                                <w:fldChar w:fldCharType="begin"/>
                              </w:r>
                              <w:r>
                                <w:instrText xml:space="preserve">PAGE   \* MERGEFORMAT</w:instrText>
                              </w:r>
                              <w:r>
                                <w:fldChar w:fldCharType="separate"/>
                              </w:r>
                              <w:r>
                                <w:rPr>
                                  <w:lang w:val="zh-CN"/>
                                </w:rPr>
                                <w:t>I</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JSj8y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VO0XTOFhp9/fD//&#10;/H3+9Y1cRXka6+eIerCIC+0702JohnuPy8i6LZ2Kv+BD4Ie4p4u4og2Ex0ez6Ww2hovDNxyAnz09&#10;t86H98IoEo2cOnQvicqOWx+60CEkZtNmU0uZOig1aXJ6/fZqnB5cPACXOsaKNAs9TKTUlR6t0O7a&#10;nufOFCfQdKabE2/5pkYpW+bDPXMYDJSP1Ql3+JTSIKXpLUoq477+6z7Go1/wUtJg0HKqsVeUyA8a&#10;fQRgGAw3GLvB0Ad1azC5E6yk5cnEAxfkYJbOqC/Yp1XMARfTHJlyGgbzNnTDjn3kYrVKQZg8y8JW&#10;P1geoaM83q4OAXImlaMonRLoTjxg9lKf+j2Jw/3nOUU9/Tc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lKPzICAABjBAAADgAAAAAAAAABACAAAAAfAQAAZHJzL2Uyb0RvYy54bWxQSwUG&#10;AAAAAAYABgBZAQAAwwUAAAAA&#10;">
              <v:fill on="f" focussize="0,0"/>
              <v:stroke on="f" weight="0.5pt"/>
              <v:imagedata o:title=""/>
              <o:lock v:ext="edit" aspectratio="f"/>
              <v:textbox inset="0mm,0mm,0mm,0mm" style="mso-fit-shape-to-text:t;">
                <w:txbxContent>
                  <w:sdt>
                    <w:sdtPr>
                      <w:id w:val="1535392808"/>
                    </w:sdtPr>
                    <w:sdtContent>
                      <w:p>
                        <w:pPr>
                          <w:pStyle w:val="14"/>
                          <w:jc w:val="center"/>
                        </w:pPr>
                        <w:r>
                          <w:fldChar w:fldCharType="begin"/>
                        </w:r>
                        <w:r>
                          <w:instrText xml:space="preserve">PAGE   \* MERGEFORMAT</w:instrText>
                        </w:r>
                        <w:r>
                          <w:fldChar w:fldCharType="separate"/>
                        </w:r>
                        <w:r>
                          <w:rPr>
                            <w:lang w:val="zh-CN"/>
                          </w:rPr>
                          <w:t>I</w:t>
                        </w:r>
                        <w:r>
                          <w:rPr>
                            <w:lang w:val="zh-CN"/>
                          </w:rPr>
                          <w:fldChar w:fldCharType="end"/>
                        </w:r>
                      </w:p>
                    </w:sdtContent>
                  </w:sdt>
                  <w:p>
                    <w:pPr>
                      <w:pStyle w:val="2"/>
                    </w:pPr>
                  </w:p>
                </w:txbxContent>
              </v:textbox>
            </v:shape>
          </w:pict>
        </mc:Fallback>
      </mc:AlternateConten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170401907"/>
                          </w:sdtPr>
                          <w:sdtContent>
                            <w:p>
                              <w:pPr>
                                <w:pStyle w:val="14"/>
                                <w:jc w:val="center"/>
                              </w:pPr>
                              <w:r>
                                <w:fldChar w:fldCharType="begin"/>
                              </w:r>
                              <w:r>
                                <w:instrText xml:space="preserve">PAGE   \* MERGEFORMAT</w:instrText>
                              </w:r>
                              <w:r>
                                <w:fldChar w:fldCharType="separate"/>
                              </w:r>
                              <w:r>
                                <w:rPr>
                                  <w:lang w:val="zh-CN"/>
                                </w:rPr>
                                <w:t>123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j+QQ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j+QQzAgAAZQQAAA4AAAAAAAAAAQAgAAAAHwEAAGRycy9lMm9Eb2MueG1sUEsF&#10;BgAAAAAGAAYAWQEAAMQFAAAAAA==&#10;">
              <v:fill on="f" focussize="0,0"/>
              <v:stroke on="f" weight="0.5pt"/>
              <v:imagedata o:title=""/>
              <o:lock v:ext="edit" aspectratio="f"/>
              <v:textbox inset="0mm,0mm,0mm,0mm" style="mso-fit-shape-to-text:t;">
                <w:txbxContent>
                  <w:sdt>
                    <w:sdtPr>
                      <w:id w:val="-1170401907"/>
                    </w:sdtPr>
                    <w:sdtContent>
                      <w:p>
                        <w:pPr>
                          <w:pStyle w:val="14"/>
                          <w:jc w:val="center"/>
                        </w:pPr>
                        <w:r>
                          <w:fldChar w:fldCharType="begin"/>
                        </w:r>
                        <w:r>
                          <w:instrText xml:space="preserve">PAGE   \* MERGEFORMAT</w:instrText>
                        </w:r>
                        <w:r>
                          <w:fldChar w:fldCharType="separate"/>
                        </w:r>
                        <w:r>
                          <w:rPr>
                            <w:lang w:val="zh-CN"/>
                          </w:rPr>
                          <w:t>123</w:t>
                        </w:r>
                        <w:r>
                          <w:rPr>
                            <w:lang w:val="zh-CN"/>
                          </w:rPr>
                          <w:fldChar w:fldCharType="end"/>
                        </w:r>
                      </w:p>
                    </w:sdtContent>
                  </w:sdt>
                  <w:p>
                    <w:pPr>
                      <w:pStyle w:val="2"/>
                    </w:pPr>
                  </w:p>
                </w:txbxContent>
              </v:textbox>
            </v:shape>
          </w:pict>
        </mc:Fallback>
      </mc:AlternateContent>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8667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14935" cy="866775"/>
                      </a:xfrm>
                      <a:prstGeom prst="rect">
                        <a:avLst/>
                      </a:prstGeom>
                      <a:noFill/>
                      <a:ln w="6350">
                        <a:noFill/>
                      </a:ln>
                      <a:effectLst/>
                    </wps:spPr>
                    <wps:txbx>
                      <w:txbxContent>
                        <w:sdt>
                          <w:sdtPr>
                            <w:id w:val="1579712950"/>
                          </w:sdtPr>
                          <w:sdtContent>
                            <w:p>
                              <w:pPr>
                                <w:pStyle w:val="14"/>
                                <w:jc w:val="center"/>
                              </w:pPr>
                              <w:r>
                                <w:fldChar w:fldCharType="begin"/>
                              </w:r>
                              <w:r>
                                <w:instrText xml:space="preserve">PAGE   \* MERGEFORMAT</w:instrText>
                              </w:r>
                              <w:r>
                                <w:fldChar w:fldCharType="separate"/>
                              </w:r>
                              <w:r>
                                <w:rPr>
                                  <w:lang w:val="zh-CN"/>
                                </w:rPr>
                                <w:t>III</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68.25pt;width:9.05pt;mso-position-horizontal:center;mso-position-horizontal-relative:margin;mso-wrap-style:none;z-index:251663360;mso-width-relative:page;mso-height-relative:page;" filled="f" stroked="f" coordsize="21600,21600" o:gfxdata="UEsDBAoAAAAAAIdO4kAAAAAAAAAAAAAAAAAEAAAAZHJzL1BLAwQUAAAACACHTuJAZl0dp9IAAAAE&#10;AQAADwAAAGRycy9kb3ducmV2LnhtbE2PQU/DMAyF70j8h8hI3FhaBtNUmk5iohyRWDlwzBqv7Uic&#10;Ksm68u/xuMDFT9az3vtcbmZnxYQhDp4U5IsMBFLrzUCdgo+mvluDiEmT0dYTKvjGCJvq+qrUhfFn&#10;esdplzrBIRQLraBPaSykjG2PTseFH5HYO/jgdOI1dNIEfeZwZ+V9lq2k0wNxQ69H3PbYfu1OTsG2&#10;bpowYQz2E1/r5fHt+QFfZqVub/LsCUTCOf0dwwWf0aFipr0/kYnCKuBH0u+8eOscxJ51uXoEWZXy&#10;P3z1A1BLAwQUAAAACACHTuJAbEcWEzgCAABjBAAADgAAAGRycy9lMm9Eb2MueG1srVTNjtMwEL4j&#10;8Q6W7zTtLttdqqarslURUsWuVBBn13GaSP6T7TYpDwBvwIkLd56rz8Fnp+mihcMeuDhjz/ib+T7P&#10;ZHrbKkn2wvna6JyOBkNKhOamqPU2p58+Ll/dUOID0wWTRoucHoSnt7OXL6aNnYgLUxlZCEcAov2k&#10;sTmtQrCTLPO8Eor5gbFCw1kap1jA1m2zwrEG6EpmF8PhOGuMK6wzXHiP00XnpCdE9xxAU5Y1FwvD&#10;d0ro0KE6IVkAJV/V1tNZqrYsBQ/3ZelFIDKnYBrSiiSwN3HNZlM22Tpmq5qfSmDPKeEJJ8VqjaRn&#10;qAULjOxc/ReUqrkz3pRhwI3KOiJJEbAYDZ9os66YFYkLpPb2LLr/f7D8w/7BkbrI6cUVJZopvPjx&#10;+7fjj1/Hn18JziBQY/0EcWuLyNC+NS3apj/3OIy829Kp+AUjAj/kPZzlFW0gPF4avX5ziSwcrpvx&#10;+Po6oWePl63z4Z0wikQjpw6vl0Rl+5UPKAShfUjMpc2yljK9oNSkyen48mqYLpw9uCF1jBWpF04w&#10;kVBXeLRCu2lPLDemOICkM12feMuXNUpZMR8emENjgBdGJ9xjKaVBSnOyKKmM+/Kv8xiP94KXkgaN&#10;llONuaJEvtd4x9iTveF6Y9MbeqfuDDp3hJG0PJm44ILszdIZ9RnzNI854GKaI1NOQ2/eha7ZMY9c&#10;zOcpCJ1nWVjpteUROsrj7XwXIGdSOYrSKQHJ4wa9l8Q/zUls7j/3Kerx3zD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ZdHafSAAAABAEAAA8AAAAAAAAAAQAgAAAAIgAAAGRycy9kb3ducmV2Lnht&#10;bFBLAQIUABQAAAAIAIdO4kBsRxYTOAIAAGMEAAAOAAAAAAAAAAEAIAAAACEBAABkcnMvZTJvRG9j&#10;LnhtbFBLBQYAAAAABgAGAFkBAADLBQAAAAA=&#10;">
              <v:fill on="f" focussize="0,0"/>
              <v:stroke on="f" weight="0.5pt"/>
              <v:imagedata o:title=""/>
              <o:lock v:ext="edit" aspectratio="f"/>
              <v:textbox inset="0mm,0mm,0mm,0mm" style="mso-fit-shape-to-text:t;">
                <w:txbxContent>
                  <w:sdt>
                    <w:sdtPr>
                      <w:id w:val="1579712950"/>
                    </w:sdtPr>
                    <w:sdtContent>
                      <w:p>
                        <w:pPr>
                          <w:pStyle w:val="14"/>
                          <w:jc w:val="center"/>
                        </w:pPr>
                        <w:r>
                          <w:fldChar w:fldCharType="begin"/>
                        </w:r>
                        <w:r>
                          <w:instrText xml:space="preserve">PAGE   \* MERGEFORMAT</w:instrText>
                        </w:r>
                        <w:r>
                          <w:fldChar w:fldCharType="separate"/>
                        </w:r>
                        <w:r>
                          <w:rPr>
                            <w:lang w:val="zh-CN"/>
                          </w:rPr>
                          <w:t>III</w:t>
                        </w:r>
                        <w:r>
                          <w:rPr>
                            <w:lang w:val="zh-CN"/>
                          </w:rPr>
                          <w:fldChar w:fldCharType="end"/>
                        </w:r>
                      </w:p>
                    </w:sdtContent>
                  </w:sdt>
                  <w:p>
                    <w:pPr>
                      <w:pStyle w:val="2"/>
                    </w:pPr>
                  </w:p>
                </w:txbxContent>
              </v:textbox>
            </v:shape>
          </w:pict>
        </mc:Fallback>
      </mc:AlternateContent>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866775"/>
              <wp:effectExtent l="0" t="0" r="0" b="0"/>
              <wp:wrapNone/>
              <wp:docPr id="15" name="文本框 8"/>
              <wp:cNvGraphicFramePr/>
              <a:graphic xmlns:a="http://schemas.openxmlformats.org/drawingml/2006/main">
                <a:graphicData uri="http://schemas.microsoft.com/office/word/2010/wordprocessingShape">
                  <wps:wsp>
                    <wps:cNvSpPr txBox="1"/>
                    <wps:spPr>
                      <a:xfrm>
                        <a:off x="0" y="0"/>
                        <a:ext cx="114935" cy="866775"/>
                      </a:xfrm>
                      <a:prstGeom prst="rect">
                        <a:avLst/>
                      </a:prstGeom>
                      <a:noFill/>
                      <a:ln w="6350">
                        <a:noFill/>
                      </a:ln>
                      <a:effectLst/>
                    </wps:spPr>
                    <wps:txbx>
                      <w:txbxContent>
                        <w:sdt>
                          <w:sdtPr>
                            <w:id w:val="-1934733897"/>
                          </w:sdtPr>
                          <w:sdtContent>
                            <w:p>
                              <w:pPr>
                                <w:pStyle w:val="14"/>
                                <w:jc w:val="center"/>
                              </w:pPr>
                              <w:r>
                                <w:fldChar w:fldCharType="begin"/>
                              </w:r>
                              <w:r>
                                <w:instrText xml:space="preserve">PAGE   \* MERGEFORMAT</w:instrText>
                              </w:r>
                              <w:r>
                                <w:fldChar w:fldCharType="separate"/>
                              </w:r>
                              <w:r>
                                <w:rPr>
                                  <w:lang w:val="zh-CN"/>
                                </w:rPr>
                                <w:t>142</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68.25pt;width:9.05pt;mso-position-horizontal:center;mso-position-horizontal-relative:margin;mso-wrap-style:none;z-index:251661312;mso-width-relative:page;mso-height-relative:page;" filled="f" stroked="f" coordsize="21600,21600" o:gfxdata="UEsDBAoAAAAAAIdO4kAAAAAAAAAAAAAAAAAEAAAAZHJzL1BLAwQUAAAACACHTuJAZl0dp9IAAAAE&#10;AQAADwAAAGRycy9kb3ducmV2LnhtbE2PQU/DMAyF70j8h8hI3FhaBtNUmk5iohyRWDlwzBqv7Uic&#10;Ksm68u/xuMDFT9az3vtcbmZnxYQhDp4U5IsMBFLrzUCdgo+mvluDiEmT0dYTKvjGCJvq+qrUhfFn&#10;esdplzrBIRQLraBPaSykjG2PTseFH5HYO/jgdOI1dNIEfeZwZ+V9lq2k0wNxQ69H3PbYfu1OTsG2&#10;bpowYQz2E1/r5fHt+QFfZqVub/LsCUTCOf0dwwWf0aFipr0/kYnCKuBH0u+8eOscxJ51uXoEWZXy&#10;P3z1A1BLAwQUAAAACACHTuJAY1lRxzcCAABiBAAADgAAAGRycy9lMm9Eb2MueG1srVTNbhMxEL4j&#10;8Q6W72STlqQhyqYKjYKQKlqpIM6O15tdyX+yneyWB4A34MSFO8/V5+CzdzdFhUMPXLxjz/gbf9/M&#10;7PKyVZIchfO10TmdjMaUCM1NUet9Tj993L6aU+ID0wWTRouc3gtPL1cvXywbuxBnpjKyEI4ARPtF&#10;Y3NahWAXWeZ5JRTzI2OFhrM0TrGArdtnhWMN0JXMzsbjWdYYV1hnuPAep5vOSXtE9xxAU5Y1FxvD&#10;D0ro0KE6IVkAJV/V1tNVem1ZCh5uytKLQGROwTSkFUlg7+KarZZssXfMVjXvn8Ce84QnnBSrNZKe&#10;oDYsMHJw9V9QqubOeFOGETcq64gkRcBiMn6izV3FrEhcILW3J9H9/4PlH463jtQFOmFKiWYKFX/4&#10;/u3hx6+Hn1/JPOrTWL9A2J1FYGjfmhaxw7nHYaTdlk7FLwgR+KHu/Uld0QbC46XJ6zfnSMLhms9m&#10;FxfTiJI9XrbOh3fCKBKNnDoUL2nKjtc+dKFDSMylzbaWMhVQatLkdHY+HacLJw/ApY6xIrVCDxMJ&#10;dQ+PVmh3bc9yZ4p7kHSmaxNv+bbGU66ZD7fMoS/AC5MTbrCU0iCl6S1KKuO+/Os8xqNc8FLSoM9y&#10;qjFWlMj3GmWMLTkYbjB2g6EP6sqgcSeYSMuTiQsuyMEsnVGfMU7rmAMupjky5TQM5lXoeh3jyMV6&#10;nYLQeJaFa31neYSO8ni7PgTImVSOonRKoDpxg9ZLderHJPb2n/sU9fhr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l0dp9IAAAAEAQAADwAAAAAAAAABACAAAAAiAAAAZHJzL2Rvd25yZXYueG1s&#10;UEsBAhQAFAAAAAgAh07iQGNZUcc3AgAAYgQAAA4AAAAAAAAAAQAgAAAAIQEAAGRycy9lMm9Eb2Mu&#10;eG1sUEsFBgAAAAAGAAYAWQEAAMoFAAAAAA==&#10;">
              <v:fill on="f" focussize="0,0"/>
              <v:stroke on="f" weight="0.5pt"/>
              <v:imagedata o:title=""/>
              <o:lock v:ext="edit" aspectratio="f"/>
              <v:textbox inset="0mm,0mm,0mm,0mm" style="mso-fit-shape-to-text:t;">
                <w:txbxContent>
                  <w:sdt>
                    <w:sdtPr>
                      <w:id w:val="-1934733897"/>
                    </w:sdtPr>
                    <w:sdtContent>
                      <w:p>
                        <w:pPr>
                          <w:pStyle w:val="14"/>
                          <w:jc w:val="center"/>
                        </w:pPr>
                        <w:r>
                          <w:fldChar w:fldCharType="begin"/>
                        </w:r>
                        <w:r>
                          <w:instrText xml:space="preserve">PAGE   \* MERGEFORMAT</w:instrText>
                        </w:r>
                        <w:r>
                          <w:fldChar w:fldCharType="separate"/>
                        </w:r>
                        <w:r>
                          <w:rPr>
                            <w:lang w:val="zh-CN"/>
                          </w:rPr>
                          <w:t>142</w:t>
                        </w:r>
                        <w:r>
                          <w:rPr>
                            <w:lang w:val="zh-CN"/>
                          </w:rPr>
                          <w:fldChar w:fldCharType="end"/>
                        </w:r>
                      </w:p>
                    </w:sdtContent>
                  </w:sdt>
                  <w:p>
                    <w:pPr>
                      <w:pStyle w:val="2"/>
                    </w:pPr>
                  </w:p>
                </w:txbxContent>
              </v:textbox>
            </v:shape>
          </w:pict>
        </mc:Fallback>
      </mc:AlternateContent>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24"/>
        <w:szCs w:val="24"/>
      </w:rPr>
    </w:pPr>
    <w:r>
      <w:rPr>
        <w:rFonts w:hint="eastAsia"/>
        <w:sz w:val="24"/>
        <w:szCs w:val="24"/>
        <w:lang w:eastAsia="zh-CN"/>
      </w:rPr>
      <w:t>巴中市巴州区</w:t>
    </w:r>
    <w:r>
      <w:rPr>
        <w:rFonts w:hint="eastAsia"/>
        <w:sz w:val="24"/>
        <w:szCs w:val="24"/>
      </w:rPr>
      <w:t>畜禽养殖污染防治规划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sz w:val="24"/>
        <w:szCs w:val="24"/>
        <w:lang w:eastAsia="zh-CN"/>
      </w:rPr>
      <w:t>巴中市巴州区</w:t>
    </w:r>
    <w:r>
      <w:rPr>
        <w:rFonts w:hint="eastAsia"/>
        <w:sz w:val="24"/>
        <w:szCs w:val="24"/>
      </w:rPr>
      <w:t>畜禽养殖污染防治规划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9A5914"/>
    <w:multiLevelType w:val="singleLevel"/>
    <w:tmpl w:val="1A9A59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hYzg3YTNlY2I0MGVkODEyYWEzMjA4YjViOGE4NjgifQ=="/>
  </w:docVars>
  <w:rsids>
    <w:rsidRoot w:val="00917A3A"/>
    <w:rsid w:val="00000265"/>
    <w:rsid w:val="00005592"/>
    <w:rsid w:val="00007D42"/>
    <w:rsid w:val="00010D6B"/>
    <w:rsid w:val="00011954"/>
    <w:rsid w:val="00017E06"/>
    <w:rsid w:val="00020C47"/>
    <w:rsid w:val="00023C9B"/>
    <w:rsid w:val="00023CB6"/>
    <w:rsid w:val="00023D7A"/>
    <w:rsid w:val="00031550"/>
    <w:rsid w:val="00031DEA"/>
    <w:rsid w:val="00034231"/>
    <w:rsid w:val="00035C15"/>
    <w:rsid w:val="00036CBA"/>
    <w:rsid w:val="000371FE"/>
    <w:rsid w:val="00037F77"/>
    <w:rsid w:val="00041D5A"/>
    <w:rsid w:val="00042FEB"/>
    <w:rsid w:val="00050753"/>
    <w:rsid w:val="00050F30"/>
    <w:rsid w:val="0005239A"/>
    <w:rsid w:val="00052DF4"/>
    <w:rsid w:val="00053822"/>
    <w:rsid w:val="00053F15"/>
    <w:rsid w:val="0005543C"/>
    <w:rsid w:val="00056C51"/>
    <w:rsid w:val="000570FC"/>
    <w:rsid w:val="0005710A"/>
    <w:rsid w:val="000612EB"/>
    <w:rsid w:val="00063553"/>
    <w:rsid w:val="0006550B"/>
    <w:rsid w:val="0006681E"/>
    <w:rsid w:val="00071245"/>
    <w:rsid w:val="000728CB"/>
    <w:rsid w:val="00072DBD"/>
    <w:rsid w:val="000743F8"/>
    <w:rsid w:val="000771A4"/>
    <w:rsid w:val="0007797A"/>
    <w:rsid w:val="00081C16"/>
    <w:rsid w:val="0008228E"/>
    <w:rsid w:val="00082953"/>
    <w:rsid w:val="000865B2"/>
    <w:rsid w:val="00086EF7"/>
    <w:rsid w:val="000878CC"/>
    <w:rsid w:val="00091477"/>
    <w:rsid w:val="00091B87"/>
    <w:rsid w:val="0009239E"/>
    <w:rsid w:val="00094485"/>
    <w:rsid w:val="00095139"/>
    <w:rsid w:val="00095715"/>
    <w:rsid w:val="00095A12"/>
    <w:rsid w:val="000A09C0"/>
    <w:rsid w:val="000A1453"/>
    <w:rsid w:val="000A5312"/>
    <w:rsid w:val="000B0FA6"/>
    <w:rsid w:val="000B4A30"/>
    <w:rsid w:val="000B4A4A"/>
    <w:rsid w:val="000B7139"/>
    <w:rsid w:val="000C3821"/>
    <w:rsid w:val="000C5160"/>
    <w:rsid w:val="000C7D7C"/>
    <w:rsid w:val="000C7F60"/>
    <w:rsid w:val="000D0511"/>
    <w:rsid w:val="000D0DA3"/>
    <w:rsid w:val="000D2342"/>
    <w:rsid w:val="000E088E"/>
    <w:rsid w:val="000E30BF"/>
    <w:rsid w:val="000E49F7"/>
    <w:rsid w:val="000E5533"/>
    <w:rsid w:val="000F0252"/>
    <w:rsid w:val="000F13F2"/>
    <w:rsid w:val="000F1470"/>
    <w:rsid w:val="000F3009"/>
    <w:rsid w:val="000F605B"/>
    <w:rsid w:val="000F7CE4"/>
    <w:rsid w:val="001004E9"/>
    <w:rsid w:val="00100AB0"/>
    <w:rsid w:val="00106549"/>
    <w:rsid w:val="00107F04"/>
    <w:rsid w:val="0011007A"/>
    <w:rsid w:val="00112BF7"/>
    <w:rsid w:val="00117380"/>
    <w:rsid w:val="00120C3C"/>
    <w:rsid w:val="001212BC"/>
    <w:rsid w:val="001223B1"/>
    <w:rsid w:val="0012354A"/>
    <w:rsid w:val="00124E34"/>
    <w:rsid w:val="001253D7"/>
    <w:rsid w:val="00125586"/>
    <w:rsid w:val="001256BE"/>
    <w:rsid w:val="0012624C"/>
    <w:rsid w:val="00136681"/>
    <w:rsid w:val="00137769"/>
    <w:rsid w:val="00141A73"/>
    <w:rsid w:val="00142CB6"/>
    <w:rsid w:val="00143748"/>
    <w:rsid w:val="0014384E"/>
    <w:rsid w:val="00143CC8"/>
    <w:rsid w:val="00144231"/>
    <w:rsid w:val="001442DB"/>
    <w:rsid w:val="00144B84"/>
    <w:rsid w:val="001465D0"/>
    <w:rsid w:val="001472E9"/>
    <w:rsid w:val="00147CA5"/>
    <w:rsid w:val="00151E23"/>
    <w:rsid w:val="00152270"/>
    <w:rsid w:val="00152873"/>
    <w:rsid w:val="0015459E"/>
    <w:rsid w:val="00155808"/>
    <w:rsid w:val="00157E39"/>
    <w:rsid w:val="00160298"/>
    <w:rsid w:val="0016057D"/>
    <w:rsid w:val="00160B53"/>
    <w:rsid w:val="00162A9F"/>
    <w:rsid w:val="00163371"/>
    <w:rsid w:val="00163B4B"/>
    <w:rsid w:val="00165C94"/>
    <w:rsid w:val="0017225A"/>
    <w:rsid w:val="001727B3"/>
    <w:rsid w:val="00174381"/>
    <w:rsid w:val="001779D5"/>
    <w:rsid w:val="001803F9"/>
    <w:rsid w:val="00180AAF"/>
    <w:rsid w:val="00182A75"/>
    <w:rsid w:val="00183712"/>
    <w:rsid w:val="00184982"/>
    <w:rsid w:val="00190DAB"/>
    <w:rsid w:val="00195DFB"/>
    <w:rsid w:val="00197401"/>
    <w:rsid w:val="00197960"/>
    <w:rsid w:val="001A0807"/>
    <w:rsid w:val="001A1F14"/>
    <w:rsid w:val="001A2BF2"/>
    <w:rsid w:val="001A35B9"/>
    <w:rsid w:val="001A39B6"/>
    <w:rsid w:val="001A7948"/>
    <w:rsid w:val="001A7BDB"/>
    <w:rsid w:val="001B0624"/>
    <w:rsid w:val="001B2A3C"/>
    <w:rsid w:val="001B3182"/>
    <w:rsid w:val="001B4401"/>
    <w:rsid w:val="001B49B7"/>
    <w:rsid w:val="001B693B"/>
    <w:rsid w:val="001C387F"/>
    <w:rsid w:val="001C3CFD"/>
    <w:rsid w:val="001C508C"/>
    <w:rsid w:val="001C74AC"/>
    <w:rsid w:val="001C7A2A"/>
    <w:rsid w:val="001C7D95"/>
    <w:rsid w:val="001C7E7B"/>
    <w:rsid w:val="001D08A9"/>
    <w:rsid w:val="001D3832"/>
    <w:rsid w:val="001D4A11"/>
    <w:rsid w:val="001D4EEA"/>
    <w:rsid w:val="001E738D"/>
    <w:rsid w:val="001F2F64"/>
    <w:rsid w:val="001F3219"/>
    <w:rsid w:val="001F393A"/>
    <w:rsid w:val="001F5392"/>
    <w:rsid w:val="001F5C39"/>
    <w:rsid w:val="001F705B"/>
    <w:rsid w:val="00200482"/>
    <w:rsid w:val="0020277A"/>
    <w:rsid w:val="002031F8"/>
    <w:rsid w:val="00203862"/>
    <w:rsid w:val="00204254"/>
    <w:rsid w:val="002056B7"/>
    <w:rsid w:val="00206594"/>
    <w:rsid w:val="00214568"/>
    <w:rsid w:val="00214596"/>
    <w:rsid w:val="002149A7"/>
    <w:rsid w:val="00215B2F"/>
    <w:rsid w:val="002160BB"/>
    <w:rsid w:val="002235AC"/>
    <w:rsid w:val="00223813"/>
    <w:rsid w:val="002239FD"/>
    <w:rsid w:val="00225BF5"/>
    <w:rsid w:val="00225D36"/>
    <w:rsid w:val="00226082"/>
    <w:rsid w:val="00227A65"/>
    <w:rsid w:val="00230E72"/>
    <w:rsid w:val="00231F4B"/>
    <w:rsid w:val="00232AD1"/>
    <w:rsid w:val="0023370D"/>
    <w:rsid w:val="00234BD0"/>
    <w:rsid w:val="00235EF2"/>
    <w:rsid w:val="00236FDE"/>
    <w:rsid w:val="00237CCB"/>
    <w:rsid w:val="00241AB7"/>
    <w:rsid w:val="00243875"/>
    <w:rsid w:val="0024644F"/>
    <w:rsid w:val="002500E3"/>
    <w:rsid w:val="00252311"/>
    <w:rsid w:val="0025345F"/>
    <w:rsid w:val="00253988"/>
    <w:rsid w:val="00254167"/>
    <w:rsid w:val="00255EBD"/>
    <w:rsid w:val="0025766E"/>
    <w:rsid w:val="00257812"/>
    <w:rsid w:val="00265819"/>
    <w:rsid w:val="00271838"/>
    <w:rsid w:val="0027351E"/>
    <w:rsid w:val="00275D6F"/>
    <w:rsid w:val="00281BEE"/>
    <w:rsid w:val="002838B5"/>
    <w:rsid w:val="0028501E"/>
    <w:rsid w:val="0029391B"/>
    <w:rsid w:val="00294B9D"/>
    <w:rsid w:val="00296E8A"/>
    <w:rsid w:val="002A05C3"/>
    <w:rsid w:val="002A2138"/>
    <w:rsid w:val="002A28F0"/>
    <w:rsid w:val="002A3584"/>
    <w:rsid w:val="002A5618"/>
    <w:rsid w:val="002A6BF0"/>
    <w:rsid w:val="002B1625"/>
    <w:rsid w:val="002B2AD3"/>
    <w:rsid w:val="002B33EA"/>
    <w:rsid w:val="002B629A"/>
    <w:rsid w:val="002B7EA8"/>
    <w:rsid w:val="002C6ACF"/>
    <w:rsid w:val="002C7A62"/>
    <w:rsid w:val="002D6681"/>
    <w:rsid w:val="002E064B"/>
    <w:rsid w:val="002E1B77"/>
    <w:rsid w:val="002E2F8D"/>
    <w:rsid w:val="002E42E3"/>
    <w:rsid w:val="002E7874"/>
    <w:rsid w:val="002F558A"/>
    <w:rsid w:val="002F60A1"/>
    <w:rsid w:val="002F6416"/>
    <w:rsid w:val="002F6610"/>
    <w:rsid w:val="002F6E11"/>
    <w:rsid w:val="002F7BAC"/>
    <w:rsid w:val="003037E3"/>
    <w:rsid w:val="0030449F"/>
    <w:rsid w:val="003061D0"/>
    <w:rsid w:val="00306F19"/>
    <w:rsid w:val="00310474"/>
    <w:rsid w:val="00310965"/>
    <w:rsid w:val="003119F3"/>
    <w:rsid w:val="0031484C"/>
    <w:rsid w:val="00315835"/>
    <w:rsid w:val="00323596"/>
    <w:rsid w:val="00324D39"/>
    <w:rsid w:val="00327074"/>
    <w:rsid w:val="00330690"/>
    <w:rsid w:val="0033361F"/>
    <w:rsid w:val="003351BF"/>
    <w:rsid w:val="0033664F"/>
    <w:rsid w:val="00336F2A"/>
    <w:rsid w:val="00337CB3"/>
    <w:rsid w:val="003402DB"/>
    <w:rsid w:val="00343201"/>
    <w:rsid w:val="00343982"/>
    <w:rsid w:val="0034761C"/>
    <w:rsid w:val="0035182A"/>
    <w:rsid w:val="0035200C"/>
    <w:rsid w:val="00353543"/>
    <w:rsid w:val="00354FBF"/>
    <w:rsid w:val="00357EB8"/>
    <w:rsid w:val="0036134B"/>
    <w:rsid w:val="00362C72"/>
    <w:rsid w:val="00363D86"/>
    <w:rsid w:val="00365B4F"/>
    <w:rsid w:val="003665C0"/>
    <w:rsid w:val="003671C7"/>
    <w:rsid w:val="00371A40"/>
    <w:rsid w:val="00373603"/>
    <w:rsid w:val="00373A2F"/>
    <w:rsid w:val="00375247"/>
    <w:rsid w:val="0037701E"/>
    <w:rsid w:val="00380A56"/>
    <w:rsid w:val="00381040"/>
    <w:rsid w:val="00384504"/>
    <w:rsid w:val="0038573C"/>
    <w:rsid w:val="0039174C"/>
    <w:rsid w:val="00391CE4"/>
    <w:rsid w:val="003925FA"/>
    <w:rsid w:val="003935DF"/>
    <w:rsid w:val="00394ADB"/>
    <w:rsid w:val="00396084"/>
    <w:rsid w:val="00397157"/>
    <w:rsid w:val="003972A5"/>
    <w:rsid w:val="003A1191"/>
    <w:rsid w:val="003A4989"/>
    <w:rsid w:val="003A5A81"/>
    <w:rsid w:val="003A5B3D"/>
    <w:rsid w:val="003B10A5"/>
    <w:rsid w:val="003B2D69"/>
    <w:rsid w:val="003B50CB"/>
    <w:rsid w:val="003B63E8"/>
    <w:rsid w:val="003C0CEE"/>
    <w:rsid w:val="003C0F99"/>
    <w:rsid w:val="003C42F4"/>
    <w:rsid w:val="003C44EF"/>
    <w:rsid w:val="003C7889"/>
    <w:rsid w:val="003D1409"/>
    <w:rsid w:val="003D3A97"/>
    <w:rsid w:val="003D4422"/>
    <w:rsid w:val="003D6B94"/>
    <w:rsid w:val="003D73FD"/>
    <w:rsid w:val="003E0F13"/>
    <w:rsid w:val="003E20CA"/>
    <w:rsid w:val="003E5F11"/>
    <w:rsid w:val="003E65CF"/>
    <w:rsid w:val="003E7365"/>
    <w:rsid w:val="003F6ECE"/>
    <w:rsid w:val="003F7924"/>
    <w:rsid w:val="00401A7D"/>
    <w:rsid w:val="004039C4"/>
    <w:rsid w:val="0040462C"/>
    <w:rsid w:val="004049D9"/>
    <w:rsid w:val="00404FDD"/>
    <w:rsid w:val="004076C7"/>
    <w:rsid w:val="004125CB"/>
    <w:rsid w:val="00412D0C"/>
    <w:rsid w:val="0041458A"/>
    <w:rsid w:val="00416987"/>
    <w:rsid w:val="00421BC4"/>
    <w:rsid w:val="00423234"/>
    <w:rsid w:val="00423370"/>
    <w:rsid w:val="00424EC4"/>
    <w:rsid w:val="004302D2"/>
    <w:rsid w:val="0043233E"/>
    <w:rsid w:val="0043443B"/>
    <w:rsid w:val="004344E9"/>
    <w:rsid w:val="00437C3F"/>
    <w:rsid w:val="00440FC6"/>
    <w:rsid w:val="004422F5"/>
    <w:rsid w:val="00442C36"/>
    <w:rsid w:val="004449CD"/>
    <w:rsid w:val="00447FE1"/>
    <w:rsid w:val="004505B3"/>
    <w:rsid w:val="0045394B"/>
    <w:rsid w:val="0045464A"/>
    <w:rsid w:val="004559B4"/>
    <w:rsid w:val="004563AD"/>
    <w:rsid w:val="004661FE"/>
    <w:rsid w:val="004665C5"/>
    <w:rsid w:val="004716A4"/>
    <w:rsid w:val="0047197D"/>
    <w:rsid w:val="00471B3B"/>
    <w:rsid w:val="004742AA"/>
    <w:rsid w:val="004767FE"/>
    <w:rsid w:val="004814C5"/>
    <w:rsid w:val="00490E0E"/>
    <w:rsid w:val="00492A2F"/>
    <w:rsid w:val="00497058"/>
    <w:rsid w:val="00497A14"/>
    <w:rsid w:val="004A2FAE"/>
    <w:rsid w:val="004B0891"/>
    <w:rsid w:val="004B0CCE"/>
    <w:rsid w:val="004B552E"/>
    <w:rsid w:val="004B7E46"/>
    <w:rsid w:val="004C0844"/>
    <w:rsid w:val="004C2209"/>
    <w:rsid w:val="004C38D9"/>
    <w:rsid w:val="004C3A66"/>
    <w:rsid w:val="004C5A83"/>
    <w:rsid w:val="004D12FB"/>
    <w:rsid w:val="004D2B67"/>
    <w:rsid w:val="004D38B7"/>
    <w:rsid w:val="004D3CEA"/>
    <w:rsid w:val="004D43E5"/>
    <w:rsid w:val="004D49F6"/>
    <w:rsid w:val="004E1653"/>
    <w:rsid w:val="004E3211"/>
    <w:rsid w:val="004E4964"/>
    <w:rsid w:val="004E5061"/>
    <w:rsid w:val="004F002A"/>
    <w:rsid w:val="004F0C62"/>
    <w:rsid w:val="004F0C97"/>
    <w:rsid w:val="004F1A44"/>
    <w:rsid w:val="004F43A8"/>
    <w:rsid w:val="004F4A96"/>
    <w:rsid w:val="004F535C"/>
    <w:rsid w:val="004F5585"/>
    <w:rsid w:val="004F5C7C"/>
    <w:rsid w:val="00500049"/>
    <w:rsid w:val="00500730"/>
    <w:rsid w:val="0050086A"/>
    <w:rsid w:val="00501AC7"/>
    <w:rsid w:val="0050301D"/>
    <w:rsid w:val="005052D2"/>
    <w:rsid w:val="00507A3C"/>
    <w:rsid w:val="00510B99"/>
    <w:rsid w:val="00513A94"/>
    <w:rsid w:val="005177A3"/>
    <w:rsid w:val="00520D3C"/>
    <w:rsid w:val="0052254E"/>
    <w:rsid w:val="005230A0"/>
    <w:rsid w:val="00523D90"/>
    <w:rsid w:val="00524036"/>
    <w:rsid w:val="00524CF7"/>
    <w:rsid w:val="005250D7"/>
    <w:rsid w:val="00525406"/>
    <w:rsid w:val="0052783B"/>
    <w:rsid w:val="00530D82"/>
    <w:rsid w:val="00533F15"/>
    <w:rsid w:val="00534DF4"/>
    <w:rsid w:val="0053725E"/>
    <w:rsid w:val="0054019E"/>
    <w:rsid w:val="00541065"/>
    <w:rsid w:val="00541872"/>
    <w:rsid w:val="0054352E"/>
    <w:rsid w:val="00544F92"/>
    <w:rsid w:val="00546802"/>
    <w:rsid w:val="00547F83"/>
    <w:rsid w:val="005500B5"/>
    <w:rsid w:val="00550F0B"/>
    <w:rsid w:val="00551170"/>
    <w:rsid w:val="005513AE"/>
    <w:rsid w:val="005537A6"/>
    <w:rsid w:val="0055414A"/>
    <w:rsid w:val="005548F8"/>
    <w:rsid w:val="00556AF4"/>
    <w:rsid w:val="0055778D"/>
    <w:rsid w:val="00560F75"/>
    <w:rsid w:val="00562F28"/>
    <w:rsid w:val="00563388"/>
    <w:rsid w:val="0056435A"/>
    <w:rsid w:val="00565406"/>
    <w:rsid w:val="00567530"/>
    <w:rsid w:val="00567EA5"/>
    <w:rsid w:val="00574849"/>
    <w:rsid w:val="005765D4"/>
    <w:rsid w:val="00576776"/>
    <w:rsid w:val="005772B9"/>
    <w:rsid w:val="005804AA"/>
    <w:rsid w:val="00582A1A"/>
    <w:rsid w:val="005852A5"/>
    <w:rsid w:val="00593BCB"/>
    <w:rsid w:val="0059442A"/>
    <w:rsid w:val="00596ED9"/>
    <w:rsid w:val="005A051B"/>
    <w:rsid w:val="005A0D4B"/>
    <w:rsid w:val="005A29D0"/>
    <w:rsid w:val="005A38B7"/>
    <w:rsid w:val="005A4A38"/>
    <w:rsid w:val="005A6E73"/>
    <w:rsid w:val="005A72DB"/>
    <w:rsid w:val="005A7E65"/>
    <w:rsid w:val="005B0F05"/>
    <w:rsid w:val="005B1016"/>
    <w:rsid w:val="005B2B1E"/>
    <w:rsid w:val="005B3658"/>
    <w:rsid w:val="005B3E43"/>
    <w:rsid w:val="005B63DE"/>
    <w:rsid w:val="005B7AE3"/>
    <w:rsid w:val="005C1933"/>
    <w:rsid w:val="005D0FFA"/>
    <w:rsid w:val="005D6411"/>
    <w:rsid w:val="005D6594"/>
    <w:rsid w:val="005D6A6C"/>
    <w:rsid w:val="005E0D94"/>
    <w:rsid w:val="005E1346"/>
    <w:rsid w:val="005E2822"/>
    <w:rsid w:val="005E3651"/>
    <w:rsid w:val="005E3661"/>
    <w:rsid w:val="005E377A"/>
    <w:rsid w:val="005E4DB2"/>
    <w:rsid w:val="005E696C"/>
    <w:rsid w:val="005F0521"/>
    <w:rsid w:val="005F262C"/>
    <w:rsid w:val="005F286E"/>
    <w:rsid w:val="005F4977"/>
    <w:rsid w:val="0060144B"/>
    <w:rsid w:val="006031A3"/>
    <w:rsid w:val="0060362D"/>
    <w:rsid w:val="00606A59"/>
    <w:rsid w:val="00606CEB"/>
    <w:rsid w:val="006108E0"/>
    <w:rsid w:val="00610B5B"/>
    <w:rsid w:val="006137CE"/>
    <w:rsid w:val="006141BB"/>
    <w:rsid w:val="00615365"/>
    <w:rsid w:val="006232B0"/>
    <w:rsid w:val="006245F6"/>
    <w:rsid w:val="00625456"/>
    <w:rsid w:val="00631D80"/>
    <w:rsid w:val="00633717"/>
    <w:rsid w:val="00635B09"/>
    <w:rsid w:val="00636B36"/>
    <w:rsid w:val="006415A1"/>
    <w:rsid w:val="0064384F"/>
    <w:rsid w:val="00643E8C"/>
    <w:rsid w:val="00644F87"/>
    <w:rsid w:val="00654033"/>
    <w:rsid w:val="00654D6B"/>
    <w:rsid w:val="006560CC"/>
    <w:rsid w:val="00660863"/>
    <w:rsid w:val="00660DD4"/>
    <w:rsid w:val="00664CA5"/>
    <w:rsid w:val="00665C64"/>
    <w:rsid w:val="006673B3"/>
    <w:rsid w:val="00667430"/>
    <w:rsid w:val="006707BC"/>
    <w:rsid w:val="00672C42"/>
    <w:rsid w:val="00672DBE"/>
    <w:rsid w:val="00674AC6"/>
    <w:rsid w:val="00681BE7"/>
    <w:rsid w:val="00683D1D"/>
    <w:rsid w:val="0068416A"/>
    <w:rsid w:val="00684B8E"/>
    <w:rsid w:val="00691066"/>
    <w:rsid w:val="006920E1"/>
    <w:rsid w:val="0069449F"/>
    <w:rsid w:val="0069683E"/>
    <w:rsid w:val="006978C0"/>
    <w:rsid w:val="006A08BA"/>
    <w:rsid w:val="006A1E80"/>
    <w:rsid w:val="006A28B2"/>
    <w:rsid w:val="006A2B73"/>
    <w:rsid w:val="006A3440"/>
    <w:rsid w:val="006A4C43"/>
    <w:rsid w:val="006A50B8"/>
    <w:rsid w:val="006A68B3"/>
    <w:rsid w:val="006A7D24"/>
    <w:rsid w:val="006A7FE9"/>
    <w:rsid w:val="006B0AF8"/>
    <w:rsid w:val="006B295E"/>
    <w:rsid w:val="006B3325"/>
    <w:rsid w:val="006B33C1"/>
    <w:rsid w:val="006B542B"/>
    <w:rsid w:val="006C1AB4"/>
    <w:rsid w:val="006C3324"/>
    <w:rsid w:val="006C3B38"/>
    <w:rsid w:val="006D4B43"/>
    <w:rsid w:val="006E0A51"/>
    <w:rsid w:val="006E0B2C"/>
    <w:rsid w:val="006E2114"/>
    <w:rsid w:val="006E2299"/>
    <w:rsid w:val="006E3E9F"/>
    <w:rsid w:val="006E5FBF"/>
    <w:rsid w:val="006E60D1"/>
    <w:rsid w:val="006E6396"/>
    <w:rsid w:val="006F1D86"/>
    <w:rsid w:val="006F3F02"/>
    <w:rsid w:val="006F7A42"/>
    <w:rsid w:val="007002AB"/>
    <w:rsid w:val="00701D62"/>
    <w:rsid w:val="0070641D"/>
    <w:rsid w:val="00711FB3"/>
    <w:rsid w:val="007212CD"/>
    <w:rsid w:val="007228AD"/>
    <w:rsid w:val="00724F21"/>
    <w:rsid w:val="00730543"/>
    <w:rsid w:val="00733ACF"/>
    <w:rsid w:val="00740BA1"/>
    <w:rsid w:val="00741A9B"/>
    <w:rsid w:val="00743D37"/>
    <w:rsid w:val="00744305"/>
    <w:rsid w:val="00744BB0"/>
    <w:rsid w:val="0074502C"/>
    <w:rsid w:val="0074665C"/>
    <w:rsid w:val="00746F17"/>
    <w:rsid w:val="00750BDB"/>
    <w:rsid w:val="00751511"/>
    <w:rsid w:val="00752712"/>
    <w:rsid w:val="0075362A"/>
    <w:rsid w:val="00760E78"/>
    <w:rsid w:val="007640A9"/>
    <w:rsid w:val="007668B8"/>
    <w:rsid w:val="00767637"/>
    <w:rsid w:val="00767E85"/>
    <w:rsid w:val="0077101E"/>
    <w:rsid w:val="00773181"/>
    <w:rsid w:val="007734AA"/>
    <w:rsid w:val="0077359C"/>
    <w:rsid w:val="00773BEB"/>
    <w:rsid w:val="00773CB5"/>
    <w:rsid w:val="007762B7"/>
    <w:rsid w:val="00776CA2"/>
    <w:rsid w:val="00783CA8"/>
    <w:rsid w:val="007871C3"/>
    <w:rsid w:val="00790634"/>
    <w:rsid w:val="00790641"/>
    <w:rsid w:val="0079192A"/>
    <w:rsid w:val="007924BC"/>
    <w:rsid w:val="00792F61"/>
    <w:rsid w:val="00793583"/>
    <w:rsid w:val="00793798"/>
    <w:rsid w:val="00796A1B"/>
    <w:rsid w:val="00796B89"/>
    <w:rsid w:val="00796EC9"/>
    <w:rsid w:val="007A24AF"/>
    <w:rsid w:val="007A32AF"/>
    <w:rsid w:val="007A61E0"/>
    <w:rsid w:val="007A7258"/>
    <w:rsid w:val="007B3CF2"/>
    <w:rsid w:val="007B4719"/>
    <w:rsid w:val="007B4A9A"/>
    <w:rsid w:val="007B6297"/>
    <w:rsid w:val="007B636E"/>
    <w:rsid w:val="007C7265"/>
    <w:rsid w:val="007D09AA"/>
    <w:rsid w:val="007D63DF"/>
    <w:rsid w:val="007E0230"/>
    <w:rsid w:val="007E038E"/>
    <w:rsid w:val="007E14A7"/>
    <w:rsid w:val="007E3833"/>
    <w:rsid w:val="007E4D4C"/>
    <w:rsid w:val="007E4F18"/>
    <w:rsid w:val="007E5862"/>
    <w:rsid w:val="007F01F5"/>
    <w:rsid w:val="007F39BF"/>
    <w:rsid w:val="007F42E1"/>
    <w:rsid w:val="007F4705"/>
    <w:rsid w:val="007F6AB9"/>
    <w:rsid w:val="007F78A1"/>
    <w:rsid w:val="007F7B3B"/>
    <w:rsid w:val="0080443A"/>
    <w:rsid w:val="00805346"/>
    <w:rsid w:val="0080580B"/>
    <w:rsid w:val="00811058"/>
    <w:rsid w:val="0081115F"/>
    <w:rsid w:val="008123B4"/>
    <w:rsid w:val="008130E2"/>
    <w:rsid w:val="008136E7"/>
    <w:rsid w:val="00813A48"/>
    <w:rsid w:val="00813B03"/>
    <w:rsid w:val="00815EA0"/>
    <w:rsid w:val="00817D1F"/>
    <w:rsid w:val="00822DAB"/>
    <w:rsid w:val="008257C4"/>
    <w:rsid w:val="00826BA4"/>
    <w:rsid w:val="00830B8B"/>
    <w:rsid w:val="00832646"/>
    <w:rsid w:val="0083270B"/>
    <w:rsid w:val="008344F0"/>
    <w:rsid w:val="00836CB0"/>
    <w:rsid w:val="008375CE"/>
    <w:rsid w:val="008376B4"/>
    <w:rsid w:val="00840531"/>
    <w:rsid w:val="0084122F"/>
    <w:rsid w:val="00845F09"/>
    <w:rsid w:val="0084620B"/>
    <w:rsid w:val="00846FDC"/>
    <w:rsid w:val="008478A1"/>
    <w:rsid w:val="0084796F"/>
    <w:rsid w:val="00850F7B"/>
    <w:rsid w:val="008535AA"/>
    <w:rsid w:val="00854897"/>
    <w:rsid w:val="0085536D"/>
    <w:rsid w:val="00857B81"/>
    <w:rsid w:val="008609C4"/>
    <w:rsid w:val="00862C4E"/>
    <w:rsid w:val="0086361D"/>
    <w:rsid w:val="00866DC6"/>
    <w:rsid w:val="00872EFB"/>
    <w:rsid w:val="00873F58"/>
    <w:rsid w:val="00875E34"/>
    <w:rsid w:val="008808B8"/>
    <w:rsid w:val="00880CEE"/>
    <w:rsid w:val="008849F5"/>
    <w:rsid w:val="00885789"/>
    <w:rsid w:val="008871BF"/>
    <w:rsid w:val="00893EE5"/>
    <w:rsid w:val="00894C81"/>
    <w:rsid w:val="00895C63"/>
    <w:rsid w:val="00896605"/>
    <w:rsid w:val="00896B62"/>
    <w:rsid w:val="00897F9B"/>
    <w:rsid w:val="008A7A79"/>
    <w:rsid w:val="008B0E64"/>
    <w:rsid w:val="008B68F3"/>
    <w:rsid w:val="008B6B04"/>
    <w:rsid w:val="008B7491"/>
    <w:rsid w:val="008C0C42"/>
    <w:rsid w:val="008C1264"/>
    <w:rsid w:val="008C12D2"/>
    <w:rsid w:val="008C3EB3"/>
    <w:rsid w:val="008C48AF"/>
    <w:rsid w:val="008C77C6"/>
    <w:rsid w:val="008D1418"/>
    <w:rsid w:val="008D5AAD"/>
    <w:rsid w:val="008D7F17"/>
    <w:rsid w:val="008E307C"/>
    <w:rsid w:val="008E3F5F"/>
    <w:rsid w:val="008F0033"/>
    <w:rsid w:val="008F5A4B"/>
    <w:rsid w:val="008F5A4C"/>
    <w:rsid w:val="00900EA3"/>
    <w:rsid w:val="0090304B"/>
    <w:rsid w:val="00912326"/>
    <w:rsid w:val="009131C7"/>
    <w:rsid w:val="00913BEE"/>
    <w:rsid w:val="009141A1"/>
    <w:rsid w:val="00915F89"/>
    <w:rsid w:val="009170FD"/>
    <w:rsid w:val="00917A3A"/>
    <w:rsid w:val="0092023D"/>
    <w:rsid w:val="00925B49"/>
    <w:rsid w:val="00926FC3"/>
    <w:rsid w:val="009307BA"/>
    <w:rsid w:val="00930E57"/>
    <w:rsid w:val="00932595"/>
    <w:rsid w:val="00932E20"/>
    <w:rsid w:val="00933BC3"/>
    <w:rsid w:val="0093650A"/>
    <w:rsid w:val="00940E76"/>
    <w:rsid w:val="0094178D"/>
    <w:rsid w:val="009424CC"/>
    <w:rsid w:val="00944309"/>
    <w:rsid w:val="00945A23"/>
    <w:rsid w:val="00946763"/>
    <w:rsid w:val="00953FA5"/>
    <w:rsid w:val="00961D50"/>
    <w:rsid w:val="00962EFB"/>
    <w:rsid w:val="00963059"/>
    <w:rsid w:val="00964226"/>
    <w:rsid w:val="00966A0B"/>
    <w:rsid w:val="00967522"/>
    <w:rsid w:val="0096778F"/>
    <w:rsid w:val="00970E38"/>
    <w:rsid w:val="00972D75"/>
    <w:rsid w:val="00973175"/>
    <w:rsid w:val="009746EE"/>
    <w:rsid w:val="009747B4"/>
    <w:rsid w:val="00976E8B"/>
    <w:rsid w:val="00980AB5"/>
    <w:rsid w:val="0098321F"/>
    <w:rsid w:val="009839A0"/>
    <w:rsid w:val="00983F94"/>
    <w:rsid w:val="0098420E"/>
    <w:rsid w:val="00986711"/>
    <w:rsid w:val="00990960"/>
    <w:rsid w:val="0099236A"/>
    <w:rsid w:val="009A0E34"/>
    <w:rsid w:val="009A4442"/>
    <w:rsid w:val="009B0CCD"/>
    <w:rsid w:val="009B137E"/>
    <w:rsid w:val="009B173F"/>
    <w:rsid w:val="009B4753"/>
    <w:rsid w:val="009B51B3"/>
    <w:rsid w:val="009B6928"/>
    <w:rsid w:val="009C0990"/>
    <w:rsid w:val="009C1B31"/>
    <w:rsid w:val="009C25EB"/>
    <w:rsid w:val="009C48B5"/>
    <w:rsid w:val="009C65D6"/>
    <w:rsid w:val="009C72B2"/>
    <w:rsid w:val="009D1A13"/>
    <w:rsid w:val="009D447D"/>
    <w:rsid w:val="009D6465"/>
    <w:rsid w:val="009D6F8E"/>
    <w:rsid w:val="009E33BE"/>
    <w:rsid w:val="009E3A53"/>
    <w:rsid w:val="009E63B1"/>
    <w:rsid w:val="009F1994"/>
    <w:rsid w:val="009F3954"/>
    <w:rsid w:val="009F4FA9"/>
    <w:rsid w:val="009F6A76"/>
    <w:rsid w:val="00A036D3"/>
    <w:rsid w:val="00A04815"/>
    <w:rsid w:val="00A11E36"/>
    <w:rsid w:val="00A135FA"/>
    <w:rsid w:val="00A2097F"/>
    <w:rsid w:val="00A21400"/>
    <w:rsid w:val="00A225E4"/>
    <w:rsid w:val="00A23169"/>
    <w:rsid w:val="00A264C3"/>
    <w:rsid w:val="00A26E9B"/>
    <w:rsid w:val="00A26FBD"/>
    <w:rsid w:val="00A33406"/>
    <w:rsid w:val="00A34600"/>
    <w:rsid w:val="00A35480"/>
    <w:rsid w:val="00A35713"/>
    <w:rsid w:val="00A35D29"/>
    <w:rsid w:val="00A35FA1"/>
    <w:rsid w:val="00A36EB6"/>
    <w:rsid w:val="00A41155"/>
    <w:rsid w:val="00A41803"/>
    <w:rsid w:val="00A4312E"/>
    <w:rsid w:val="00A44263"/>
    <w:rsid w:val="00A44E56"/>
    <w:rsid w:val="00A4540C"/>
    <w:rsid w:val="00A47116"/>
    <w:rsid w:val="00A500F5"/>
    <w:rsid w:val="00A52208"/>
    <w:rsid w:val="00A53219"/>
    <w:rsid w:val="00A55B47"/>
    <w:rsid w:val="00A5659B"/>
    <w:rsid w:val="00A5686F"/>
    <w:rsid w:val="00A60DD0"/>
    <w:rsid w:val="00A62EFE"/>
    <w:rsid w:val="00A63742"/>
    <w:rsid w:val="00A63782"/>
    <w:rsid w:val="00A65D85"/>
    <w:rsid w:val="00A6705C"/>
    <w:rsid w:val="00A7181B"/>
    <w:rsid w:val="00A73BDE"/>
    <w:rsid w:val="00A74D24"/>
    <w:rsid w:val="00A756AE"/>
    <w:rsid w:val="00A764F3"/>
    <w:rsid w:val="00A76CCD"/>
    <w:rsid w:val="00A81168"/>
    <w:rsid w:val="00A81C24"/>
    <w:rsid w:val="00A8409D"/>
    <w:rsid w:val="00A85F4C"/>
    <w:rsid w:val="00A93DFF"/>
    <w:rsid w:val="00A9638B"/>
    <w:rsid w:val="00A969D2"/>
    <w:rsid w:val="00AA116A"/>
    <w:rsid w:val="00AA4F79"/>
    <w:rsid w:val="00AA555E"/>
    <w:rsid w:val="00AA640A"/>
    <w:rsid w:val="00AA712A"/>
    <w:rsid w:val="00AB1687"/>
    <w:rsid w:val="00AB2D40"/>
    <w:rsid w:val="00AB3649"/>
    <w:rsid w:val="00AB585D"/>
    <w:rsid w:val="00AB68CE"/>
    <w:rsid w:val="00AB77BB"/>
    <w:rsid w:val="00AC25BB"/>
    <w:rsid w:val="00AC281C"/>
    <w:rsid w:val="00AC3997"/>
    <w:rsid w:val="00AC5520"/>
    <w:rsid w:val="00AD0F35"/>
    <w:rsid w:val="00AD34CE"/>
    <w:rsid w:val="00AD3C4C"/>
    <w:rsid w:val="00AD7625"/>
    <w:rsid w:val="00AD790C"/>
    <w:rsid w:val="00AE22AF"/>
    <w:rsid w:val="00AE2FCC"/>
    <w:rsid w:val="00AE76C1"/>
    <w:rsid w:val="00AF0E73"/>
    <w:rsid w:val="00AF0F95"/>
    <w:rsid w:val="00AF1845"/>
    <w:rsid w:val="00AF20F9"/>
    <w:rsid w:val="00AF32E1"/>
    <w:rsid w:val="00AF4031"/>
    <w:rsid w:val="00AF7414"/>
    <w:rsid w:val="00AF7AB9"/>
    <w:rsid w:val="00B00B99"/>
    <w:rsid w:val="00B03414"/>
    <w:rsid w:val="00B03532"/>
    <w:rsid w:val="00B073D2"/>
    <w:rsid w:val="00B075B2"/>
    <w:rsid w:val="00B07C8E"/>
    <w:rsid w:val="00B10D02"/>
    <w:rsid w:val="00B120B9"/>
    <w:rsid w:val="00B12986"/>
    <w:rsid w:val="00B13A2E"/>
    <w:rsid w:val="00B15085"/>
    <w:rsid w:val="00B17785"/>
    <w:rsid w:val="00B17D5C"/>
    <w:rsid w:val="00B20A5F"/>
    <w:rsid w:val="00B21A17"/>
    <w:rsid w:val="00B262B3"/>
    <w:rsid w:val="00B30BB9"/>
    <w:rsid w:val="00B3116D"/>
    <w:rsid w:val="00B32F18"/>
    <w:rsid w:val="00B33022"/>
    <w:rsid w:val="00B34BAB"/>
    <w:rsid w:val="00B40819"/>
    <w:rsid w:val="00B45EC8"/>
    <w:rsid w:val="00B4727E"/>
    <w:rsid w:val="00B50C0F"/>
    <w:rsid w:val="00B57BE8"/>
    <w:rsid w:val="00B64437"/>
    <w:rsid w:val="00B701A5"/>
    <w:rsid w:val="00B7023E"/>
    <w:rsid w:val="00B703D6"/>
    <w:rsid w:val="00B72EF0"/>
    <w:rsid w:val="00B82543"/>
    <w:rsid w:val="00B82827"/>
    <w:rsid w:val="00B82C6F"/>
    <w:rsid w:val="00B82CA0"/>
    <w:rsid w:val="00B83CCB"/>
    <w:rsid w:val="00B85BE5"/>
    <w:rsid w:val="00B9108A"/>
    <w:rsid w:val="00B927EA"/>
    <w:rsid w:val="00B9507A"/>
    <w:rsid w:val="00B96DE0"/>
    <w:rsid w:val="00BA20CB"/>
    <w:rsid w:val="00BA20F2"/>
    <w:rsid w:val="00BA2621"/>
    <w:rsid w:val="00BA3B37"/>
    <w:rsid w:val="00BA4171"/>
    <w:rsid w:val="00BA5732"/>
    <w:rsid w:val="00BA6871"/>
    <w:rsid w:val="00BB141F"/>
    <w:rsid w:val="00BB3362"/>
    <w:rsid w:val="00BB3D8F"/>
    <w:rsid w:val="00BB4492"/>
    <w:rsid w:val="00BB71B2"/>
    <w:rsid w:val="00BB7BE1"/>
    <w:rsid w:val="00BC1BEF"/>
    <w:rsid w:val="00BC2451"/>
    <w:rsid w:val="00BC3E26"/>
    <w:rsid w:val="00BC4C26"/>
    <w:rsid w:val="00BC4F88"/>
    <w:rsid w:val="00BD0D50"/>
    <w:rsid w:val="00BD15B4"/>
    <w:rsid w:val="00BD1A08"/>
    <w:rsid w:val="00BD2337"/>
    <w:rsid w:val="00BE0C70"/>
    <w:rsid w:val="00BE4CBD"/>
    <w:rsid w:val="00BE5DDB"/>
    <w:rsid w:val="00BF060B"/>
    <w:rsid w:val="00BF2D05"/>
    <w:rsid w:val="00BF2DB6"/>
    <w:rsid w:val="00BF2FF1"/>
    <w:rsid w:val="00BF3797"/>
    <w:rsid w:val="00BF449F"/>
    <w:rsid w:val="00BF4F84"/>
    <w:rsid w:val="00C0024D"/>
    <w:rsid w:val="00C004A7"/>
    <w:rsid w:val="00C03A2A"/>
    <w:rsid w:val="00C044AF"/>
    <w:rsid w:val="00C07B65"/>
    <w:rsid w:val="00C10030"/>
    <w:rsid w:val="00C10945"/>
    <w:rsid w:val="00C1521F"/>
    <w:rsid w:val="00C21A96"/>
    <w:rsid w:val="00C25133"/>
    <w:rsid w:val="00C30F72"/>
    <w:rsid w:val="00C31B9F"/>
    <w:rsid w:val="00C324EA"/>
    <w:rsid w:val="00C32D95"/>
    <w:rsid w:val="00C3452E"/>
    <w:rsid w:val="00C35220"/>
    <w:rsid w:val="00C36255"/>
    <w:rsid w:val="00C37494"/>
    <w:rsid w:val="00C43663"/>
    <w:rsid w:val="00C439E1"/>
    <w:rsid w:val="00C451BC"/>
    <w:rsid w:val="00C46DD0"/>
    <w:rsid w:val="00C47770"/>
    <w:rsid w:val="00C5080F"/>
    <w:rsid w:val="00C52331"/>
    <w:rsid w:val="00C528E2"/>
    <w:rsid w:val="00C57E10"/>
    <w:rsid w:val="00C6075B"/>
    <w:rsid w:val="00C60C37"/>
    <w:rsid w:val="00C639C8"/>
    <w:rsid w:val="00C63D06"/>
    <w:rsid w:val="00C65709"/>
    <w:rsid w:val="00C700C3"/>
    <w:rsid w:val="00C7146B"/>
    <w:rsid w:val="00C71967"/>
    <w:rsid w:val="00C71D13"/>
    <w:rsid w:val="00C72B60"/>
    <w:rsid w:val="00C7492F"/>
    <w:rsid w:val="00C773B3"/>
    <w:rsid w:val="00C77BEC"/>
    <w:rsid w:val="00C8094E"/>
    <w:rsid w:val="00C852B3"/>
    <w:rsid w:val="00C8662D"/>
    <w:rsid w:val="00C871D0"/>
    <w:rsid w:val="00C9163E"/>
    <w:rsid w:val="00C91B40"/>
    <w:rsid w:val="00C92068"/>
    <w:rsid w:val="00C93604"/>
    <w:rsid w:val="00C9631C"/>
    <w:rsid w:val="00C97AD3"/>
    <w:rsid w:val="00CA2B7F"/>
    <w:rsid w:val="00CA6F6D"/>
    <w:rsid w:val="00CB16F3"/>
    <w:rsid w:val="00CB38E9"/>
    <w:rsid w:val="00CB457F"/>
    <w:rsid w:val="00CB4E3B"/>
    <w:rsid w:val="00CB50F9"/>
    <w:rsid w:val="00CB540B"/>
    <w:rsid w:val="00CB5BDE"/>
    <w:rsid w:val="00CC2236"/>
    <w:rsid w:val="00CC33C3"/>
    <w:rsid w:val="00CC3CDE"/>
    <w:rsid w:val="00CC46E1"/>
    <w:rsid w:val="00CC5289"/>
    <w:rsid w:val="00CD06D0"/>
    <w:rsid w:val="00CD4BEC"/>
    <w:rsid w:val="00CD7AF8"/>
    <w:rsid w:val="00CE044B"/>
    <w:rsid w:val="00CE0461"/>
    <w:rsid w:val="00CE0B7F"/>
    <w:rsid w:val="00CE1DC8"/>
    <w:rsid w:val="00CE2905"/>
    <w:rsid w:val="00CE708C"/>
    <w:rsid w:val="00CF0537"/>
    <w:rsid w:val="00CF2B14"/>
    <w:rsid w:val="00CF3F88"/>
    <w:rsid w:val="00CF564E"/>
    <w:rsid w:val="00CF73C4"/>
    <w:rsid w:val="00D007C7"/>
    <w:rsid w:val="00D03574"/>
    <w:rsid w:val="00D03A1F"/>
    <w:rsid w:val="00D0501C"/>
    <w:rsid w:val="00D11C0B"/>
    <w:rsid w:val="00D16613"/>
    <w:rsid w:val="00D16C8F"/>
    <w:rsid w:val="00D170A3"/>
    <w:rsid w:val="00D17D17"/>
    <w:rsid w:val="00D21140"/>
    <w:rsid w:val="00D2175E"/>
    <w:rsid w:val="00D23091"/>
    <w:rsid w:val="00D2485E"/>
    <w:rsid w:val="00D41A52"/>
    <w:rsid w:val="00D423F7"/>
    <w:rsid w:val="00D4280A"/>
    <w:rsid w:val="00D4293E"/>
    <w:rsid w:val="00D42A6E"/>
    <w:rsid w:val="00D44361"/>
    <w:rsid w:val="00D444BE"/>
    <w:rsid w:val="00D466E6"/>
    <w:rsid w:val="00D47CD9"/>
    <w:rsid w:val="00D5004F"/>
    <w:rsid w:val="00D51C4E"/>
    <w:rsid w:val="00D51DC8"/>
    <w:rsid w:val="00D5254E"/>
    <w:rsid w:val="00D53D86"/>
    <w:rsid w:val="00D54DB9"/>
    <w:rsid w:val="00D61AA0"/>
    <w:rsid w:val="00D6362A"/>
    <w:rsid w:val="00D63F3B"/>
    <w:rsid w:val="00D64BFC"/>
    <w:rsid w:val="00D661CD"/>
    <w:rsid w:val="00D7034A"/>
    <w:rsid w:val="00D74DC1"/>
    <w:rsid w:val="00D7578B"/>
    <w:rsid w:val="00D82BAE"/>
    <w:rsid w:val="00D82CD4"/>
    <w:rsid w:val="00D84EC2"/>
    <w:rsid w:val="00D90F38"/>
    <w:rsid w:val="00D90FF6"/>
    <w:rsid w:val="00D91FDA"/>
    <w:rsid w:val="00D9437A"/>
    <w:rsid w:val="00D95E68"/>
    <w:rsid w:val="00D965C5"/>
    <w:rsid w:val="00D965DE"/>
    <w:rsid w:val="00D9772E"/>
    <w:rsid w:val="00DA0CF0"/>
    <w:rsid w:val="00DA27BE"/>
    <w:rsid w:val="00DA642B"/>
    <w:rsid w:val="00DB1683"/>
    <w:rsid w:val="00DB2D88"/>
    <w:rsid w:val="00DB32D7"/>
    <w:rsid w:val="00DC0E6D"/>
    <w:rsid w:val="00DC1863"/>
    <w:rsid w:val="00DC1985"/>
    <w:rsid w:val="00DC32A2"/>
    <w:rsid w:val="00DC3C5D"/>
    <w:rsid w:val="00DC55AC"/>
    <w:rsid w:val="00DC563D"/>
    <w:rsid w:val="00DC5DCC"/>
    <w:rsid w:val="00DC7A20"/>
    <w:rsid w:val="00DD07B1"/>
    <w:rsid w:val="00DD1DB3"/>
    <w:rsid w:val="00DD3048"/>
    <w:rsid w:val="00DD514D"/>
    <w:rsid w:val="00DD5925"/>
    <w:rsid w:val="00DD6A5B"/>
    <w:rsid w:val="00DE175F"/>
    <w:rsid w:val="00DE2F09"/>
    <w:rsid w:val="00DE3008"/>
    <w:rsid w:val="00DE36CE"/>
    <w:rsid w:val="00DE40B1"/>
    <w:rsid w:val="00DF1EC2"/>
    <w:rsid w:val="00DF2A24"/>
    <w:rsid w:val="00DF2C7B"/>
    <w:rsid w:val="00DF3DD8"/>
    <w:rsid w:val="00DF6D33"/>
    <w:rsid w:val="00DF7537"/>
    <w:rsid w:val="00E00B99"/>
    <w:rsid w:val="00E015A2"/>
    <w:rsid w:val="00E0210F"/>
    <w:rsid w:val="00E03FA2"/>
    <w:rsid w:val="00E061AF"/>
    <w:rsid w:val="00E110D7"/>
    <w:rsid w:val="00E12715"/>
    <w:rsid w:val="00E15F47"/>
    <w:rsid w:val="00E1608F"/>
    <w:rsid w:val="00E16204"/>
    <w:rsid w:val="00E16301"/>
    <w:rsid w:val="00E17C15"/>
    <w:rsid w:val="00E2118E"/>
    <w:rsid w:val="00E224C5"/>
    <w:rsid w:val="00E239DA"/>
    <w:rsid w:val="00E30485"/>
    <w:rsid w:val="00E33604"/>
    <w:rsid w:val="00E33815"/>
    <w:rsid w:val="00E4099C"/>
    <w:rsid w:val="00E4168A"/>
    <w:rsid w:val="00E441DB"/>
    <w:rsid w:val="00E44251"/>
    <w:rsid w:val="00E44FA8"/>
    <w:rsid w:val="00E45865"/>
    <w:rsid w:val="00E466B3"/>
    <w:rsid w:val="00E509A9"/>
    <w:rsid w:val="00E527E9"/>
    <w:rsid w:val="00E54196"/>
    <w:rsid w:val="00E54685"/>
    <w:rsid w:val="00E55C2C"/>
    <w:rsid w:val="00E611D9"/>
    <w:rsid w:val="00E62D3B"/>
    <w:rsid w:val="00E62F2B"/>
    <w:rsid w:val="00E6798B"/>
    <w:rsid w:val="00E71890"/>
    <w:rsid w:val="00E747E4"/>
    <w:rsid w:val="00E752D9"/>
    <w:rsid w:val="00E754B1"/>
    <w:rsid w:val="00E75838"/>
    <w:rsid w:val="00E7633A"/>
    <w:rsid w:val="00E76B06"/>
    <w:rsid w:val="00E770AE"/>
    <w:rsid w:val="00E77E9A"/>
    <w:rsid w:val="00E81334"/>
    <w:rsid w:val="00E838F8"/>
    <w:rsid w:val="00E84B66"/>
    <w:rsid w:val="00E91A01"/>
    <w:rsid w:val="00E94432"/>
    <w:rsid w:val="00E9791A"/>
    <w:rsid w:val="00E97D61"/>
    <w:rsid w:val="00EA1FE5"/>
    <w:rsid w:val="00EA29DF"/>
    <w:rsid w:val="00EA2C91"/>
    <w:rsid w:val="00EA7FE9"/>
    <w:rsid w:val="00EB0C3F"/>
    <w:rsid w:val="00EB36A5"/>
    <w:rsid w:val="00EB39F5"/>
    <w:rsid w:val="00EB41AD"/>
    <w:rsid w:val="00EB4227"/>
    <w:rsid w:val="00EB4A6D"/>
    <w:rsid w:val="00EB7487"/>
    <w:rsid w:val="00EC1231"/>
    <w:rsid w:val="00EC24EF"/>
    <w:rsid w:val="00EC2EE0"/>
    <w:rsid w:val="00EC6668"/>
    <w:rsid w:val="00EC763F"/>
    <w:rsid w:val="00EC7D42"/>
    <w:rsid w:val="00ED0856"/>
    <w:rsid w:val="00ED0B4A"/>
    <w:rsid w:val="00ED29C5"/>
    <w:rsid w:val="00ED3591"/>
    <w:rsid w:val="00ED3F4E"/>
    <w:rsid w:val="00ED4856"/>
    <w:rsid w:val="00EE0E2B"/>
    <w:rsid w:val="00EE4164"/>
    <w:rsid w:val="00EE6027"/>
    <w:rsid w:val="00EF03C0"/>
    <w:rsid w:val="00EF066F"/>
    <w:rsid w:val="00EF2611"/>
    <w:rsid w:val="00EF38BE"/>
    <w:rsid w:val="00EF427E"/>
    <w:rsid w:val="00EF64E4"/>
    <w:rsid w:val="00EF7680"/>
    <w:rsid w:val="00F05347"/>
    <w:rsid w:val="00F056CD"/>
    <w:rsid w:val="00F05927"/>
    <w:rsid w:val="00F10161"/>
    <w:rsid w:val="00F10BA4"/>
    <w:rsid w:val="00F12408"/>
    <w:rsid w:val="00F133A2"/>
    <w:rsid w:val="00F13A74"/>
    <w:rsid w:val="00F1681E"/>
    <w:rsid w:val="00F16CF1"/>
    <w:rsid w:val="00F173CE"/>
    <w:rsid w:val="00F21105"/>
    <w:rsid w:val="00F22B27"/>
    <w:rsid w:val="00F2312F"/>
    <w:rsid w:val="00F23D12"/>
    <w:rsid w:val="00F24C05"/>
    <w:rsid w:val="00F319A7"/>
    <w:rsid w:val="00F334C0"/>
    <w:rsid w:val="00F36F9E"/>
    <w:rsid w:val="00F41E6D"/>
    <w:rsid w:val="00F4220C"/>
    <w:rsid w:val="00F46763"/>
    <w:rsid w:val="00F470F8"/>
    <w:rsid w:val="00F51C1B"/>
    <w:rsid w:val="00F51D37"/>
    <w:rsid w:val="00F5231E"/>
    <w:rsid w:val="00F52680"/>
    <w:rsid w:val="00F56BCC"/>
    <w:rsid w:val="00F60DFD"/>
    <w:rsid w:val="00F62D97"/>
    <w:rsid w:val="00F700B4"/>
    <w:rsid w:val="00F74ECC"/>
    <w:rsid w:val="00F81499"/>
    <w:rsid w:val="00F819D3"/>
    <w:rsid w:val="00F81C5A"/>
    <w:rsid w:val="00F81D3D"/>
    <w:rsid w:val="00F82F6A"/>
    <w:rsid w:val="00F83511"/>
    <w:rsid w:val="00F85FC4"/>
    <w:rsid w:val="00FA4797"/>
    <w:rsid w:val="00FB1CD2"/>
    <w:rsid w:val="00FB233A"/>
    <w:rsid w:val="00FB287E"/>
    <w:rsid w:val="00FC22A5"/>
    <w:rsid w:val="00FD2B98"/>
    <w:rsid w:val="00FD4A39"/>
    <w:rsid w:val="00FD7893"/>
    <w:rsid w:val="00FE0FD5"/>
    <w:rsid w:val="00FE2DB9"/>
    <w:rsid w:val="00FE35CE"/>
    <w:rsid w:val="00FE5F13"/>
    <w:rsid w:val="00FE6080"/>
    <w:rsid w:val="00FE657D"/>
    <w:rsid w:val="00FF43AE"/>
    <w:rsid w:val="011A48DE"/>
    <w:rsid w:val="01AA629E"/>
    <w:rsid w:val="01CE3249"/>
    <w:rsid w:val="01FA184C"/>
    <w:rsid w:val="022710BA"/>
    <w:rsid w:val="02702D13"/>
    <w:rsid w:val="02D82A8B"/>
    <w:rsid w:val="030D5A67"/>
    <w:rsid w:val="033B51A4"/>
    <w:rsid w:val="03513F94"/>
    <w:rsid w:val="03782E3B"/>
    <w:rsid w:val="03A047F4"/>
    <w:rsid w:val="03F31506"/>
    <w:rsid w:val="04133E92"/>
    <w:rsid w:val="043C515E"/>
    <w:rsid w:val="04BB18FB"/>
    <w:rsid w:val="054B35C3"/>
    <w:rsid w:val="05F15DFC"/>
    <w:rsid w:val="06572263"/>
    <w:rsid w:val="065D232C"/>
    <w:rsid w:val="075E180F"/>
    <w:rsid w:val="076332A4"/>
    <w:rsid w:val="07886E28"/>
    <w:rsid w:val="07897BE4"/>
    <w:rsid w:val="07B364CD"/>
    <w:rsid w:val="07FF2995"/>
    <w:rsid w:val="082E5A20"/>
    <w:rsid w:val="0836547E"/>
    <w:rsid w:val="0846745A"/>
    <w:rsid w:val="09180606"/>
    <w:rsid w:val="096C4979"/>
    <w:rsid w:val="098D6B15"/>
    <w:rsid w:val="099743C3"/>
    <w:rsid w:val="0AD6514D"/>
    <w:rsid w:val="0B4C706B"/>
    <w:rsid w:val="0BFB189F"/>
    <w:rsid w:val="0C963664"/>
    <w:rsid w:val="0C9746E6"/>
    <w:rsid w:val="0D5F453B"/>
    <w:rsid w:val="0D9B0334"/>
    <w:rsid w:val="0D9D6C56"/>
    <w:rsid w:val="0E643BC1"/>
    <w:rsid w:val="0E654AB5"/>
    <w:rsid w:val="0E8C619D"/>
    <w:rsid w:val="0ED057F6"/>
    <w:rsid w:val="0F1522AA"/>
    <w:rsid w:val="0F544C03"/>
    <w:rsid w:val="0F9F4701"/>
    <w:rsid w:val="105E2D2F"/>
    <w:rsid w:val="11146A0D"/>
    <w:rsid w:val="112453F4"/>
    <w:rsid w:val="11B816B3"/>
    <w:rsid w:val="11D9700E"/>
    <w:rsid w:val="12521A5F"/>
    <w:rsid w:val="12715B35"/>
    <w:rsid w:val="12A6417B"/>
    <w:rsid w:val="12A74DE9"/>
    <w:rsid w:val="12BC1375"/>
    <w:rsid w:val="142721C6"/>
    <w:rsid w:val="146A7092"/>
    <w:rsid w:val="147D77EC"/>
    <w:rsid w:val="14F334DA"/>
    <w:rsid w:val="15037091"/>
    <w:rsid w:val="152972F9"/>
    <w:rsid w:val="1530433D"/>
    <w:rsid w:val="161B03C5"/>
    <w:rsid w:val="1637067E"/>
    <w:rsid w:val="16C80564"/>
    <w:rsid w:val="16D87E3F"/>
    <w:rsid w:val="171B2A49"/>
    <w:rsid w:val="17966F45"/>
    <w:rsid w:val="17A24CD2"/>
    <w:rsid w:val="17B7335C"/>
    <w:rsid w:val="18353797"/>
    <w:rsid w:val="183A2487"/>
    <w:rsid w:val="18400E6B"/>
    <w:rsid w:val="18CF3279"/>
    <w:rsid w:val="19442173"/>
    <w:rsid w:val="19891F0D"/>
    <w:rsid w:val="19A55D20"/>
    <w:rsid w:val="19F12863"/>
    <w:rsid w:val="1A0B2882"/>
    <w:rsid w:val="1A441D56"/>
    <w:rsid w:val="1A5F06D2"/>
    <w:rsid w:val="1A665C7E"/>
    <w:rsid w:val="1A815666"/>
    <w:rsid w:val="1A8547E2"/>
    <w:rsid w:val="1AFF0978"/>
    <w:rsid w:val="1B34130B"/>
    <w:rsid w:val="1B3E436C"/>
    <w:rsid w:val="1B585634"/>
    <w:rsid w:val="1B6B185E"/>
    <w:rsid w:val="1B9943A3"/>
    <w:rsid w:val="1BB626F9"/>
    <w:rsid w:val="1C6643F1"/>
    <w:rsid w:val="1C8A6C11"/>
    <w:rsid w:val="1D192654"/>
    <w:rsid w:val="1D8B71EE"/>
    <w:rsid w:val="1E264070"/>
    <w:rsid w:val="1E2B2118"/>
    <w:rsid w:val="1E3A36E9"/>
    <w:rsid w:val="1EB365F2"/>
    <w:rsid w:val="1F662C53"/>
    <w:rsid w:val="1F774A0F"/>
    <w:rsid w:val="20C64C8E"/>
    <w:rsid w:val="20C81E87"/>
    <w:rsid w:val="20ED5EA4"/>
    <w:rsid w:val="2108782B"/>
    <w:rsid w:val="221D6836"/>
    <w:rsid w:val="225D5CF1"/>
    <w:rsid w:val="22A261BC"/>
    <w:rsid w:val="22BF2BF7"/>
    <w:rsid w:val="22C13848"/>
    <w:rsid w:val="2321532E"/>
    <w:rsid w:val="23A14683"/>
    <w:rsid w:val="23D54378"/>
    <w:rsid w:val="24313FD3"/>
    <w:rsid w:val="24717D27"/>
    <w:rsid w:val="24791633"/>
    <w:rsid w:val="24AB339B"/>
    <w:rsid w:val="24B70FB7"/>
    <w:rsid w:val="24EB4C16"/>
    <w:rsid w:val="255C6CD6"/>
    <w:rsid w:val="25793FDD"/>
    <w:rsid w:val="25B20FA4"/>
    <w:rsid w:val="2662500B"/>
    <w:rsid w:val="267146B8"/>
    <w:rsid w:val="267545FE"/>
    <w:rsid w:val="26CE5A28"/>
    <w:rsid w:val="26EC3670"/>
    <w:rsid w:val="2A2854F8"/>
    <w:rsid w:val="2A4A2226"/>
    <w:rsid w:val="2A8F7109"/>
    <w:rsid w:val="2AB23619"/>
    <w:rsid w:val="2AFE7521"/>
    <w:rsid w:val="2B0025D7"/>
    <w:rsid w:val="2B4A4C7B"/>
    <w:rsid w:val="2B7E0DA6"/>
    <w:rsid w:val="2B8F5702"/>
    <w:rsid w:val="2B977972"/>
    <w:rsid w:val="2C7B3874"/>
    <w:rsid w:val="2CBA54E8"/>
    <w:rsid w:val="2D1F45EA"/>
    <w:rsid w:val="2D384148"/>
    <w:rsid w:val="2D9652BB"/>
    <w:rsid w:val="2E0B70D6"/>
    <w:rsid w:val="2E914519"/>
    <w:rsid w:val="2F5918A0"/>
    <w:rsid w:val="30B265ED"/>
    <w:rsid w:val="30B56C14"/>
    <w:rsid w:val="31453941"/>
    <w:rsid w:val="31B654BE"/>
    <w:rsid w:val="31CE5393"/>
    <w:rsid w:val="32023BBD"/>
    <w:rsid w:val="323503DD"/>
    <w:rsid w:val="324B1B69"/>
    <w:rsid w:val="3276776F"/>
    <w:rsid w:val="32C66019"/>
    <w:rsid w:val="32E107F7"/>
    <w:rsid w:val="33240E2C"/>
    <w:rsid w:val="34134847"/>
    <w:rsid w:val="34367069"/>
    <w:rsid w:val="34897599"/>
    <w:rsid w:val="351467D2"/>
    <w:rsid w:val="35682992"/>
    <w:rsid w:val="358B3378"/>
    <w:rsid w:val="35AA20B1"/>
    <w:rsid w:val="361614F2"/>
    <w:rsid w:val="362C6645"/>
    <w:rsid w:val="36E82F26"/>
    <w:rsid w:val="37084ECB"/>
    <w:rsid w:val="3767662C"/>
    <w:rsid w:val="37D42607"/>
    <w:rsid w:val="38145DEC"/>
    <w:rsid w:val="381505E3"/>
    <w:rsid w:val="38665B99"/>
    <w:rsid w:val="39B433F1"/>
    <w:rsid w:val="39CB0306"/>
    <w:rsid w:val="3A7D14AD"/>
    <w:rsid w:val="3B164422"/>
    <w:rsid w:val="3BFF67A1"/>
    <w:rsid w:val="3C495460"/>
    <w:rsid w:val="3C9444C4"/>
    <w:rsid w:val="3D2959BD"/>
    <w:rsid w:val="3D6D242C"/>
    <w:rsid w:val="3D8467B0"/>
    <w:rsid w:val="3D893A29"/>
    <w:rsid w:val="3D9C1438"/>
    <w:rsid w:val="3DD0315F"/>
    <w:rsid w:val="3ED33BAA"/>
    <w:rsid w:val="3ED74DCE"/>
    <w:rsid w:val="3EE16A9B"/>
    <w:rsid w:val="3F3D4AE2"/>
    <w:rsid w:val="3FF83425"/>
    <w:rsid w:val="404237CB"/>
    <w:rsid w:val="406A0C40"/>
    <w:rsid w:val="415012FF"/>
    <w:rsid w:val="416D7ED9"/>
    <w:rsid w:val="41965C39"/>
    <w:rsid w:val="422363EF"/>
    <w:rsid w:val="42817044"/>
    <w:rsid w:val="436A51D8"/>
    <w:rsid w:val="436D5ED7"/>
    <w:rsid w:val="43965164"/>
    <w:rsid w:val="440E2174"/>
    <w:rsid w:val="44544957"/>
    <w:rsid w:val="4491579C"/>
    <w:rsid w:val="44A26B34"/>
    <w:rsid w:val="44B2730A"/>
    <w:rsid w:val="456D630C"/>
    <w:rsid w:val="463F61A4"/>
    <w:rsid w:val="477D3144"/>
    <w:rsid w:val="47F66927"/>
    <w:rsid w:val="482101D5"/>
    <w:rsid w:val="488453E3"/>
    <w:rsid w:val="48B04740"/>
    <w:rsid w:val="48D06EA2"/>
    <w:rsid w:val="48E63C6E"/>
    <w:rsid w:val="491D7E1C"/>
    <w:rsid w:val="494C7070"/>
    <w:rsid w:val="49EF7646"/>
    <w:rsid w:val="4A17048F"/>
    <w:rsid w:val="4A1C5B05"/>
    <w:rsid w:val="4B1054F7"/>
    <w:rsid w:val="4B1E0F3D"/>
    <w:rsid w:val="4B4B6103"/>
    <w:rsid w:val="4B502367"/>
    <w:rsid w:val="4BBF28CD"/>
    <w:rsid w:val="4BD24607"/>
    <w:rsid w:val="4C1B1827"/>
    <w:rsid w:val="4C4D786D"/>
    <w:rsid w:val="4C940979"/>
    <w:rsid w:val="4CA010CC"/>
    <w:rsid w:val="4CA076F7"/>
    <w:rsid w:val="4D5645F6"/>
    <w:rsid w:val="4E506F76"/>
    <w:rsid w:val="4E6974F8"/>
    <w:rsid w:val="4E924D3F"/>
    <w:rsid w:val="4F8C780F"/>
    <w:rsid w:val="4FE727DC"/>
    <w:rsid w:val="50506792"/>
    <w:rsid w:val="506D7CF9"/>
    <w:rsid w:val="508104D8"/>
    <w:rsid w:val="50C519C5"/>
    <w:rsid w:val="522E19EF"/>
    <w:rsid w:val="52A610A8"/>
    <w:rsid w:val="52C56129"/>
    <w:rsid w:val="535D3873"/>
    <w:rsid w:val="538F595A"/>
    <w:rsid w:val="53C43ED5"/>
    <w:rsid w:val="53E279AF"/>
    <w:rsid w:val="541D194C"/>
    <w:rsid w:val="542520B4"/>
    <w:rsid w:val="54725697"/>
    <w:rsid w:val="549A524D"/>
    <w:rsid w:val="551B5CE1"/>
    <w:rsid w:val="55602A18"/>
    <w:rsid w:val="55C132ED"/>
    <w:rsid w:val="56184082"/>
    <w:rsid w:val="563450BF"/>
    <w:rsid w:val="56493019"/>
    <w:rsid w:val="56CE11C6"/>
    <w:rsid w:val="56DF0558"/>
    <w:rsid w:val="57CC2929"/>
    <w:rsid w:val="58021ABE"/>
    <w:rsid w:val="581F37ED"/>
    <w:rsid w:val="58443554"/>
    <w:rsid w:val="58C120EC"/>
    <w:rsid w:val="58DD4ABC"/>
    <w:rsid w:val="590A1717"/>
    <w:rsid w:val="595D189B"/>
    <w:rsid w:val="59F750CA"/>
    <w:rsid w:val="59FF4440"/>
    <w:rsid w:val="5A3A1A0E"/>
    <w:rsid w:val="5A74495C"/>
    <w:rsid w:val="5A770B04"/>
    <w:rsid w:val="5AB7572E"/>
    <w:rsid w:val="5ABE06AA"/>
    <w:rsid w:val="5AC85EE6"/>
    <w:rsid w:val="5B043C51"/>
    <w:rsid w:val="5B80707A"/>
    <w:rsid w:val="5B827889"/>
    <w:rsid w:val="5B8B49CF"/>
    <w:rsid w:val="5BF73FAE"/>
    <w:rsid w:val="5C2207AC"/>
    <w:rsid w:val="5D0A3484"/>
    <w:rsid w:val="5DFD06EF"/>
    <w:rsid w:val="5E2748EA"/>
    <w:rsid w:val="5E6C44EE"/>
    <w:rsid w:val="5EA655FE"/>
    <w:rsid w:val="5EF7687E"/>
    <w:rsid w:val="5F283E9A"/>
    <w:rsid w:val="5F405839"/>
    <w:rsid w:val="5F712722"/>
    <w:rsid w:val="5F896013"/>
    <w:rsid w:val="5F987D48"/>
    <w:rsid w:val="5F9E1EB0"/>
    <w:rsid w:val="5FEA2795"/>
    <w:rsid w:val="60F05AD4"/>
    <w:rsid w:val="61440C47"/>
    <w:rsid w:val="617E4A77"/>
    <w:rsid w:val="618D073C"/>
    <w:rsid w:val="61C77832"/>
    <w:rsid w:val="61C94E59"/>
    <w:rsid w:val="620C11F8"/>
    <w:rsid w:val="6216042B"/>
    <w:rsid w:val="631C4897"/>
    <w:rsid w:val="63253C81"/>
    <w:rsid w:val="63471B56"/>
    <w:rsid w:val="635B58F5"/>
    <w:rsid w:val="63621F8C"/>
    <w:rsid w:val="6371593E"/>
    <w:rsid w:val="63873269"/>
    <w:rsid w:val="638B489B"/>
    <w:rsid w:val="639E2E87"/>
    <w:rsid w:val="63E961A8"/>
    <w:rsid w:val="63FE078D"/>
    <w:rsid w:val="640973C9"/>
    <w:rsid w:val="6427697D"/>
    <w:rsid w:val="64372B2E"/>
    <w:rsid w:val="649E5615"/>
    <w:rsid w:val="64DB4B3E"/>
    <w:rsid w:val="656261DD"/>
    <w:rsid w:val="660C1374"/>
    <w:rsid w:val="66377F53"/>
    <w:rsid w:val="66417024"/>
    <w:rsid w:val="66602716"/>
    <w:rsid w:val="66F26570"/>
    <w:rsid w:val="671D0418"/>
    <w:rsid w:val="67D62F67"/>
    <w:rsid w:val="67DC130D"/>
    <w:rsid w:val="682C18A6"/>
    <w:rsid w:val="688C3A50"/>
    <w:rsid w:val="69004BE3"/>
    <w:rsid w:val="69E0009D"/>
    <w:rsid w:val="6A442BAE"/>
    <w:rsid w:val="6A496345"/>
    <w:rsid w:val="6A6E67DD"/>
    <w:rsid w:val="6A707F45"/>
    <w:rsid w:val="6A7F7C59"/>
    <w:rsid w:val="6AA47B81"/>
    <w:rsid w:val="6B19489D"/>
    <w:rsid w:val="6B21240A"/>
    <w:rsid w:val="6B5559F7"/>
    <w:rsid w:val="6BA36B53"/>
    <w:rsid w:val="6BC51FA8"/>
    <w:rsid w:val="6BEE64B9"/>
    <w:rsid w:val="6C550A46"/>
    <w:rsid w:val="6C935B4D"/>
    <w:rsid w:val="6CC60616"/>
    <w:rsid w:val="6CEF77DA"/>
    <w:rsid w:val="6D0644D5"/>
    <w:rsid w:val="6D7F429F"/>
    <w:rsid w:val="6E186C28"/>
    <w:rsid w:val="6E3A55C5"/>
    <w:rsid w:val="6EBD5EC5"/>
    <w:rsid w:val="6EFB3C63"/>
    <w:rsid w:val="6F140386"/>
    <w:rsid w:val="701D15B3"/>
    <w:rsid w:val="70603FC2"/>
    <w:rsid w:val="71A54530"/>
    <w:rsid w:val="71E60DBF"/>
    <w:rsid w:val="72252EFA"/>
    <w:rsid w:val="726639BF"/>
    <w:rsid w:val="72ED6AB5"/>
    <w:rsid w:val="73007451"/>
    <w:rsid w:val="737745F2"/>
    <w:rsid w:val="73C7174E"/>
    <w:rsid w:val="74385CE6"/>
    <w:rsid w:val="746F26E3"/>
    <w:rsid w:val="74BE6F1F"/>
    <w:rsid w:val="757155EF"/>
    <w:rsid w:val="75752846"/>
    <w:rsid w:val="75914C55"/>
    <w:rsid w:val="75FD59B9"/>
    <w:rsid w:val="76C01DA9"/>
    <w:rsid w:val="76E50948"/>
    <w:rsid w:val="772D15EE"/>
    <w:rsid w:val="774C72FC"/>
    <w:rsid w:val="776C0C7A"/>
    <w:rsid w:val="77FE27A5"/>
    <w:rsid w:val="78141675"/>
    <w:rsid w:val="788733A3"/>
    <w:rsid w:val="78C4315B"/>
    <w:rsid w:val="79715E3F"/>
    <w:rsid w:val="79CC6D40"/>
    <w:rsid w:val="79F95EA5"/>
    <w:rsid w:val="7A9A5F9C"/>
    <w:rsid w:val="7AB87805"/>
    <w:rsid w:val="7ADD4633"/>
    <w:rsid w:val="7BE12CA4"/>
    <w:rsid w:val="7C10151B"/>
    <w:rsid w:val="7C223310"/>
    <w:rsid w:val="7C637C07"/>
    <w:rsid w:val="7D0050EB"/>
    <w:rsid w:val="7DB76305"/>
    <w:rsid w:val="7DF15976"/>
    <w:rsid w:val="7E3B1E29"/>
    <w:rsid w:val="7E3F7812"/>
    <w:rsid w:val="7E8A50B8"/>
    <w:rsid w:val="7ED750DF"/>
    <w:rsid w:val="7EDA6073"/>
    <w:rsid w:val="7F054C3B"/>
    <w:rsid w:val="7FC05006"/>
    <w:rsid w:val="7FFB3170"/>
    <w:rsid w:val="7FFDC00E"/>
    <w:rsid w:val="EBBE37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仿宋" w:cstheme="minorBidi"/>
      <w:kern w:val="2"/>
      <w:sz w:val="28"/>
      <w:szCs w:val="22"/>
      <w:lang w:val="en-US" w:eastAsia="zh-CN" w:bidi="ar-SA"/>
    </w:rPr>
  </w:style>
  <w:style w:type="paragraph" w:styleId="3">
    <w:name w:val="heading 1"/>
    <w:basedOn w:val="1"/>
    <w:next w:val="1"/>
    <w:link w:val="98"/>
    <w:qFormat/>
    <w:uiPriority w:val="9"/>
    <w:pPr>
      <w:keepNext/>
      <w:keepLines/>
      <w:spacing w:beforeLines="100" w:afterLines="100"/>
      <w:jc w:val="center"/>
      <w:outlineLvl w:val="0"/>
    </w:pPr>
    <w:rPr>
      <w:b/>
      <w:bCs/>
      <w:kern w:val="44"/>
      <w:sz w:val="44"/>
      <w:szCs w:val="44"/>
    </w:rPr>
  </w:style>
  <w:style w:type="paragraph" w:styleId="4">
    <w:name w:val="heading 2"/>
    <w:basedOn w:val="1"/>
    <w:next w:val="1"/>
    <w:link w:val="92"/>
    <w:unhideWhenUsed/>
    <w:qFormat/>
    <w:uiPriority w:val="9"/>
    <w:pPr>
      <w:keepNext/>
      <w:keepLines/>
      <w:spacing w:beforeLines="50" w:afterLines="50"/>
      <w:outlineLvl w:val="1"/>
    </w:pPr>
    <w:rPr>
      <w:rFonts w:cstheme="majorBidi"/>
      <w:b/>
      <w:bCs/>
      <w:sz w:val="32"/>
      <w:szCs w:val="32"/>
    </w:rPr>
  </w:style>
  <w:style w:type="paragraph" w:styleId="2">
    <w:name w:val="heading 3"/>
    <w:basedOn w:val="1"/>
    <w:next w:val="1"/>
    <w:link w:val="9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01"/>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pPr>
    <w:rPr>
      <w:rFonts w:asciiTheme="minorHAnsi" w:hAnsiTheme="minorHAnsi" w:eastAsiaTheme="minorEastAsia"/>
      <w:sz w:val="21"/>
    </w:rPr>
  </w:style>
  <w:style w:type="paragraph" w:styleId="7">
    <w:name w:val="Document Map"/>
    <w:basedOn w:val="1"/>
    <w:link w:val="97"/>
    <w:semiHidden/>
    <w:unhideWhenUsed/>
    <w:qFormat/>
    <w:uiPriority w:val="99"/>
    <w:rPr>
      <w:rFonts w:ascii="宋体" w:eastAsia="宋体"/>
      <w:sz w:val="18"/>
      <w:szCs w:val="18"/>
    </w:rPr>
  </w:style>
  <w:style w:type="paragraph" w:styleId="8">
    <w:name w:val="annotation text"/>
    <w:basedOn w:val="1"/>
    <w:link w:val="93"/>
    <w:semiHidden/>
    <w:unhideWhenUsed/>
    <w:qFormat/>
    <w:uiPriority w:val="99"/>
    <w:pPr>
      <w:jc w:val="left"/>
    </w:pPr>
  </w:style>
  <w:style w:type="paragraph" w:styleId="9">
    <w:name w:val="toc 5"/>
    <w:basedOn w:val="1"/>
    <w:next w:val="1"/>
    <w:unhideWhenUsed/>
    <w:qFormat/>
    <w:uiPriority w:val="39"/>
    <w:pPr>
      <w:spacing w:line="240" w:lineRule="auto"/>
      <w:ind w:left="1680" w:leftChars="800"/>
    </w:pPr>
    <w:rPr>
      <w:rFonts w:asciiTheme="minorHAnsi" w:hAnsiTheme="minorHAnsi" w:eastAsiaTheme="minorEastAsia"/>
      <w:sz w:val="21"/>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spacing w:line="240" w:lineRule="auto"/>
      <w:ind w:left="2940" w:leftChars="1400"/>
    </w:pPr>
    <w:rPr>
      <w:rFonts w:asciiTheme="minorHAnsi" w:hAnsiTheme="minorHAnsi" w:eastAsiaTheme="minorEastAsia"/>
      <w:sz w:val="21"/>
    </w:rPr>
  </w:style>
  <w:style w:type="paragraph" w:styleId="12">
    <w:name w:val="Date"/>
    <w:basedOn w:val="1"/>
    <w:next w:val="1"/>
    <w:link w:val="99"/>
    <w:semiHidden/>
    <w:unhideWhenUsed/>
    <w:qFormat/>
    <w:uiPriority w:val="99"/>
    <w:pPr>
      <w:ind w:left="100" w:leftChars="2500"/>
    </w:pPr>
  </w:style>
  <w:style w:type="paragraph" w:styleId="13">
    <w:name w:val="Balloon Text"/>
    <w:basedOn w:val="1"/>
    <w:link w:val="96"/>
    <w:semiHidden/>
    <w:unhideWhenUsed/>
    <w:qFormat/>
    <w:uiPriority w:val="99"/>
    <w:pPr>
      <w:spacing w:line="240" w:lineRule="auto"/>
    </w:pPr>
    <w:rPr>
      <w:sz w:val="18"/>
      <w:szCs w:val="18"/>
    </w:rPr>
  </w:style>
  <w:style w:type="paragraph" w:styleId="14">
    <w:name w:val="footer"/>
    <w:basedOn w:val="1"/>
    <w:link w:val="102"/>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10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link w:val="37"/>
    <w:unhideWhenUsed/>
    <w:qFormat/>
    <w:uiPriority w:val="39"/>
    <w:rPr>
      <w:b/>
    </w:rPr>
  </w:style>
  <w:style w:type="paragraph" w:styleId="17">
    <w:name w:val="toc 4"/>
    <w:basedOn w:val="1"/>
    <w:next w:val="1"/>
    <w:unhideWhenUsed/>
    <w:qFormat/>
    <w:uiPriority w:val="39"/>
    <w:pPr>
      <w:spacing w:line="240" w:lineRule="auto"/>
      <w:ind w:left="1260" w:leftChars="600"/>
    </w:pPr>
    <w:rPr>
      <w:rFonts w:asciiTheme="minorHAnsi" w:hAnsiTheme="minorHAnsi" w:eastAsiaTheme="minorEastAsia"/>
      <w:sz w:val="21"/>
    </w:rPr>
  </w:style>
  <w:style w:type="paragraph" w:styleId="18">
    <w:name w:val="toc 6"/>
    <w:basedOn w:val="1"/>
    <w:next w:val="1"/>
    <w:unhideWhenUsed/>
    <w:qFormat/>
    <w:uiPriority w:val="39"/>
    <w:pPr>
      <w:spacing w:line="240" w:lineRule="auto"/>
      <w:ind w:left="2100" w:leftChars="1000"/>
    </w:pPr>
    <w:rPr>
      <w:rFonts w:asciiTheme="minorHAnsi" w:hAnsiTheme="minorHAnsi" w:eastAsiaTheme="minorEastAsia"/>
      <w:sz w:val="21"/>
    </w:rPr>
  </w:style>
  <w:style w:type="paragraph" w:styleId="19">
    <w:name w:val="toc 2"/>
    <w:basedOn w:val="1"/>
    <w:next w:val="1"/>
    <w:unhideWhenUsed/>
    <w:qFormat/>
    <w:uiPriority w:val="39"/>
    <w:pPr>
      <w:ind w:left="420" w:leftChars="200"/>
    </w:pPr>
  </w:style>
  <w:style w:type="paragraph" w:styleId="20">
    <w:name w:val="toc 9"/>
    <w:basedOn w:val="1"/>
    <w:next w:val="1"/>
    <w:unhideWhenUsed/>
    <w:qFormat/>
    <w:uiPriority w:val="39"/>
    <w:pPr>
      <w:spacing w:line="240" w:lineRule="auto"/>
      <w:ind w:left="3360" w:leftChars="1600"/>
    </w:pPr>
    <w:rPr>
      <w:rFonts w:asciiTheme="minorHAnsi" w:hAnsiTheme="minorHAnsi" w:eastAsiaTheme="minorEastAsia"/>
      <w:sz w:val="21"/>
    </w:rPr>
  </w:style>
  <w:style w:type="paragraph" w:styleId="21">
    <w:name w:val="Normal (Web)"/>
    <w:basedOn w:val="1"/>
    <w:semiHidden/>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22">
    <w:name w:val="annotation subject"/>
    <w:basedOn w:val="8"/>
    <w:next w:val="8"/>
    <w:link w:val="103"/>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FollowedHyperlink"/>
    <w:basedOn w:val="25"/>
    <w:semiHidden/>
    <w:unhideWhenUsed/>
    <w:qFormat/>
    <w:uiPriority w:val="99"/>
    <w:rPr>
      <w:color w:val="954F72"/>
      <w:u w:val="single"/>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customStyle="1" w:styleId="29">
    <w:name w:val="标题 1 Char"/>
    <w:basedOn w:val="25"/>
    <w:link w:val="3"/>
    <w:qFormat/>
    <w:uiPriority w:val="9"/>
    <w:rPr>
      <w:rFonts w:ascii="Times New Roman" w:hAnsi="Times New Roman" w:eastAsia="仿宋"/>
      <w:b/>
      <w:bCs/>
      <w:kern w:val="44"/>
      <w:sz w:val="44"/>
      <w:szCs w:val="44"/>
    </w:rPr>
  </w:style>
  <w:style w:type="character" w:customStyle="1" w:styleId="30">
    <w:name w:val="标题 2 Char"/>
    <w:basedOn w:val="25"/>
    <w:link w:val="4"/>
    <w:qFormat/>
    <w:uiPriority w:val="9"/>
    <w:rPr>
      <w:rFonts w:ascii="Times New Roman" w:hAnsi="Times New Roman" w:eastAsia="仿宋" w:cstheme="majorBidi"/>
      <w:b/>
      <w:bCs/>
      <w:sz w:val="32"/>
      <w:szCs w:val="32"/>
    </w:rPr>
  </w:style>
  <w:style w:type="character" w:customStyle="1" w:styleId="31">
    <w:name w:val="标题 3 Char"/>
    <w:basedOn w:val="25"/>
    <w:link w:val="2"/>
    <w:qFormat/>
    <w:uiPriority w:val="9"/>
    <w:rPr>
      <w:rFonts w:ascii="Times New Roman" w:hAnsi="Times New Roman" w:eastAsia="仿宋"/>
      <w:b/>
      <w:bCs/>
      <w:sz w:val="32"/>
      <w:szCs w:val="32"/>
    </w:rPr>
  </w:style>
  <w:style w:type="paragraph" w:customStyle="1" w:styleId="32">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33">
    <w:name w:val="日期 Char"/>
    <w:basedOn w:val="25"/>
    <w:link w:val="12"/>
    <w:semiHidden/>
    <w:qFormat/>
    <w:uiPriority w:val="99"/>
  </w:style>
  <w:style w:type="paragraph" w:customStyle="1" w:styleId="34">
    <w:name w:val="标题3"/>
    <w:basedOn w:val="1"/>
    <w:link w:val="35"/>
    <w:qFormat/>
    <w:uiPriority w:val="0"/>
    <w:pPr>
      <w:spacing w:beforeLines="50" w:afterLines="50"/>
    </w:pPr>
    <w:rPr>
      <w:b/>
      <w:sz w:val="30"/>
      <w:szCs w:val="48"/>
    </w:rPr>
  </w:style>
  <w:style w:type="character" w:customStyle="1" w:styleId="35">
    <w:name w:val="标题3 字符"/>
    <w:basedOn w:val="25"/>
    <w:link w:val="34"/>
    <w:qFormat/>
    <w:uiPriority w:val="0"/>
    <w:rPr>
      <w:rFonts w:eastAsia="仿宋" w:cstheme="minorBidi"/>
      <w:b/>
      <w:kern w:val="2"/>
      <w:sz w:val="30"/>
      <w:szCs w:val="48"/>
    </w:rPr>
  </w:style>
  <w:style w:type="paragraph" w:customStyle="1" w:styleId="36">
    <w:name w:val="TOC 标题1"/>
    <w:basedOn w:val="3"/>
    <w:next w:val="1"/>
    <w:unhideWhenUsed/>
    <w:qFormat/>
    <w:uiPriority w:val="39"/>
    <w:pPr>
      <w:widowControl/>
      <w:spacing w:beforeLines="0" w:after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7">
    <w:name w:val="目录 1 Char"/>
    <w:basedOn w:val="25"/>
    <w:link w:val="16"/>
    <w:qFormat/>
    <w:uiPriority w:val="39"/>
    <w:rPr>
      <w:rFonts w:ascii="Times New Roman" w:hAnsi="Times New Roman" w:eastAsia="仿宋"/>
      <w:b/>
      <w:sz w:val="28"/>
    </w:rPr>
  </w:style>
  <w:style w:type="paragraph" w:customStyle="1" w:styleId="38">
    <w:name w:val="目录"/>
    <w:basedOn w:val="16"/>
    <w:next w:val="19"/>
    <w:link w:val="39"/>
    <w:qFormat/>
    <w:uiPriority w:val="0"/>
    <w:pPr>
      <w:tabs>
        <w:tab w:val="right" w:leader="dot" w:pos="10244"/>
      </w:tabs>
    </w:pPr>
  </w:style>
  <w:style w:type="character" w:customStyle="1" w:styleId="39">
    <w:name w:val="目录 字符"/>
    <w:basedOn w:val="37"/>
    <w:link w:val="38"/>
    <w:qFormat/>
    <w:uiPriority w:val="0"/>
    <w:rPr>
      <w:rFonts w:ascii="Times New Roman" w:hAnsi="Times New Roman" w:eastAsia="仿宋"/>
      <w:sz w:val="28"/>
    </w:rPr>
  </w:style>
  <w:style w:type="character" w:customStyle="1" w:styleId="40">
    <w:name w:val="页眉 Char"/>
    <w:basedOn w:val="25"/>
    <w:link w:val="15"/>
    <w:qFormat/>
    <w:uiPriority w:val="99"/>
    <w:rPr>
      <w:rFonts w:ascii="Times New Roman" w:hAnsi="Times New Roman" w:eastAsia="仿宋"/>
      <w:sz w:val="18"/>
      <w:szCs w:val="18"/>
    </w:rPr>
  </w:style>
  <w:style w:type="character" w:customStyle="1" w:styleId="41">
    <w:name w:val="页脚 Char"/>
    <w:basedOn w:val="25"/>
    <w:link w:val="14"/>
    <w:qFormat/>
    <w:uiPriority w:val="99"/>
    <w:rPr>
      <w:rFonts w:ascii="Times New Roman" w:hAnsi="Times New Roman" w:eastAsia="仿宋"/>
      <w:sz w:val="18"/>
      <w:szCs w:val="18"/>
    </w:rPr>
  </w:style>
  <w:style w:type="character" w:customStyle="1" w:styleId="42">
    <w:name w:val="批注文字 Char"/>
    <w:basedOn w:val="25"/>
    <w:link w:val="8"/>
    <w:semiHidden/>
    <w:qFormat/>
    <w:uiPriority w:val="99"/>
    <w:rPr>
      <w:rFonts w:ascii="Times New Roman" w:hAnsi="Times New Roman" w:eastAsia="仿宋"/>
      <w:sz w:val="28"/>
    </w:rPr>
  </w:style>
  <w:style w:type="character" w:customStyle="1" w:styleId="43">
    <w:name w:val="批注主题 Char"/>
    <w:basedOn w:val="42"/>
    <w:link w:val="22"/>
    <w:semiHidden/>
    <w:qFormat/>
    <w:uiPriority w:val="99"/>
    <w:rPr>
      <w:rFonts w:ascii="Times New Roman" w:hAnsi="Times New Roman" w:eastAsia="仿宋"/>
      <w:b/>
      <w:bCs/>
      <w:sz w:val="28"/>
    </w:rPr>
  </w:style>
  <w:style w:type="character" w:customStyle="1" w:styleId="44">
    <w:name w:val="批注框文本 Char"/>
    <w:basedOn w:val="25"/>
    <w:link w:val="13"/>
    <w:semiHidden/>
    <w:qFormat/>
    <w:uiPriority w:val="99"/>
    <w:rPr>
      <w:rFonts w:ascii="Times New Roman" w:hAnsi="Times New Roman" w:eastAsia="仿宋"/>
      <w:sz w:val="18"/>
      <w:szCs w:val="18"/>
    </w:rPr>
  </w:style>
  <w:style w:type="character" w:customStyle="1" w:styleId="45">
    <w:name w:val="正文（三号，仿宋，30磅） 字符"/>
    <w:link w:val="46"/>
    <w:qFormat/>
    <w:uiPriority w:val="0"/>
    <w:rPr>
      <w:rFonts w:eastAsia="仿宋_GB2312"/>
      <w:kern w:val="2"/>
      <w:sz w:val="32"/>
      <w:szCs w:val="32"/>
    </w:rPr>
  </w:style>
  <w:style w:type="paragraph" w:customStyle="1" w:styleId="46">
    <w:name w:val="正文（三号，仿宋，30磅）"/>
    <w:basedOn w:val="1"/>
    <w:link w:val="45"/>
    <w:qFormat/>
    <w:uiPriority w:val="0"/>
    <w:pPr>
      <w:spacing w:line="600" w:lineRule="exact"/>
      <w:ind w:firstLine="640" w:firstLineChars="200"/>
    </w:pPr>
    <w:rPr>
      <w:rFonts w:eastAsia="仿宋_GB2312" w:cs="Times New Roman"/>
      <w:sz w:val="32"/>
      <w:szCs w:val="32"/>
    </w:rPr>
  </w:style>
  <w:style w:type="paragraph" w:customStyle="1" w:styleId="47">
    <w:name w:val="图名"/>
    <w:basedOn w:val="1"/>
    <w:link w:val="48"/>
    <w:qFormat/>
    <w:uiPriority w:val="0"/>
    <w:pPr>
      <w:jc w:val="center"/>
    </w:pPr>
    <w:rPr>
      <w:b/>
      <w:sz w:val="24"/>
    </w:rPr>
  </w:style>
  <w:style w:type="character" w:customStyle="1" w:styleId="48">
    <w:name w:val="图名 字符"/>
    <w:basedOn w:val="25"/>
    <w:link w:val="47"/>
    <w:qFormat/>
    <w:uiPriority w:val="0"/>
    <w:rPr>
      <w:rFonts w:eastAsia="仿宋" w:cstheme="minorBidi"/>
      <w:b/>
      <w:kern w:val="2"/>
      <w:sz w:val="24"/>
      <w:szCs w:val="22"/>
    </w:rPr>
  </w:style>
  <w:style w:type="table" w:customStyle="1" w:styleId="49">
    <w:name w:val="网格型1"/>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0">
    <w:name w:val="表名"/>
    <w:basedOn w:val="1"/>
    <w:link w:val="52"/>
    <w:qFormat/>
    <w:uiPriority w:val="0"/>
    <w:pPr>
      <w:jc w:val="center"/>
    </w:pPr>
    <w:rPr>
      <w:b/>
      <w:sz w:val="24"/>
    </w:rPr>
  </w:style>
  <w:style w:type="paragraph" w:customStyle="1" w:styleId="51">
    <w:name w:val="标题4"/>
    <w:basedOn w:val="1"/>
    <w:link w:val="53"/>
    <w:qFormat/>
    <w:uiPriority w:val="0"/>
    <w:rPr>
      <w:b/>
    </w:rPr>
  </w:style>
  <w:style w:type="character" w:customStyle="1" w:styleId="52">
    <w:name w:val="表名 字符"/>
    <w:basedOn w:val="25"/>
    <w:link w:val="50"/>
    <w:qFormat/>
    <w:uiPriority w:val="0"/>
    <w:rPr>
      <w:rFonts w:eastAsia="仿宋" w:cstheme="minorBidi"/>
      <w:b/>
      <w:kern w:val="2"/>
      <w:sz w:val="24"/>
      <w:szCs w:val="22"/>
    </w:rPr>
  </w:style>
  <w:style w:type="character" w:customStyle="1" w:styleId="53">
    <w:name w:val="标题4 字符"/>
    <w:basedOn w:val="25"/>
    <w:link w:val="51"/>
    <w:qFormat/>
    <w:uiPriority w:val="0"/>
    <w:rPr>
      <w:rFonts w:eastAsia="仿宋" w:cstheme="minorBidi"/>
      <w:b/>
      <w:kern w:val="2"/>
      <w:sz w:val="28"/>
      <w:szCs w:val="22"/>
    </w:rPr>
  </w:style>
  <w:style w:type="character" w:customStyle="1" w:styleId="54">
    <w:name w:val="标题 4 Char"/>
    <w:basedOn w:val="25"/>
    <w:link w:val="5"/>
    <w:semiHidden/>
    <w:qFormat/>
    <w:uiPriority w:val="9"/>
    <w:rPr>
      <w:rFonts w:asciiTheme="majorHAnsi" w:hAnsiTheme="majorHAnsi" w:eastAsiaTheme="majorEastAsia" w:cstheme="majorBidi"/>
      <w:b/>
      <w:bCs/>
      <w:kern w:val="2"/>
      <w:sz w:val="28"/>
      <w:szCs w:val="28"/>
    </w:rPr>
  </w:style>
  <w:style w:type="table" w:customStyle="1" w:styleId="55">
    <w:name w:val="网格型2"/>
    <w:basedOn w:val="23"/>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6">
    <w:name w:val="font21"/>
    <w:qFormat/>
    <w:uiPriority w:val="0"/>
    <w:rPr>
      <w:rFonts w:hint="default" w:ascii="Times New Roman" w:hAnsi="Times New Roman" w:cs="Times New Roman"/>
      <w:color w:val="000000"/>
      <w:sz w:val="26"/>
      <w:szCs w:val="26"/>
      <w:u w:val="none"/>
    </w:rPr>
  </w:style>
  <w:style w:type="paragraph" w:customStyle="1" w:styleId="57">
    <w:name w:val="表头1"/>
    <w:basedOn w:val="1"/>
    <w:link w:val="58"/>
    <w:qFormat/>
    <w:uiPriority w:val="0"/>
    <w:pPr>
      <w:widowControl/>
      <w:spacing w:beforeLines="50" w:afterLines="50"/>
      <w:ind w:firstLine="482"/>
      <w:jc w:val="center"/>
    </w:pPr>
    <w:rPr>
      <w:rFonts w:eastAsia="宋体" w:cs="Times New Roman"/>
      <w:b/>
      <w:kern w:val="0"/>
      <w:sz w:val="24"/>
      <w:szCs w:val="20"/>
    </w:rPr>
  </w:style>
  <w:style w:type="character" w:customStyle="1" w:styleId="58">
    <w:name w:val="表头1 字符"/>
    <w:link w:val="57"/>
    <w:qFormat/>
    <w:uiPriority w:val="0"/>
    <w:rPr>
      <w:b/>
      <w:sz w:val="24"/>
    </w:rPr>
  </w:style>
  <w:style w:type="character" w:customStyle="1" w:styleId="59">
    <w:name w:val="表头 字符"/>
    <w:link w:val="60"/>
    <w:qFormat/>
    <w:uiPriority w:val="0"/>
    <w:rPr>
      <w:b/>
      <w:sz w:val="24"/>
      <w:szCs w:val="24"/>
    </w:rPr>
  </w:style>
  <w:style w:type="paragraph" w:customStyle="1" w:styleId="60">
    <w:name w:val="表头"/>
    <w:basedOn w:val="1"/>
    <w:link w:val="59"/>
    <w:qFormat/>
    <w:uiPriority w:val="0"/>
    <w:pPr>
      <w:spacing w:beforeLines="50" w:afterLines="50"/>
      <w:ind w:firstLine="200" w:firstLineChars="200"/>
      <w:jc w:val="center"/>
    </w:pPr>
    <w:rPr>
      <w:rFonts w:eastAsia="宋体" w:cs="Times New Roman"/>
      <w:b/>
      <w:kern w:val="0"/>
      <w:sz w:val="24"/>
      <w:szCs w:val="24"/>
    </w:rPr>
  </w:style>
  <w:style w:type="table" w:customStyle="1" w:styleId="61">
    <w:name w:val="网格型3"/>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网格型4"/>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5"/>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网格型6"/>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网格型7"/>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网格型8"/>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7">
    <w:name w:val="font11"/>
    <w:basedOn w:val="25"/>
    <w:qFormat/>
    <w:uiPriority w:val="0"/>
    <w:rPr>
      <w:rFonts w:hint="eastAsia" w:ascii="宋体" w:hAnsi="宋体" w:eastAsia="宋体" w:cs="宋体"/>
      <w:color w:val="000000"/>
      <w:sz w:val="22"/>
      <w:szCs w:val="22"/>
      <w:u w:val="none"/>
    </w:rPr>
  </w:style>
  <w:style w:type="character" w:customStyle="1" w:styleId="68">
    <w:name w:val="font31"/>
    <w:basedOn w:val="25"/>
    <w:qFormat/>
    <w:uiPriority w:val="0"/>
    <w:rPr>
      <w:rFonts w:ascii="仿宋" w:hAnsi="仿宋" w:eastAsia="仿宋" w:cs="仿宋"/>
      <w:color w:val="000000"/>
      <w:sz w:val="24"/>
      <w:szCs w:val="24"/>
      <w:u w:val="none"/>
    </w:rPr>
  </w:style>
  <w:style w:type="character" w:customStyle="1" w:styleId="69">
    <w:name w:val="font01"/>
    <w:basedOn w:val="25"/>
    <w:qFormat/>
    <w:uiPriority w:val="0"/>
    <w:rPr>
      <w:rFonts w:hint="eastAsia" w:ascii="宋体" w:hAnsi="宋体" w:eastAsia="宋体" w:cs="宋体"/>
      <w:color w:val="000000"/>
      <w:sz w:val="22"/>
      <w:szCs w:val="22"/>
      <w:u w:val="none"/>
    </w:rPr>
  </w:style>
  <w:style w:type="character" w:customStyle="1" w:styleId="70">
    <w:name w:val="font71"/>
    <w:basedOn w:val="25"/>
    <w:qFormat/>
    <w:uiPriority w:val="0"/>
    <w:rPr>
      <w:rFonts w:ascii="Calibri" w:hAnsi="Calibri" w:cs="Calibri"/>
      <w:color w:val="000000"/>
      <w:sz w:val="21"/>
      <w:szCs w:val="21"/>
      <w:u w:val="none"/>
    </w:rPr>
  </w:style>
  <w:style w:type="paragraph" w:customStyle="1" w:styleId="71">
    <w:name w:val="表格内容"/>
    <w:basedOn w:val="1"/>
    <w:qFormat/>
    <w:uiPriority w:val="0"/>
    <w:pPr>
      <w:widowControl/>
      <w:spacing w:line="240" w:lineRule="auto"/>
      <w:jc w:val="center"/>
    </w:pPr>
    <w:rPr>
      <w:rFonts w:cs="宋体"/>
      <w:color w:val="000000"/>
      <w:kern w:val="0"/>
      <w:sz w:val="24"/>
    </w:rPr>
  </w:style>
  <w:style w:type="paragraph" w:customStyle="1" w:styleId="72">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rPr>
  </w:style>
  <w:style w:type="paragraph" w:customStyle="1" w:styleId="73">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2"/>
    </w:rPr>
  </w:style>
  <w:style w:type="paragraph" w:customStyle="1" w:styleId="74">
    <w:name w:val="font7"/>
    <w:basedOn w:val="1"/>
    <w:qFormat/>
    <w:uiPriority w:val="0"/>
    <w:pPr>
      <w:widowControl/>
      <w:spacing w:before="100" w:beforeAutospacing="1" w:after="100" w:afterAutospacing="1" w:line="240" w:lineRule="auto"/>
      <w:jc w:val="left"/>
    </w:pPr>
    <w:rPr>
      <w:rFonts w:ascii="宋体" w:hAnsi="宋体" w:eastAsia="宋体" w:cs="宋体"/>
      <w:color w:val="000000"/>
      <w:kern w:val="0"/>
      <w:sz w:val="22"/>
    </w:rPr>
  </w:style>
  <w:style w:type="paragraph" w:customStyle="1" w:styleId="75">
    <w:name w:val="font8"/>
    <w:basedOn w:val="1"/>
    <w:qFormat/>
    <w:uiPriority w:val="0"/>
    <w:pPr>
      <w:widowControl/>
      <w:spacing w:before="100" w:beforeAutospacing="1" w:after="100" w:afterAutospacing="1" w:line="240" w:lineRule="auto"/>
      <w:jc w:val="left"/>
    </w:pPr>
    <w:rPr>
      <w:rFonts w:ascii="仿宋" w:hAnsi="仿宋" w:cs="宋体"/>
      <w:color w:val="000000"/>
      <w:kern w:val="0"/>
      <w:sz w:val="24"/>
      <w:szCs w:val="24"/>
    </w:rPr>
  </w:style>
  <w:style w:type="paragraph" w:customStyle="1" w:styleId="76">
    <w:name w:val="font9"/>
    <w:basedOn w:val="1"/>
    <w:qFormat/>
    <w:uiPriority w:val="0"/>
    <w:pPr>
      <w:widowControl/>
      <w:spacing w:before="100" w:beforeAutospacing="1" w:after="100" w:afterAutospacing="1" w:line="240" w:lineRule="auto"/>
      <w:jc w:val="left"/>
    </w:pPr>
    <w:rPr>
      <w:rFonts w:eastAsia="宋体" w:cs="Times New Roman"/>
      <w:color w:val="000000"/>
      <w:kern w:val="0"/>
      <w:sz w:val="24"/>
      <w:szCs w:val="24"/>
    </w:rPr>
  </w:style>
  <w:style w:type="paragraph" w:customStyle="1" w:styleId="77">
    <w:name w:val="xl69"/>
    <w:basedOn w:val="1"/>
    <w:qFormat/>
    <w:uiPriority w:val="0"/>
    <w:pPr>
      <w:widowControl/>
      <w:spacing w:before="100" w:beforeAutospacing="1" w:after="100" w:afterAutospacing="1" w:line="240" w:lineRule="auto"/>
      <w:jc w:val="center"/>
    </w:pPr>
    <w:rPr>
      <w:rFonts w:ascii="宋体" w:hAnsi="宋体" w:eastAsia="宋体" w:cs="宋体"/>
      <w:kern w:val="0"/>
      <w:sz w:val="24"/>
      <w:szCs w:val="24"/>
    </w:rPr>
  </w:style>
  <w:style w:type="paragraph" w:customStyle="1" w:styleId="7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79">
    <w:name w:val="xl71"/>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8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81">
    <w:name w:val="xl73"/>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8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8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8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sz w:val="24"/>
      <w:szCs w:val="24"/>
    </w:rPr>
  </w:style>
  <w:style w:type="paragraph" w:customStyle="1" w:styleId="8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eastAsia="宋体" w:cs="Times New Roman"/>
      <w:kern w:val="0"/>
      <w:sz w:val="24"/>
      <w:szCs w:val="24"/>
    </w:rPr>
  </w:style>
  <w:style w:type="paragraph" w:customStyle="1" w:styleId="8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仿宋" w:hAnsi="仿宋" w:cs="宋体"/>
      <w:color w:val="000000"/>
      <w:kern w:val="0"/>
      <w:sz w:val="24"/>
      <w:szCs w:val="24"/>
    </w:rPr>
  </w:style>
  <w:style w:type="paragraph" w:customStyle="1" w:styleId="8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eastAsia="宋体" w:cs="Times New Roman"/>
      <w:color w:val="000000"/>
      <w:kern w:val="0"/>
      <w:sz w:val="24"/>
      <w:szCs w:val="24"/>
    </w:rPr>
  </w:style>
  <w:style w:type="paragraph" w:customStyle="1" w:styleId="8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 w:hAnsi="仿宋" w:cs="宋体"/>
      <w:color w:val="000000"/>
      <w:kern w:val="0"/>
      <w:sz w:val="24"/>
      <w:szCs w:val="24"/>
    </w:rPr>
  </w:style>
  <w:style w:type="paragraph" w:customStyle="1" w:styleId="8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eastAsia="宋体" w:cs="Times New Roman"/>
      <w:color w:val="000000"/>
      <w:kern w:val="0"/>
      <w:sz w:val="24"/>
      <w:szCs w:val="24"/>
    </w:rPr>
  </w:style>
  <w:style w:type="paragraph" w:customStyle="1" w:styleId="9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eastAsia="宋体" w:cs="Times New Roman"/>
      <w:kern w:val="0"/>
      <w:sz w:val="24"/>
      <w:szCs w:val="24"/>
    </w:rPr>
  </w:style>
  <w:style w:type="character" w:customStyle="1" w:styleId="91">
    <w:name w:val="文档结构图 Char"/>
    <w:basedOn w:val="25"/>
    <w:link w:val="7"/>
    <w:semiHidden/>
    <w:qFormat/>
    <w:uiPriority w:val="99"/>
    <w:rPr>
      <w:rFonts w:ascii="宋体" w:cstheme="minorBidi"/>
      <w:kern w:val="2"/>
      <w:sz w:val="18"/>
      <w:szCs w:val="18"/>
    </w:rPr>
  </w:style>
  <w:style w:type="character" w:customStyle="1" w:styleId="92">
    <w:name w:val="标题 2 字符"/>
    <w:basedOn w:val="25"/>
    <w:link w:val="4"/>
    <w:qFormat/>
    <w:uiPriority w:val="0"/>
    <w:rPr>
      <w:rFonts w:hint="eastAsia" w:ascii="仿宋" w:hAnsi="仿宋" w:eastAsia="仿宋" w:cs="Times New Roman"/>
      <w:b/>
      <w:bCs/>
      <w:kern w:val="2"/>
      <w:sz w:val="32"/>
      <w:szCs w:val="32"/>
    </w:rPr>
  </w:style>
  <w:style w:type="character" w:customStyle="1" w:styleId="93">
    <w:name w:val="批注文字 字符"/>
    <w:basedOn w:val="25"/>
    <w:link w:val="8"/>
    <w:qFormat/>
    <w:uiPriority w:val="0"/>
    <w:rPr>
      <w:rFonts w:hint="eastAsia" w:ascii="仿宋" w:hAnsi="仿宋" w:eastAsia="仿宋" w:cs="Times New Roman"/>
      <w:kern w:val="2"/>
      <w:sz w:val="28"/>
      <w:szCs w:val="22"/>
    </w:rPr>
  </w:style>
  <w:style w:type="character" w:customStyle="1" w:styleId="94">
    <w:name w:val="标题 3 字符"/>
    <w:basedOn w:val="25"/>
    <w:link w:val="2"/>
    <w:qFormat/>
    <w:uiPriority w:val="0"/>
    <w:rPr>
      <w:rFonts w:hint="eastAsia" w:ascii="仿宋" w:hAnsi="仿宋" w:eastAsia="仿宋" w:cs="Times New Roman"/>
      <w:b/>
      <w:bCs/>
      <w:kern w:val="2"/>
      <w:sz w:val="32"/>
      <w:szCs w:val="32"/>
    </w:rPr>
  </w:style>
  <w:style w:type="character" w:customStyle="1" w:styleId="95">
    <w:name w:val="TOC 1 字符"/>
    <w:basedOn w:val="25"/>
    <w:qFormat/>
    <w:uiPriority w:val="0"/>
    <w:rPr>
      <w:rFonts w:hint="eastAsia" w:ascii="仿宋" w:hAnsi="仿宋" w:eastAsia="仿宋" w:cs="Times New Roman"/>
      <w:b/>
      <w:kern w:val="2"/>
      <w:sz w:val="28"/>
      <w:szCs w:val="22"/>
    </w:rPr>
  </w:style>
  <w:style w:type="character" w:customStyle="1" w:styleId="96">
    <w:name w:val="批注框文本 字符"/>
    <w:basedOn w:val="25"/>
    <w:link w:val="13"/>
    <w:qFormat/>
    <w:uiPriority w:val="0"/>
    <w:rPr>
      <w:rFonts w:hint="eastAsia" w:ascii="仿宋" w:hAnsi="仿宋" w:eastAsia="仿宋" w:cs="Times New Roman"/>
      <w:kern w:val="2"/>
      <w:sz w:val="18"/>
      <w:szCs w:val="18"/>
    </w:rPr>
  </w:style>
  <w:style w:type="character" w:customStyle="1" w:styleId="97">
    <w:name w:val="文档结构图 字符"/>
    <w:basedOn w:val="25"/>
    <w:link w:val="7"/>
    <w:qFormat/>
    <w:uiPriority w:val="0"/>
    <w:rPr>
      <w:rFonts w:hint="eastAsia" w:ascii="宋体" w:hAnsi="宋体" w:eastAsia="宋体" w:cs="Times New Roman"/>
      <w:kern w:val="2"/>
      <w:sz w:val="18"/>
      <w:szCs w:val="18"/>
    </w:rPr>
  </w:style>
  <w:style w:type="character" w:customStyle="1" w:styleId="98">
    <w:name w:val="标题 1 字符"/>
    <w:basedOn w:val="25"/>
    <w:link w:val="3"/>
    <w:qFormat/>
    <w:uiPriority w:val="0"/>
    <w:rPr>
      <w:rFonts w:hint="eastAsia" w:ascii="仿宋" w:hAnsi="仿宋" w:eastAsia="仿宋" w:cs="Times New Roman"/>
      <w:b/>
      <w:bCs/>
      <w:kern w:val="44"/>
      <w:sz w:val="44"/>
      <w:szCs w:val="44"/>
    </w:rPr>
  </w:style>
  <w:style w:type="character" w:customStyle="1" w:styleId="99">
    <w:name w:val="日期 字符"/>
    <w:basedOn w:val="25"/>
    <w:link w:val="12"/>
    <w:qFormat/>
    <w:uiPriority w:val="0"/>
    <w:rPr>
      <w:rFonts w:hint="eastAsia" w:ascii="仿宋" w:hAnsi="仿宋" w:eastAsia="仿宋" w:cs="Times New Roman"/>
      <w:kern w:val="2"/>
      <w:sz w:val="28"/>
      <w:szCs w:val="22"/>
    </w:rPr>
  </w:style>
  <w:style w:type="character" w:customStyle="1" w:styleId="100">
    <w:name w:val="页眉 字符"/>
    <w:basedOn w:val="25"/>
    <w:link w:val="15"/>
    <w:qFormat/>
    <w:uiPriority w:val="0"/>
    <w:rPr>
      <w:rFonts w:hint="eastAsia" w:ascii="仿宋" w:hAnsi="仿宋" w:eastAsia="仿宋" w:cs="Times New Roman"/>
      <w:kern w:val="2"/>
      <w:sz w:val="18"/>
      <w:szCs w:val="18"/>
    </w:rPr>
  </w:style>
  <w:style w:type="character" w:customStyle="1" w:styleId="101">
    <w:name w:val="标题 4 字符"/>
    <w:basedOn w:val="25"/>
    <w:link w:val="5"/>
    <w:qFormat/>
    <w:uiPriority w:val="0"/>
    <w:rPr>
      <w:rFonts w:ascii="等线 Light" w:hAnsi="等线 Light" w:eastAsia="等线 Light" w:cs="Times New Roman"/>
      <w:b/>
      <w:bCs/>
      <w:kern w:val="2"/>
      <w:sz w:val="28"/>
      <w:szCs w:val="28"/>
    </w:rPr>
  </w:style>
  <w:style w:type="character" w:customStyle="1" w:styleId="102">
    <w:name w:val="页脚 字符"/>
    <w:basedOn w:val="25"/>
    <w:link w:val="14"/>
    <w:qFormat/>
    <w:uiPriority w:val="0"/>
    <w:rPr>
      <w:rFonts w:hint="eastAsia" w:ascii="仿宋" w:hAnsi="仿宋" w:eastAsia="仿宋" w:cs="Times New Roman"/>
      <w:kern w:val="2"/>
      <w:sz w:val="18"/>
      <w:szCs w:val="18"/>
    </w:rPr>
  </w:style>
  <w:style w:type="character" w:customStyle="1" w:styleId="103">
    <w:name w:val="批注主题 字符"/>
    <w:basedOn w:val="93"/>
    <w:link w:val="22"/>
    <w:qFormat/>
    <w:uiPriority w:val="0"/>
    <w:rPr>
      <w:rFonts w:hint="eastAsia" w:ascii="仿宋" w:hAnsi="仿宋" w:eastAsia="仿宋" w:cs="Times New Roman"/>
      <w:b/>
      <w:bCs/>
      <w:kern w:val="2"/>
      <w:sz w:val="28"/>
      <w:szCs w:val="22"/>
    </w:rPr>
  </w:style>
  <w:style w:type="character" w:customStyle="1" w:styleId="104">
    <w:name w:val="font61"/>
    <w:basedOn w:val="25"/>
    <w:qFormat/>
    <w:uiPriority w:val="0"/>
    <w:rPr>
      <w:rFonts w:hint="eastAsia" w:ascii="仿宋" w:hAnsi="仿宋" w:eastAsia="仿宋" w:cs="仿宋"/>
      <w:color w:val="000000"/>
      <w:sz w:val="24"/>
      <w:szCs w:val="24"/>
      <w:u w:val="none"/>
    </w:rPr>
  </w:style>
  <w:style w:type="character" w:customStyle="1" w:styleId="105">
    <w:name w:val="font51"/>
    <w:basedOn w:val="25"/>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emf"/><Relationship Id="rId17" Type="http://schemas.openxmlformats.org/officeDocument/2006/relationships/image" Target="media/image3.wmf"/><Relationship Id="rId16" Type="http://schemas.openxmlformats.org/officeDocument/2006/relationships/oleObject" Target="embeddings/oleObject1.bin"/><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186</Pages>
  <Words>50781</Words>
  <Characters>63241</Characters>
  <Lines>1045</Lines>
  <Paragraphs>294</Paragraphs>
  <TotalTime>13</TotalTime>
  <ScaleCrop>false</ScaleCrop>
  <LinksUpToDate>false</LinksUpToDate>
  <CharactersWithSpaces>65599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2021-12-18T20:26:00Z</dcterms:created>
  <dc:creator>Administrator</dc:creator>
  <cp:lastModifiedBy>闵信阳</cp:lastModifiedBy>
  <cp:lastPrinted>2021-10-07T12:59:00Z</cp:lastPrinted>
  <dcterms:modified xsi:type="dcterms:W3CDTF">2023-02-23T06:22:02Z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25C7A201A6084E25BBB6A69210563575</vt:lpwstr>
  </property>
</Properties>
</file>