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询价通知书</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标准谈话室家具采购</w:t>
      </w:r>
    </w:p>
    <w:p>
      <w:pPr>
        <w:pStyle w:val="null3"/>
        <w:jc w:val="center"/>
        <w:outlineLvl w:val="2"/>
      </w:pPr>
      <w:r>
        <w:rPr>
          <w:b/>
          <w:sz w:val="28"/>
        </w:rPr>
        <w:t>采购项目编号：</w:t>
      </w:r>
      <w:r>
        <w:rPr>
          <w:b/>
          <w:sz w:val="28"/>
        </w:rPr>
        <w:t>N5119022023000061</w:t>
      </w:r>
      <w:r>
        <w:br/>
      </w:r>
      <w:r>
        <w:br/>
      </w:r>
      <w:r>
        <w:br/>
      </w:r>
    </w:p>
    <w:p>
      <w:pPr>
        <w:pStyle w:val="null3"/>
        <w:jc w:val="center"/>
        <w:outlineLvl w:val="2"/>
      </w:pPr>
      <w:r>
        <w:rPr>
          <w:b/>
          <w:sz w:val="28"/>
        </w:rPr>
        <w:t>中国共产党巴中市巴州区纪律检查委员会</w:t>
      </w:r>
    </w:p>
    <w:p>
      <w:pPr>
        <w:pStyle w:val="null3"/>
        <w:jc w:val="center"/>
        <w:outlineLvl w:val="2"/>
      </w:pPr>
      <w:r>
        <w:rPr>
          <w:b/>
          <w:sz w:val="28"/>
        </w:rPr>
        <w:t>巴中市巴州区政府采购中心</w:t>
      </w:r>
      <w:r>
        <w:rPr>
          <w:b/>
          <w:sz w:val="28"/>
        </w:rPr>
        <w:t>共同编制</w:t>
      </w:r>
    </w:p>
    <w:p>
      <w:pPr>
        <w:pStyle w:val="null3"/>
        <w:jc w:val="center"/>
        <w:outlineLvl w:val="2"/>
      </w:pPr>
      <w:r>
        <w:rPr>
          <w:b/>
          <w:sz w:val="28"/>
        </w:rPr>
        <w:t>2023年07月14日</w:t>
      </w:r>
    </w:p>
    <w:p>
      <w:pPr>
        <w:pStyle w:val="null3"/>
      </w:pPr>
    </w:p>
    <w:p>
      <w:pPr>
        <w:pStyle w:val="null3"/>
      </w:pPr>
      <w:r>
        <w:rPr/>
        <w:t xml:space="preserve"> </w:t>
      </w:r>
    </w:p>
    <w:p>
      <w:pPr>
        <w:pStyle w:val="null3"/>
        <w:outlineLvl w:val="1"/>
      </w:pPr>
      <w:r>
        <w:rPr>
          <w:b/>
          <w:sz w:val="36"/>
        </w:rPr>
        <w:t>第一章 询价邀请</w:t>
      </w:r>
    </w:p>
    <w:p>
      <w:pPr>
        <w:pStyle w:val="null3"/>
        <w:ind w:firstLine="480"/>
      </w:pPr>
      <w:r>
        <w:rPr/>
        <w:t>巴中市巴州区政府采购中心</w:t>
      </w:r>
      <w:r>
        <w:rPr/>
        <w:t>（以下简称“代理机构”）受</w:t>
      </w:r>
      <w:r>
        <w:rPr/>
        <w:t>中国共产党巴中市巴州区纪律检查委员会</w:t>
      </w:r>
      <w:r>
        <w:rPr/>
        <w:t>委托，拟对</w:t>
      </w:r>
      <w:r>
        <w:rPr/>
        <w:t>标准谈话室家具采购</w:t>
      </w:r>
      <w:r>
        <w:rPr/>
        <w:t>进行询价采购，兹邀请供应商参加询价。</w:t>
      </w:r>
    </w:p>
    <w:p>
      <w:pPr>
        <w:pStyle w:val="null3"/>
        <w:outlineLvl w:val="2"/>
      </w:pPr>
      <w:r>
        <w:rPr>
          <w:b/>
          <w:sz w:val="28"/>
        </w:rPr>
        <w:t>一、采购项目编号：</w:t>
      </w:r>
      <w:r>
        <w:rPr>
          <w:b/>
          <w:sz w:val="28"/>
        </w:rPr>
        <w:t>N5119022023000061</w:t>
      </w:r>
    </w:p>
    <w:p>
      <w:pPr>
        <w:pStyle w:val="null3"/>
        <w:outlineLvl w:val="2"/>
      </w:pPr>
      <w:r>
        <w:rPr>
          <w:b/>
          <w:sz w:val="28"/>
        </w:rPr>
        <w:t>二、采购项目名称：</w:t>
      </w:r>
      <w:r>
        <w:rPr>
          <w:b/>
          <w:sz w:val="28"/>
        </w:rPr>
        <w:t>标准谈话室家具采购</w:t>
      </w:r>
    </w:p>
    <w:p>
      <w:pPr>
        <w:pStyle w:val="null3"/>
        <w:outlineLvl w:val="2"/>
      </w:pPr>
      <w:r>
        <w:rPr>
          <w:b/>
          <w:sz w:val="28"/>
        </w:rPr>
        <w:t>三、项目简介</w:t>
      </w:r>
    </w:p>
    <w:p>
      <w:pPr>
        <w:pStyle w:val="null3"/>
        <w:ind w:firstLine="480"/>
      </w:pPr>
      <w:r>
        <w:rPr/>
        <w:t>本项目需采购办公桌、办公椅、文件柜等办公家具，以满足纪委办公室日常办公需求（详见本通知书第三章）。</w:t>
      </w:r>
    </w:p>
    <w:p>
      <w:pPr>
        <w:pStyle w:val="null3"/>
        <w:outlineLvl w:val="2"/>
      </w:pPr>
      <w:r>
        <w:rPr>
          <w:b/>
          <w:sz w:val="28"/>
        </w:rPr>
        <w:t>四、邀请供应商方式</w:t>
      </w:r>
    </w:p>
    <w:p>
      <w:pPr>
        <w:pStyle w:val="null3"/>
      </w:pPr>
    </w:p>
    <w:p>
      <w:pPr>
        <w:pStyle w:val="null3"/>
      </w:pPr>
    </w:p>
    <w:p>
      <w:pPr>
        <w:pStyle w:val="null3"/>
      </w:pPr>
      <w:r>
        <w:rPr/>
        <w:t>本次采购采取公告征集邀请询价的供应商。</w:t>
      </w:r>
    </w:p>
    <w:p>
      <w:pPr>
        <w:pStyle w:val="null3"/>
      </w:pPr>
      <w:r>
        <w:rPr/>
        <w:t>公告征集：本次询价采购在“四川政府采购网（www.ccgp-sichuan.gov.cn）”上以公告形式发布，兹邀请符合本次采购要求的供应商参加本项目询价采购。</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采购包1（中国共产党巴中市巴州区纪律检查委员会标准谈话室家具采购）：属于专门面向中小企业采购。</w:t>
      </w:r>
    </w:p>
    <w:p>
      <w:pPr>
        <w:pStyle w:val="null3"/>
        <w:ind w:firstLine="480"/>
        <w:jc w:val="left"/>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七、询价通知书获取时间、方式及地址</w:t>
      </w:r>
    </w:p>
    <w:p>
      <w:pPr>
        <w:pStyle w:val="null3"/>
        <w:ind w:firstLine="480"/>
      </w:pPr>
      <w:r>
        <w:rPr/>
        <w:t>（一）询价通知书获取时间：详见采购公告或邀请书。</w:t>
      </w:r>
    </w:p>
    <w:p>
      <w:pPr>
        <w:pStyle w:val="null3"/>
        <w:ind w:firstLine="480"/>
      </w:pPr>
      <w:r>
        <w:rPr/>
        <w:t>（二）在询价通知书获取开始时间前，采购人或代理机构将本项目询价通知书上传至项目电子化交易系统，免费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t>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供应商未重新获取询价通知书或者未按照澄清或者修改后的询价通知书编制响应文件进行响应的，自行承担不利后果。</w:t>
      </w:r>
    </w:p>
    <w:p>
      <w:pPr>
        <w:pStyle w:val="null3"/>
        <w:ind w:firstLine="480"/>
      </w:pPr>
      <w:r>
        <w:rPr/>
        <w:t>注：获取的询价通知书主体格式包括pdf、word两种格式版本，其中以pdf格式为准。</w:t>
      </w:r>
    </w:p>
    <w:p>
      <w:pPr>
        <w:pStyle w:val="null3"/>
        <w:outlineLvl w:val="2"/>
      </w:pPr>
      <w:r>
        <w:rPr>
          <w:b/>
          <w:sz w:val="28"/>
        </w:rPr>
        <w:t>八、响应文件提交截止时间及开启时间（北京时间）、地点、方式</w:t>
      </w:r>
    </w:p>
    <w:p>
      <w:pPr>
        <w:pStyle w:val="null3"/>
        <w:ind w:firstLine="480"/>
      </w:pPr>
      <w:r>
        <w:rPr/>
        <w:t>（一）响应文件提交截止时间及开启时间：详见采购公告或邀请书。</w:t>
      </w:r>
    </w:p>
    <w:p>
      <w:pPr>
        <w:pStyle w:val="null3"/>
        <w:ind w:firstLine="480"/>
      </w:pPr>
      <w:r>
        <w:rPr/>
        <w:t>（二）响应文件提交方式、地点：供应商应当在响应文件提交截止时间前，通过项目电子化交易系统提交响应文件。成功提交的，供应商将收到已提交响应文件的回执函。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（三）本项目采取网上开启，即采购人或代理机构通过项目电子化交易系统“开标/开启大厅”组织在线开启。</w:t>
      </w:r>
    </w:p>
    <w:p>
      <w:pPr>
        <w:pStyle w:val="null3"/>
        <w:outlineLvl w:val="2"/>
      </w:pPr>
      <w:r>
        <w:rPr>
          <w:b/>
          <w:sz w:val="28"/>
        </w:rPr>
        <w:t>九、本询价邀请在四川政府采购网以公告形式发布</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2"/>
      </w:pPr>
      <w:r>
        <w:rPr>
          <w:b/>
          <w:sz w:val="28"/>
        </w:rPr>
        <w:t>采购人：</w:t>
      </w:r>
      <w:r>
        <w:rPr>
          <w:b/>
          <w:sz w:val="28"/>
        </w:rPr>
        <w:t>中国共产党巴中市巴州区纪律检查委员会</w:t>
      </w:r>
    </w:p>
    <w:p>
      <w:pPr>
        <w:pStyle w:val="null3"/>
      </w:pPr>
    </w:p>
    <w:p>
      <w:pPr>
        <w:pStyle w:val="null3"/>
      </w:pPr>
    </w:p>
    <w:p>
      <w:pPr>
        <w:pStyle w:val="null3"/>
      </w:pPr>
      <w:r>
        <w:rPr/>
        <w:t>地址：</w:t>
      </w:r>
      <w:r>
        <w:rPr/>
        <w:t>四川省巴中市巴州区巴州大道西段747号</w:t>
      </w:r>
    </w:p>
    <w:p>
      <w:pPr>
        <w:pStyle w:val="null3"/>
      </w:pPr>
      <w:r>
        <w:rPr/>
        <w:t>邮编：</w:t>
      </w:r>
      <w:r>
        <w:rPr/>
        <w:t>636000</w:t>
      </w:r>
    </w:p>
    <w:p>
      <w:pPr>
        <w:pStyle w:val="null3"/>
      </w:pPr>
      <w:r>
        <w:rPr/>
        <w:t>联系人：</w:t>
      </w:r>
      <w:r>
        <w:rPr/>
        <w:t>张先生</w:t>
      </w:r>
    </w:p>
    <w:p>
      <w:pPr>
        <w:pStyle w:val="null3"/>
      </w:pPr>
      <w:r>
        <w:rPr/>
        <w:t>联系电话：</w:t>
      </w:r>
      <w:r>
        <w:rPr/>
        <w:t>13619095044</w:t>
      </w:r>
    </w:p>
    <w:p>
      <w:pPr>
        <w:pStyle w:val="null3"/>
        <w:outlineLvl w:val="2"/>
      </w:pPr>
      <w:r>
        <w:rPr>
          <w:b/>
          <w:sz w:val="28"/>
        </w:rPr>
        <w:t>代理机构：</w:t>
      </w:r>
      <w:r>
        <w:rPr>
          <w:b/>
          <w:sz w:val="28"/>
        </w:rPr>
        <w:t>巴中市巴州区政府采购中心</w:t>
      </w:r>
    </w:p>
    <w:p>
      <w:pPr>
        <w:pStyle w:val="null3"/>
      </w:pPr>
    </w:p>
    <w:p>
      <w:pPr>
        <w:pStyle w:val="null3"/>
      </w:pPr>
    </w:p>
    <w:p>
      <w:pPr>
        <w:pStyle w:val="null3"/>
      </w:pPr>
      <w:r>
        <w:rPr/>
        <w:t>地址：</w:t>
      </w:r>
      <w:r>
        <w:rPr/>
        <w:t>四川省巴中市巴州区广场街67号</w:t>
      </w:r>
    </w:p>
    <w:p>
      <w:pPr>
        <w:pStyle w:val="null3"/>
      </w:pPr>
      <w:r>
        <w:rPr/>
        <w:t>邮编：</w:t>
      </w:r>
      <w:r>
        <w:rPr/>
        <w:t>636000</w:t>
      </w:r>
    </w:p>
    <w:p>
      <w:pPr>
        <w:pStyle w:val="null3"/>
      </w:pPr>
      <w:r>
        <w:rPr/>
        <w:t>联系人：</w:t>
      </w:r>
      <w:r>
        <w:rPr/>
        <w:t>交易受理股</w:t>
      </w:r>
    </w:p>
    <w:p>
      <w:pPr>
        <w:pStyle w:val="null3"/>
      </w:pPr>
      <w:r>
        <w:rPr/>
        <w:t>联系电话：</w:t>
      </w:r>
      <w:r>
        <w:rPr/>
        <w:t>0827-8668810</w:t>
      </w:r>
    </w:p>
    <w:p>
      <w:pPr>
        <w:pStyle w:val="null3"/>
        <w:outlineLvl w:val="2"/>
      </w:pPr>
      <w:r>
        <w:rPr>
          <w:b/>
          <w:sz w:val="28"/>
        </w:rPr>
        <w:t>采购监督机构：</w:t>
      </w:r>
      <w:r>
        <w:rPr>
          <w:b/>
          <w:sz w:val="28"/>
        </w:rPr>
        <w:t>巴中市巴州区财政局</w:t>
      </w:r>
    </w:p>
    <w:p>
      <w:pPr>
        <w:pStyle w:val="null3"/>
        <w:ind w:firstLine="480"/>
      </w:pPr>
      <w:r>
        <w:rPr/>
        <w:t>联系人：</w:t>
      </w:r>
      <w:r>
        <w:rPr/>
        <w:t>政府采购监督管理股</w:t>
      </w:r>
    </w:p>
    <w:p>
      <w:pPr>
        <w:pStyle w:val="null3"/>
        <w:ind w:firstLine="480"/>
      </w:pPr>
      <w:r>
        <w:rPr/>
        <w:t>联系电话：</w:t>
      </w:r>
      <w:r>
        <w:rPr/>
        <w:t>0827-5282975</w:t>
      </w:r>
    </w:p>
    <w:p>
      <w:pPr>
        <w:pStyle w:val="null3"/>
      </w:pPr>
    </w:p>
    <w:p>
      <w:pPr>
        <w:pStyle w:val="null3"/>
      </w:pPr>
      <w:r>
        <w:rPr/>
        <w:t xml:space="preserve"> </w:t>
      </w:r>
    </w:p>
    <w:p>
      <w:pPr>
        <w:pStyle w:val="null3"/>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采购包1：149,300.00元</w:t>
            </w:r>
            <w:r>
              <w:rPr/>
              <w:t>供应商的采购包响应报价高于采购包采购预算的，其响应文件将按无效处理。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最低评标价法（详见第四章）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办公桌1、办公桌2、书柜、桌前椅、三人沙发、茶几、办公椅、保密柜、会议桌、会议椅、办公桌3、文件柜</w:t>
            </w:r>
            <w:r>
              <w:rPr/>
              <w:t>产品属于环境标志产品政府采购品目清单中应优先采购的产品范围，响应报价相同的，按供应商提供的优先采购产品认证证书数量由多到少顺序排列。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关于本项目采购包中执行小微企业（监狱企业、残疾人福利性单位视同小微企业）价格扣除情况、具体扣除比例和规则详见第四章。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t>核心产品清单详见第三章。</w:t>
            </w:r>
          </w:p>
          <w:p>
            <w:pPr>
              <w:pStyle w:val="null3"/>
            </w:pPr>
            <w:r>
              <w:rPr/>
              <w:t>在符合性审查环节提供核心产品品牌不足3个的，视为有效响应供应商不足3家。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tc>
      </w:tr>
      <w:tr>
        <w:tc>
          <w:tcPr>
            <w:tcW w:type="dxa" w:w="1051"/>
          </w:tcPr>
          <w:p>
            <w:pPr>
              <w:pStyle w:val="null3"/>
            </w:pPr>
            <w:r>
              <w:rPr/>
              <w:t>9</w:t>
            </w:r>
          </w:p>
        </w:tc>
        <w:tc>
          <w:tcPr>
            <w:tcW w:type="dxa" w:w="2252"/>
          </w:tcPr>
          <w:p>
            <w:pPr>
              <w:pStyle w:val="null3"/>
            </w:pPr>
            <w:r>
              <w:rPr/>
              <w:t>保证金</w:t>
            </w:r>
          </w:p>
        </w:tc>
        <w:tc>
          <w:tcPr>
            <w:tcW w:type="dxa" w:w="5004"/>
          </w:tcPr>
          <w:p>
            <w:pPr>
              <w:pStyle w:val="null3"/>
            </w:pPr>
            <w:r>
              <w:rPr/>
              <w:t>本项目不收取保证金。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开启方式</w:t>
            </w:r>
          </w:p>
        </w:tc>
        <w:tc>
          <w:tcPr>
            <w:tcW w:type="dxa" w:w="5004"/>
          </w:tcPr>
          <w:p>
            <w:pPr>
              <w:pStyle w:val="null3"/>
            </w:pPr>
            <w:r>
              <w:rPr/>
              <w:t>响应文件提交截止时间前30分钟，供应商登录项目电子化交易系统-“开标/开启大厅”参与开启。</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出现下列情形之一的，采购人或者采购代理机构应当中止电子化采购活动，并保留相关证明材料备查：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出现上述的情形，不影响采购公平、公正的，采购人或者采购代理机构可以待上述情形消除后继续组织采购活动；影响或者可能影响采购公平、公正的，采购人或者采购代理机构应当依法终止采购活动。</w:t>
            </w:r>
          </w:p>
        </w:tc>
      </w:tr>
      <w:tr>
        <w:tc>
          <w:tcPr>
            <w:tcW w:type="dxa" w:w="1051"/>
          </w:tcPr>
          <w:p>
            <w:pPr>
              <w:pStyle w:val="null3"/>
            </w:pPr>
            <w:r>
              <w:rPr/>
              <w:t>20</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一、本询价通知书仅适用于本次询价采购项目。</w:t>
      </w:r>
    </w:p>
    <w:p>
      <w:pPr>
        <w:pStyle w:val="null3"/>
        <w:ind w:firstLine="480"/>
      </w:pPr>
      <w:r>
        <w:rPr/>
        <w:t>二、本询价通知书的最终解释权由</w:t>
      </w:r>
      <w:r>
        <w:rPr/>
        <w:t>中国共产党巴中市巴州区纪律检查委员会</w:t>
      </w:r>
      <w:r>
        <w:rPr/>
        <w:t>和</w:t>
      </w:r>
      <w:r>
        <w:rPr/>
        <w:t>巴中市巴州区政府采购中心</w:t>
      </w:r>
      <w:r>
        <w:rPr/>
        <w:t>享有。询价通知书中供应商参加本次政府采购活动应当具备的条件、技术、服务、商务及其他要求由采购人负责解释。除前述询价通知书内容，其他内容</w:t>
      </w:r>
      <w:r>
        <w:rPr/>
        <w:t>巴中市巴州区政府采购中心</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一、“采购人”是指依法进行政府采购的各级国家机关、事业单位、团体组织。本次询价采购项目的采购人是</w:t>
      </w:r>
      <w:r>
        <w:rPr/>
        <w:t>中国共产党巴中市巴州区纪律检查委员会</w:t>
      </w:r>
      <w:r>
        <w:rPr/>
        <w:t>。</w:t>
      </w:r>
    </w:p>
    <w:p>
      <w:pPr>
        <w:pStyle w:val="null3"/>
        <w:ind w:firstLine="480"/>
      </w:pPr>
      <w:r>
        <w:rPr/>
        <w:t>二、“供应商”是指按照本项目询价通知书规定获取询价通知书，拟参加响应和向采购人提供货物及相应服务的法人、其他组织或自然人。</w:t>
      </w:r>
    </w:p>
    <w:p>
      <w:pPr>
        <w:pStyle w:val="null3"/>
        <w:ind w:firstLine="480"/>
      </w:pPr>
      <w:r>
        <w:rPr/>
        <w:t>三、“代理机构”是指政府采购集中采购机构从事政府采购代理业务的社会中介机构。本项目的代理机构是</w:t>
      </w:r>
      <w:r>
        <w:rPr/>
        <w:t>巴中市巴州区政府采购中心</w:t>
      </w:r>
      <w:r>
        <w:rPr/>
        <w:t>。</w:t>
      </w:r>
    </w:p>
    <w:p>
      <w:pPr>
        <w:pStyle w:val="null3"/>
        <w:ind w:firstLine="480"/>
      </w:pPr>
      <w:r>
        <w:rPr/>
        <w:t>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t>五、“电子评审”是指通过项目电子化交易系统在线完成询价小组组建，开展资格和符合性审查、比较与评价、出具评审报告、推荐成交候选供应商等活动。</w:t>
      </w:r>
    </w:p>
    <w:p>
      <w:pPr>
        <w:pStyle w:val="null3"/>
        <w:outlineLvl w:val="2"/>
      </w:pPr>
      <w:r>
        <w:rPr>
          <w:b/>
          <w:sz w:val="28"/>
        </w:rPr>
        <w:t>2.3询价通知书</w:t>
      </w:r>
    </w:p>
    <w:p>
      <w:pPr>
        <w:pStyle w:val="null3"/>
        <w:outlineLvl w:val="3"/>
      </w:pPr>
      <w:r>
        <w:rPr>
          <w:b/>
          <w:sz w:val="24"/>
        </w:rPr>
        <w:t>2.3.1询价通知书的构成</w:t>
      </w:r>
    </w:p>
    <w:p>
      <w:pPr>
        <w:pStyle w:val="null3"/>
        <w:ind w:firstLine="480"/>
      </w:pPr>
      <w:r>
        <w:rPr/>
        <w:t>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t>（一）询价邀请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（四）询价方法</w:t>
      </w:r>
    </w:p>
    <w:p>
      <w:pPr>
        <w:pStyle w:val="null3"/>
        <w:ind w:firstLine="480"/>
      </w:pPr>
      <w:r>
        <w:rPr/>
        <w:t>（五）响应文件格式</w:t>
      </w:r>
    </w:p>
    <w:p>
      <w:pPr>
        <w:pStyle w:val="null3"/>
        <w:ind w:firstLine="480"/>
      </w:pPr>
      <w:r>
        <w:rPr/>
        <w:t>（六）拟签订采购合同文本</w:t>
      </w:r>
    </w:p>
    <w:p>
      <w:pPr>
        <w:pStyle w:val="null3"/>
        <w:ind w:firstLine="480"/>
      </w:pPr>
      <w:r>
        <w:rPr/>
        <w:t>二、供应商应认真阅读和充分理解询价通知书中所有的事项、格式条款和规范要求。供应商没有对询价通知书全面作出实质性响应所产生的风险由供应商承担。</w:t>
      </w:r>
    </w:p>
    <w:p>
      <w:pPr>
        <w:pStyle w:val="null3"/>
        <w:outlineLvl w:val="3"/>
      </w:pPr>
      <w:r>
        <w:rPr>
          <w:b/>
          <w:sz w:val="24"/>
        </w:rPr>
        <w:t>2.3.2询价通知书的澄清和修改</w:t>
      </w:r>
    </w:p>
    <w:p>
      <w:pPr>
        <w:pStyle w:val="null3"/>
        <w:ind w:firstLine="480"/>
      </w:pPr>
      <w:r>
        <w:rPr/>
        <w:t>一、在响应文件提交截止时间前，采购人或者代理机构可以对已发出的询价通知书进行必要的澄清或者修改。</w:t>
      </w:r>
    </w:p>
    <w:p>
      <w:pPr>
        <w:pStyle w:val="null3"/>
        <w:ind w:firstLine="480"/>
      </w:pPr>
      <w:r>
        <w:rPr/>
        <w:t>二、澄清或者修改的内容为询价通知书的组成部分。采购人或代理机构将在四川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除询价通知书中另有规定外，本项目均采用国家法定的计量单位。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三、如采用供应商所不拥有的知识产权，则在报价中必须包括合法获取使用该知识产权的相关费用。</w:t>
      </w:r>
    </w:p>
    <w:p>
      <w:pPr>
        <w:pStyle w:val="null3"/>
        <w:outlineLvl w:val="3"/>
      </w:pPr>
      <w:r>
        <w:rPr>
          <w:b/>
          <w:sz w:val="24"/>
        </w:rPr>
        <w:t>2.4.5响应文件的组成</w:t>
      </w:r>
    </w:p>
    <w:p>
      <w:pPr>
        <w:pStyle w:val="null3"/>
        <w:ind w:firstLine="480"/>
      </w:pPr>
      <w:r>
        <w:rPr/>
        <w:t>一、供应商应按照询价通知书的规定和要求编制响应文件。</w:t>
      </w:r>
    </w:p>
    <w:p>
      <w:pPr>
        <w:pStyle w:val="null3"/>
        <w:ind w:firstLine="480"/>
      </w:pPr>
      <w:r>
        <w:rPr/>
        <w:t>二、响应文件具体内容详见第五章。</w:t>
      </w:r>
    </w:p>
    <w:p>
      <w:pPr>
        <w:pStyle w:val="null3"/>
        <w:outlineLvl w:val="3"/>
      </w:pPr>
      <w:r>
        <w:rPr>
          <w:b/>
          <w:sz w:val="24"/>
        </w:rPr>
        <w:t>2.4.6响应文件格式</w:t>
      </w:r>
    </w:p>
    <w:p>
      <w:pPr>
        <w:pStyle w:val="null3"/>
        <w:ind w:firstLine="480"/>
      </w:pPr>
      <w:r>
        <w:rPr/>
        <w:t>一、供应商应按照询价通知书第五章中提供的“响应文件格式”填写相关内容。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一、供应商的报价是其响应本项目要求的全部工作内容的价格体现，包括供应商完成本项目所需的一切费用。</w:t>
      </w:r>
    </w:p>
    <w:p>
      <w:pPr>
        <w:pStyle w:val="null3"/>
        <w:ind w:firstLine="480"/>
      </w:pPr>
      <w:r>
        <w:rPr/>
        <w:t>二、供应商每种货物及服务内容只允许有一个报价，并且在合同履行过程中是固定不变的，任何有选择或可调整的报价将不予接受，并按无效响应处理。</w:t>
      </w:r>
    </w:p>
    <w:p>
      <w:pPr>
        <w:pStyle w:val="null3"/>
        <w:ind w:firstLine="480"/>
      </w:pPr>
      <w:r>
        <w:rPr/>
        <w:t>三、通过资格审查和符合性审查供应商的响应文件中的报价表或分项报价明细表是一次性不可更改的报价。</w:t>
      </w:r>
    </w:p>
    <w:p>
      <w:pPr>
        <w:pStyle w:val="null3"/>
        <w:outlineLvl w:val="3"/>
      </w:pPr>
      <w:r>
        <w:rPr>
          <w:b/>
          <w:sz w:val="24"/>
        </w:rPr>
        <w:t>2.4.8响应文件有效期（实质性要求）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一、响应文件应当根据询价通知书进行编制。供应商应通过四川政府采购网-办事指南下载响应客户端，使用客户端编制响应文件。</w:t>
      </w:r>
    </w:p>
    <w:p>
      <w:pPr>
        <w:pStyle w:val="null3"/>
        <w:ind w:firstLine="480"/>
      </w:pPr>
      <w:r>
        <w:rPr/>
        <w:t>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b/>
          <w:sz w:val="24"/>
        </w:rPr>
        <w:t>2.4.10响应文件的提交（实质性要求）</w:t>
      </w:r>
    </w:p>
    <w:p>
      <w:pPr>
        <w:pStyle w:val="null3"/>
        <w:ind w:firstLine="480"/>
      </w:pPr>
      <w:r>
        <w:rPr/>
        <w:t>一、供应商应当在响应文件提交截止时间前，通过项目电子化交易系统完成响应文件提交。</w:t>
      </w:r>
    </w:p>
    <w:p>
      <w:pPr>
        <w:pStyle w:val="null3"/>
        <w:ind w:firstLine="480"/>
      </w:pPr>
      <w:r>
        <w:rPr/>
        <w:t>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2.4.11响应文件的补充、修改、撤回（实质性要求）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2.5.开启、资格审查、询价和成交</w:t>
      </w:r>
    </w:p>
    <w:p>
      <w:pPr>
        <w:pStyle w:val="null3"/>
        <w:outlineLvl w:val="3"/>
      </w:pPr>
      <w:r>
        <w:rPr>
          <w:b/>
          <w:sz w:val="24"/>
        </w:rPr>
        <w:t>2.5.1开启程序</w:t>
      </w:r>
    </w:p>
    <w:p>
      <w:pPr>
        <w:pStyle w:val="null3"/>
        <w:ind w:firstLine="480"/>
      </w:pPr>
      <w:r>
        <w:rPr/>
        <w:t>一、本项目为网上询价项目。网上开启的开始时间为响应文件提交截止时间。成功提交或成功提交和解密电子响应文件的供应商不足3家的，不予开启，采购人或代理机构将终止采购活动。</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详见询价通知书第四章。</w:t>
      </w:r>
    </w:p>
    <w:p>
      <w:pPr>
        <w:pStyle w:val="null3"/>
        <w:outlineLvl w:val="3"/>
      </w:pPr>
      <w:r>
        <w:rPr>
          <w:b/>
          <w:sz w:val="24"/>
        </w:rPr>
        <w:t>2.5.4询价</w:t>
      </w:r>
    </w:p>
    <w:p>
      <w:pPr>
        <w:pStyle w:val="null3"/>
        <w:ind w:firstLine="480"/>
      </w:pPr>
      <w:r>
        <w:rPr/>
        <w:t>详见询价通知书第四章</w:t>
      </w:r>
    </w:p>
    <w:p>
      <w:pPr>
        <w:pStyle w:val="null3"/>
        <w:outlineLvl w:val="3"/>
      </w:pPr>
      <w:r>
        <w:rPr>
          <w:b/>
          <w:sz w:val="24"/>
        </w:rPr>
        <w:t>2.5.5成交通知书</w:t>
      </w:r>
    </w:p>
    <w:p>
      <w:pPr>
        <w:pStyle w:val="null3"/>
        <w:ind w:firstLine="480"/>
      </w:pPr>
      <w:r>
        <w:rPr/>
        <w:t>一、采购人或者询价小组确认成交供应商后，代理机构在四川政府采购网发布成交结果公告、通过项目电子化交易系统发出成交通知书，成交供应商通过项目电子化交易系统获取成交通知书。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二、采购人和成交供应商签订的采购合同不得对询价通知书确定的事项以及成交供应商的响应文件作实质性修改。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2</w:t>
      </w:r>
      <w:r>
        <w:rPr/>
        <w:t>日内组织验收</w:t>
      </w:r>
    </w:p>
    <w:p>
      <w:pPr>
        <w:pStyle w:val="null3"/>
        <w:ind w:firstLine="840"/>
      </w:pPr>
      <w:r>
        <w:rPr/>
        <w:t>8）验收组织的其他事项：</w:t>
      </w:r>
      <w:r>
        <w:rPr/>
        <w:t>无</w:t>
      </w:r>
    </w:p>
    <w:p>
      <w:pPr>
        <w:pStyle w:val="null3"/>
        <w:ind w:firstLine="840"/>
      </w:pPr>
      <w:r>
        <w:rPr/>
        <w:t>9）技术履约验收内容：</w:t>
      </w:r>
      <w:r>
        <w:rPr/>
        <w:t>技术服务要求全部内容</w:t>
      </w:r>
    </w:p>
    <w:p>
      <w:pPr>
        <w:pStyle w:val="null3"/>
        <w:ind w:firstLine="840"/>
      </w:pPr>
      <w:r>
        <w:rPr/>
        <w:t>10）商务履约验收内容：</w:t>
      </w:r>
      <w:r>
        <w:rPr/>
        <w:t>商务服务要求全部内容</w:t>
      </w:r>
    </w:p>
    <w:p>
      <w:pPr>
        <w:pStyle w:val="null3"/>
        <w:ind w:firstLine="840"/>
      </w:pPr>
      <w:r>
        <w:rPr/>
        <w:t>11）履约验收标准：</w:t>
      </w:r>
    </w:p>
    <w:p>
      <w:pPr>
        <w:pStyle w:val="null3"/>
      </w:pPr>
    </w:p>
    <w:p>
      <w:pPr>
        <w:pStyle w:val="null3"/>
        <w:ind w:firstLine="1200"/>
      </w:pPr>
      <w:r>
        <w:rPr/>
        <w:t>1.供应商在验收准备完成后通知采购人，采购人在接到通知后2日内组织履约验收，验收合格，双方签署《验收报告》； 2.验收方式：采购单位内部进行验收 。 3.验收标准：严格按照《财政部关于进一步加强采购需求和履约验收管理的指导意见》的通知（财库〔2016〕205号）及《政府采购需求管理办法》（财库〔2021〕22号）的要求、采购文件规定的要求和响应文件及合同承诺的内容进行验收。 4.验收时如发现所交付的货物有短装、次品、损坏或其它不符合标准及本合同规定之情形者，采购人应做出详尽的现场记录，或由采购人与供应商双方签署备忘录，此现场记录或备忘录可用作补充、缺失和更换损坏部件的有效证据，由此产生的时间延误 与有关费用由供应商承担，验收期限相应顺延； 5.采购人在规定时间内无故不进行验收工作并已使用货物的，视同验收合格。 6.项目验收结果合格的，供应商凭验收合格证明书至采购人处办理剩余采购资金支付；验收结果不合格的，将不予支付剩余采购资金。</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2.7询价采购工作纪律及要求</w:t>
      </w:r>
    </w:p>
    <w:p>
      <w:pPr>
        <w:pStyle w:val="null3"/>
        <w:outlineLvl w:val="3"/>
      </w:pPr>
      <w:r>
        <w:rPr>
          <w:b/>
          <w:sz w:val="24"/>
        </w:rPr>
        <w:t>2.7.1供应商不得具有的情形（实质性要求）</w:t>
      </w:r>
    </w:p>
    <w:p>
      <w:pPr>
        <w:pStyle w:val="null3"/>
        <w:ind w:firstLine="480"/>
      </w:pPr>
      <w:r>
        <w:rPr/>
        <w:t>供应商参加询价不得有下列情形：</w:t>
      </w:r>
    </w:p>
    <w:p>
      <w:pPr>
        <w:pStyle w:val="null3"/>
        <w:ind w:firstLine="480"/>
      </w:pPr>
      <w:r>
        <w:rPr/>
        <w:t>一、有下列情形之一的，视为供应商串通询价：</w:t>
      </w:r>
    </w:p>
    <w:p>
      <w:pPr>
        <w:pStyle w:val="null3"/>
        <w:ind w:firstLine="480"/>
      </w:pPr>
      <w:r>
        <w:rPr/>
        <w:t>（一）不同供应商的响应文件由同一单位或者个人编制；</w:t>
      </w:r>
    </w:p>
    <w:p>
      <w:pPr>
        <w:pStyle w:val="null3"/>
        <w:ind w:firstLine="480"/>
      </w:pPr>
      <w:r>
        <w:rPr/>
        <w:t>（二）不同供应商委托同一单位或者个人办理询价事宜；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五、向采购人或代理机构、询价小组成员行贿或者提供其他不正当利益；</w:t>
      </w:r>
    </w:p>
    <w:p>
      <w:pPr>
        <w:pStyle w:val="null3"/>
        <w:ind w:firstLine="480"/>
      </w:pPr>
      <w:r>
        <w:rPr/>
        <w:t>六、在询价过程中与采购人或代理机构进行协商谈判；</w:t>
      </w:r>
    </w:p>
    <w:p>
      <w:pPr>
        <w:pStyle w:val="null3"/>
        <w:ind w:firstLine="480"/>
      </w:pPr>
      <w:r>
        <w:rPr/>
        <w:t>七、成交后无正当理由拒不与采购人签订政府采购合同；</w:t>
      </w:r>
    </w:p>
    <w:p>
      <w:pPr>
        <w:pStyle w:val="null3"/>
        <w:ind w:firstLine="480"/>
      </w:pPr>
      <w:r>
        <w:rPr/>
        <w:t>八、未按照询价通知书确定的事项签订政府采购合同；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根据委托代理协议约定，供应商对询价通知书的询问、质疑由</w:t>
      </w:r>
      <w:r>
        <w:rPr/>
        <w:t>巴中市巴州区政府采购中心</w:t>
      </w:r>
      <w:r>
        <w:rPr/>
        <w:t>负责答复；供应商对采购过程的询问、质疑由</w:t>
      </w:r>
      <w:r>
        <w:rPr/>
        <w:t>巴中市巴州区政府采购中心</w:t>
      </w:r>
      <w:r>
        <w:rPr/>
        <w:t>负责答复；供应商对采购结果的询问、质疑由</w:t>
      </w:r>
      <w:r>
        <w:rPr/>
        <w:t>巴中市巴州区政府采购中心</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（五）针对质疑事项必要的证明材料（针对询价通知书提出的质疑，需提交从项目电子化交易系统获取的询价通知书回执函）。</w:t>
      </w:r>
    </w:p>
    <w:p>
      <w:pPr>
        <w:pStyle w:val="null3"/>
      </w:pPr>
    </w:p>
    <w:p>
      <w:pPr>
        <w:pStyle w:val="null3"/>
      </w:pPr>
    </w:p>
    <w:p>
      <w:pPr>
        <w:pStyle w:val="null3"/>
      </w:pPr>
      <w:r>
        <w:rPr/>
        <w:t>答复主体：采购单位</w:t>
      </w:r>
    </w:p>
    <w:p>
      <w:pPr>
        <w:pStyle w:val="null3"/>
      </w:pPr>
      <w:r>
        <w:rPr/>
        <w:t>联系人：张先生</w:t>
      </w:r>
    </w:p>
    <w:p>
      <w:pPr>
        <w:pStyle w:val="null3"/>
      </w:pPr>
      <w:r>
        <w:rPr/>
        <w:t>联系电话：13619095044</w:t>
      </w:r>
    </w:p>
    <w:p>
      <w:pPr>
        <w:pStyle w:val="null3"/>
      </w:pPr>
      <w:r>
        <w:rPr/>
        <w:t>地址：中国共产党巴中市巴州区纪律检查委员会</w:t>
      </w:r>
    </w:p>
    <w:p>
      <w:pPr>
        <w:pStyle w:val="null3"/>
      </w:pPr>
      <w:r>
        <w:rPr/>
        <w:t>邮编：636000</w:t>
      </w:r>
    </w:p>
    <w:p>
      <w:pPr>
        <w:pStyle w:val="null3"/>
      </w:pPr>
      <w:r>
        <w:rPr/>
        <w:t>答复主体：代理机构</w:t>
      </w:r>
    </w:p>
    <w:p>
      <w:pPr>
        <w:pStyle w:val="null3"/>
      </w:pPr>
      <w:r>
        <w:rPr/>
        <w:t>联系人：现场监督股</w:t>
      </w:r>
    </w:p>
    <w:p>
      <w:pPr>
        <w:pStyle w:val="null3"/>
      </w:pPr>
      <w:r>
        <w:rPr/>
        <w:t>联系电话：0827-8668812</w:t>
      </w:r>
    </w:p>
    <w:p>
      <w:pPr>
        <w:pStyle w:val="null3"/>
      </w:pPr>
      <w:r>
        <w:rPr/>
        <w:t>地址：巴中市巴州区政府采购中心（巴中市广场街67号九洲商业城4楼）</w:t>
      </w:r>
    </w:p>
    <w:p>
      <w:pPr>
        <w:pStyle w:val="null3"/>
      </w:pPr>
      <w:r>
        <w:rPr/>
        <w:t>邮编：636000</w:t>
      </w:r>
    </w:p>
    <w:p>
      <w:pPr>
        <w:pStyle w:val="null3"/>
        <w:ind w:firstLine="480"/>
      </w:pPr>
      <w:r>
        <w:rPr/>
        <w:t>注：根据《中华人民共和国政府采购法》的规定，供应商质疑不得超出询价通知书、询价过程、成交结果的范围。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outlineLvl w:val="1"/>
      </w:pPr>
      <w:r>
        <w:rPr>
          <w:b/>
          <w:sz w:val="36"/>
        </w:rPr>
        <w:t>第三章 采购项目技术、服务、商务及其他要求</w:t>
      </w:r>
    </w:p>
    <w:p>
      <w:pPr>
        <w:pStyle w:val="null3"/>
        <w:ind w:firstLine="480"/>
      </w:pPr>
      <w:r>
        <w:rPr/>
        <w:t>（带“★”的参数需求为实质性要求，供应商必须响应并满足的参数需求，采购人、采购代理机构应当根据项目实际需求合理设定，并明确具体要求。）</w:t>
      </w:r>
    </w:p>
    <w:p>
      <w:pPr>
        <w:pStyle w:val="null3"/>
        <w:outlineLvl w:val="2"/>
      </w:pPr>
      <w:r>
        <w:rPr>
          <w:b/>
          <w:sz w:val="28"/>
        </w:rPr>
        <w:t>3.1项目概况</w:t>
      </w:r>
    </w:p>
    <w:p>
      <w:pPr>
        <w:pStyle w:val="null3"/>
      </w:pPr>
    </w:p>
    <w:p>
      <w:pPr>
        <w:pStyle w:val="null3"/>
      </w:pPr>
      <w:r>
        <w:rPr/>
        <w:t>本项目需采购办公桌、办公椅、文件柜等办公家具，以满足纪委办公室日常办公需求。</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149,300.00</w:t>
      </w:r>
    </w:p>
    <w:p>
      <w:pPr>
        <w:pStyle w:val="null3"/>
      </w:pPr>
      <w:r>
        <w:rPr/>
        <w:t>采购包最高限价（元）: 149,300.00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办公桌1</w:t>
            </w:r>
          </w:p>
        </w:tc>
        <w:tc>
          <w:tcPr>
            <w:tcW w:type="dxa" w:w="831"/>
          </w:tcPr>
          <w:p>
            <w:pPr>
              <w:pStyle w:val="null3"/>
              <w:jc w:val="right"/>
            </w:pPr>
            <w:r>
              <w:rPr/>
              <w:t>4.00</w:t>
            </w:r>
          </w:p>
        </w:tc>
        <w:tc>
          <w:tcPr>
            <w:tcW w:type="dxa" w:w="831"/>
          </w:tcPr>
          <w:p>
            <w:pPr>
              <w:pStyle w:val="null3"/>
              <w:jc w:val="right"/>
            </w:pPr>
            <w:r>
              <w:rPr/>
              <w:t>11,200.00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办公桌2</w:t>
            </w:r>
          </w:p>
        </w:tc>
        <w:tc>
          <w:tcPr>
            <w:tcW w:type="dxa" w:w="831"/>
          </w:tcPr>
          <w:p>
            <w:pPr>
              <w:pStyle w:val="null3"/>
              <w:jc w:val="right"/>
            </w:pPr>
            <w:r>
              <w:rPr/>
              <w:t>4.00</w:t>
            </w:r>
          </w:p>
        </w:tc>
        <w:tc>
          <w:tcPr>
            <w:tcW w:type="dxa" w:w="831"/>
          </w:tcPr>
          <w:p>
            <w:pPr>
              <w:pStyle w:val="null3"/>
              <w:jc w:val="right"/>
            </w:pPr>
            <w:r>
              <w:rPr/>
              <w:t>12,000.00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书柜</w:t>
            </w:r>
          </w:p>
        </w:tc>
        <w:tc>
          <w:tcPr>
            <w:tcW w:type="dxa" w:w="831"/>
          </w:tcPr>
          <w:p>
            <w:pPr>
              <w:pStyle w:val="null3"/>
              <w:jc w:val="right"/>
            </w:pPr>
            <w:r>
              <w:rPr/>
              <w:t>16.00</w:t>
            </w:r>
          </w:p>
        </w:tc>
        <w:tc>
          <w:tcPr>
            <w:tcW w:type="dxa" w:w="831"/>
          </w:tcPr>
          <w:p>
            <w:pPr>
              <w:pStyle w:val="null3"/>
              <w:jc w:val="right"/>
            </w:pPr>
            <w:r>
              <w:rPr/>
              <w:t>19,200.00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桌前椅</w:t>
            </w:r>
          </w:p>
        </w:tc>
        <w:tc>
          <w:tcPr>
            <w:tcW w:type="dxa" w:w="831"/>
          </w:tcPr>
          <w:p>
            <w:pPr>
              <w:pStyle w:val="null3"/>
              <w:jc w:val="right"/>
            </w:pPr>
            <w:r>
              <w:rPr/>
              <w:t>16.00</w:t>
            </w:r>
          </w:p>
        </w:tc>
        <w:tc>
          <w:tcPr>
            <w:tcW w:type="dxa" w:w="831"/>
          </w:tcPr>
          <w:p>
            <w:pPr>
              <w:pStyle w:val="null3"/>
              <w:jc w:val="right"/>
            </w:pPr>
            <w:r>
              <w:rPr/>
              <w:t>8,000.00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5</w:t>
            </w:r>
          </w:p>
        </w:tc>
        <w:tc>
          <w:tcPr>
            <w:tcW w:type="dxa" w:w="831"/>
          </w:tcPr>
          <w:p>
            <w:pPr>
              <w:pStyle w:val="null3"/>
            </w:pPr>
            <w:r>
              <w:rPr/>
              <w:t>三人沙发</w:t>
            </w:r>
          </w:p>
        </w:tc>
        <w:tc>
          <w:tcPr>
            <w:tcW w:type="dxa" w:w="831"/>
          </w:tcPr>
          <w:p>
            <w:pPr>
              <w:pStyle w:val="null3"/>
              <w:jc w:val="right"/>
            </w:pPr>
            <w:r>
              <w:rPr/>
              <w:t>8.00</w:t>
            </w:r>
          </w:p>
        </w:tc>
        <w:tc>
          <w:tcPr>
            <w:tcW w:type="dxa" w:w="831"/>
          </w:tcPr>
          <w:p>
            <w:pPr>
              <w:pStyle w:val="null3"/>
              <w:jc w:val="right"/>
            </w:pPr>
            <w:r>
              <w:rPr/>
              <w:t>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6</w:t>
            </w:r>
          </w:p>
        </w:tc>
        <w:tc>
          <w:tcPr>
            <w:tcW w:type="dxa" w:w="831"/>
          </w:tcPr>
          <w:p>
            <w:pPr>
              <w:pStyle w:val="null3"/>
            </w:pPr>
            <w:r>
              <w:rPr/>
              <w:t>茶几</w:t>
            </w:r>
          </w:p>
        </w:tc>
        <w:tc>
          <w:tcPr>
            <w:tcW w:type="dxa" w:w="831"/>
          </w:tcPr>
          <w:p>
            <w:pPr>
              <w:pStyle w:val="null3"/>
              <w:jc w:val="right"/>
            </w:pPr>
            <w:r>
              <w:rPr/>
              <w:t>8.00</w:t>
            </w:r>
          </w:p>
        </w:tc>
        <w:tc>
          <w:tcPr>
            <w:tcW w:type="dxa" w:w="831"/>
          </w:tcPr>
          <w:p>
            <w:pPr>
              <w:pStyle w:val="null3"/>
              <w:jc w:val="right"/>
            </w:pPr>
            <w:r>
              <w:rPr/>
              <w:t>6,400.00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7</w:t>
            </w:r>
          </w:p>
        </w:tc>
        <w:tc>
          <w:tcPr>
            <w:tcW w:type="dxa" w:w="831"/>
          </w:tcPr>
          <w:p>
            <w:pPr>
              <w:pStyle w:val="null3"/>
            </w:pPr>
            <w:r>
              <w:rPr/>
              <w:t>办公椅</w:t>
            </w:r>
          </w:p>
        </w:tc>
        <w:tc>
          <w:tcPr>
            <w:tcW w:type="dxa" w:w="831"/>
          </w:tcPr>
          <w:p>
            <w:pPr>
              <w:pStyle w:val="null3"/>
              <w:jc w:val="right"/>
            </w:pPr>
            <w:r>
              <w:rPr/>
              <w:t>16.00</w:t>
            </w:r>
          </w:p>
        </w:tc>
        <w:tc>
          <w:tcPr>
            <w:tcW w:type="dxa" w:w="831"/>
          </w:tcPr>
          <w:p>
            <w:pPr>
              <w:pStyle w:val="null3"/>
              <w:jc w:val="right"/>
            </w:pPr>
            <w:r>
              <w:rPr/>
              <w:t>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8</w:t>
            </w:r>
          </w:p>
        </w:tc>
        <w:tc>
          <w:tcPr>
            <w:tcW w:type="dxa" w:w="831"/>
          </w:tcPr>
          <w:p>
            <w:pPr>
              <w:pStyle w:val="null3"/>
            </w:pPr>
            <w:r>
              <w:rPr/>
              <w:t>保密柜</w:t>
            </w:r>
          </w:p>
        </w:tc>
        <w:tc>
          <w:tcPr>
            <w:tcW w:type="dxa" w:w="831"/>
          </w:tcPr>
          <w:p>
            <w:pPr>
              <w:pStyle w:val="null3"/>
              <w:jc w:val="right"/>
            </w:pPr>
            <w:r>
              <w:rPr/>
              <w:t>16.00</w:t>
            </w:r>
          </w:p>
        </w:tc>
        <w:tc>
          <w:tcPr>
            <w:tcW w:type="dxa" w:w="831"/>
          </w:tcPr>
          <w:p>
            <w:pPr>
              <w:pStyle w:val="null3"/>
              <w:jc w:val="right"/>
            </w:pPr>
            <w:r>
              <w:rPr/>
              <w:t>40,000.00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9</w:t>
            </w:r>
          </w:p>
        </w:tc>
        <w:tc>
          <w:tcPr>
            <w:tcW w:type="dxa" w:w="831"/>
          </w:tcPr>
          <w:p>
            <w:pPr>
              <w:pStyle w:val="null3"/>
            </w:pPr>
            <w:r>
              <w:rPr/>
              <w:t>会议桌</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10</w:t>
            </w:r>
          </w:p>
        </w:tc>
        <w:tc>
          <w:tcPr>
            <w:tcW w:type="dxa" w:w="831"/>
          </w:tcPr>
          <w:p>
            <w:pPr>
              <w:pStyle w:val="null3"/>
            </w:pPr>
            <w:r>
              <w:rPr/>
              <w:t>会议椅</w:t>
            </w:r>
          </w:p>
        </w:tc>
        <w:tc>
          <w:tcPr>
            <w:tcW w:type="dxa" w:w="831"/>
          </w:tcPr>
          <w:p>
            <w:pPr>
              <w:pStyle w:val="null3"/>
              <w:jc w:val="right"/>
            </w:pPr>
            <w:r>
              <w:rPr/>
              <w:t>13.00</w:t>
            </w:r>
          </w:p>
        </w:tc>
        <w:tc>
          <w:tcPr>
            <w:tcW w:type="dxa" w:w="831"/>
          </w:tcPr>
          <w:p>
            <w:pPr>
              <w:pStyle w:val="null3"/>
              <w:jc w:val="right"/>
            </w:pPr>
            <w:r>
              <w:rPr/>
              <w:t>6,500.00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11</w:t>
            </w:r>
          </w:p>
        </w:tc>
        <w:tc>
          <w:tcPr>
            <w:tcW w:type="dxa" w:w="831"/>
          </w:tcPr>
          <w:p>
            <w:pPr>
              <w:pStyle w:val="null3"/>
            </w:pPr>
            <w:r>
              <w:rPr/>
              <w:t>办公桌3</w:t>
            </w:r>
          </w:p>
        </w:tc>
        <w:tc>
          <w:tcPr>
            <w:tcW w:type="dxa" w:w="831"/>
          </w:tcPr>
          <w:p>
            <w:pPr>
              <w:pStyle w:val="null3"/>
              <w:jc w:val="right"/>
            </w:pPr>
            <w:r>
              <w:rPr/>
              <w:t>1.00</w:t>
            </w:r>
          </w:p>
        </w:tc>
        <w:tc>
          <w:tcPr>
            <w:tcW w:type="dxa" w:w="831"/>
          </w:tcPr>
          <w:p>
            <w:pPr>
              <w:pStyle w:val="null3"/>
              <w:jc w:val="right"/>
            </w:pPr>
            <w:r>
              <w:rPr/>
              <w:t>2,000.00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12</w:t>
            </w:r>
          </w:p>
        </w:tc>
        <w:tc>
          <w:tcPr>
            <w:tcW w:type="dxa" w:w="831"/>
          </w:tcPr>
          <w:p>
            <w:pPr>
              <w:pStyle w:val="null3"/>
            </w:pPr>
            <w:r>
              <w:rPr/>
              <w:t>文件柜</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ind w:firstLine="480"/>
        <w:outlineLvl w:val="2"/>
      </w:pPr>
      <w:r>
        <w:rPr>
          <w:b/>
          <w:sz w:val="28"/>
        </w:rPr>
        <w:t>3.3技术参数</w:t>
      </w:r>
    </w:p>
    <w:p>
      <w:pPr>
        <w:pStyle w:val="null3"/>
      </w:pPr>
    </w:p>
    <w:p>
      <w:pPr>
        <w:pStyle w:val="null3"/>
      </w:pPr>
    </w:p>
    <w:p>
      <w:pPr>
        <w:pStyle w:val="null3"/>
      </w:pPr>
    </w:p>
    <w:p>
      <w:pPr>
        <w:pStyle w:val="null3"/>
      </w:pPr>
      <w:r>
        <w:rPr/>
        <w:t>采购包1：</w:t>
      </w:r>
    </w:p>
    <w:p>
      <w:pPr>
        <w:pStyle w:val="null3"/>
      </w:pPr>
    </w:p>
    <w:p>
      <w:pPr>
        <w:pStyle w:val="null3"/>
      </w:pPr>
      <w:r>
        <w:rPr/>
        <w:t>标的名称：办公桌1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1600*1200*760</w:t>
            </w:r>
          </w:p>
          <w:p>
            <w:pPr>
              <w:pStyle w:val="null3"/>
              <w:ind w:firstLine="480"/>
              <w:jc w:val="left"/>
            </w:pPr>
          </w:p>
          <w:p>
            <w:pPr>
              <w:pStyle w:val="null3"/>
              <w:ind w:firstLine="480"/>
              <w:jc w:val="left"/>
            </w:pPr>
            <w:r>
              <w:rPr>
                <w:rFonts w:ascii="方正仿宋_gbk" w:hAnsi="方正仿宋_gbk" w:cs="方正仿宋_gbk" w:eastAsia="方正仿宋_gbk"/>
                <w:sz w:val="21"/>
              </w:rPr>
              <w:t>1、基材:采用阻燃高密度纤维板，不得检出含有苯、甲苯、二甲苯、TVOC等挥发性有机化合物（72h）；密度≥0.80 g/cm³（允许偏差为 ±10％）；含水率7～8％；静曲强度μʟ：≥36.0 Mpa；弹性模量μʟ≥4700Mpa；内结合强度μʟ：≥1.0 Mpa；24h吸水厚度膨胀率μᵤ：≤4.5％；表面胶合强度μʟ：≥1.36Mpa；甲醛释放量：≤0.03mg/m³，板材等级达到E0级；燃烧性能等级B₁（C）：燃烧增长速率指数FIGRAᴍᴊ≤237W/s，600s的总放热量 THR600s≤7MJ，60s内焰尖高度FS≤69mm，60s内无燃烧滴落物引燃滤纸现象。</w:t>
            </w:r>
          </w:p>
          <w:p>
            <w:pPr>
              <w:pStyle w:val="null3"/>
              <w:ind w:firstLine="480"/>
              <w:jc w:val="left"/>
            </w:pPr>
            <w:r>
              <w:rPr>
                <w:rFonts w:ascii="方正仿宋_gbk" w:hAnsi="方正仿宋_gbk" w:cs="方正仿宋_gbk" w:eastAsia="方正仿宋_gbk"/>
                <w:sz w:val="21"/>
              </w:rPr>
              <w:t>2、燃烧增长速率指数FIGRA ᴍᴊ≤237W/s，</w:t>
            </w:r>
          </w:p>
          <w:p>
            <w:pPr>
              <w:pStyle w:val="null3"/>
              <w:ind w:firstLine="480"/>
              <w:jc w:val="left"/>
            </w:pPr>
            <w:r>
              <w:rPr>
                <w:rFonts w:ascii="方正仿宋_gbk" w:hAnsi="方正仿宋_gbk" w:cs="方正仿宋_gbk" w:eastAsia="方正仿宋_gbk"/>
                <w:sz w:val="21"/>
              </w:rPr>
              <w:t>3、面材:采用胡桃木皮，经过防潮、防虫、防腐、耐酸碱处理，含水率8.5～10%，不得检出甲醛含量。</w:t>
            </w:r>
            <w:r>
              <w:br/>
            </w:r>
            <w:r>
              <w:rPr>
                <w:rFonts w:ascii="方正仿宋_gbk" w:hAnsi="方正仿宋_gbk" w:cs="方正仿宋_gbk" w:eastAsia="方正仿宋_gbk"/>
                <w:sz w:val="21"/>
              </w:rPr>
              <w:t>4、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5、水性木器9分消透明面漆：采用水性木器9分消透明面漆，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6、不锈钢拉手：金属件外观性能要求：喷涂层无漏喷，锈蚀和脱色、掉色现象；涂层光滑均匀，色泽一致，无流挂、疙瘩、皱皮、飞漆等缺陷；通过乙酸盐雾试验，连续喷雾≥18h，金属涂层耐腐蚀等级≥10级。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7、不锈钢锁具：喷涂层无漏喷，锈蚀和脱色、掉色现象；涂层光滑均匀，色泽一致，无流挂、疙瘩、皱皮、飞漆等缺陷；通过乙酸盐雾试验，连续喷雾≥18h，金属涂层耐腐蚀等级≥10级。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8、不锈钢阻尼缓冲滑轨：垂直向下静载荷（过载）通过≥300N，至少10次试验后无损；水平侧向静载荷（过载）通过≥150N，水平各5次试验后无损；至少耐久性通过100000次试验后无损；耐腐蚀性通过中性盐雾试验≥18h,无锈点。</w:t>
            </w:r>
            <w:r>
              <w:br/>
            </w:r>
            <w:r>
              <w:rPr>
                <w:rFonts w:ascii="方正仿宋_gbk" w:hAnsi="方正仿宋_gbk" w:cs="方正仿宋_gbk" w:eastAsia="方正仿宋_gbk"/>
                <w:sz w:val="21"/>
              </w:rPr>
              <w:t>9、不锈钢阻尼缓冲铰链：垂直向下静载荷（过载）通过A型门，20kg至少10次试验后无损；水平静载荷通过A型门，40N至少10次试验后无损；耐久性通过至少100000次试验后无损；耐腐蚀性通过中性盐雾试验≥18h,无锈点。</w:t>
            </w:r>
          </w:p>
          <w:p>
            <w:pPr>
              <w:pStyle w:val="null3"/>
              <w:ind w:firstLine="480"/>
              <w:jc w:val="both"/>
            </w:pPr>
            <w:r>
              <w:rPr>
                <w:rFonts w:ascii="方正仿宋_gbk" w:hAnsi="方正仿宋_gbk" w:cs="方正仿宋_gbk" w:eastAsia="方正仿宋_gbk"/>
                <w:sz w:val="21"/>
              </w:rPr>
              <w:t>10、自攻螺丝：金属电镀层抗盐雾≥18h,无锈点，所有螺丝应无毛刺、缺角、脱丝。</w:t>
            </w:r>
            <w:r>
              <w:br/>
            </w:r>
            <w:r>
              <w:rPr>
                <w:rFonts w:ascii="方正仿宋_gbk" w:hAnsi="方正仿宋_gbk" w:cs="方正仿宋_gbk" w:eastAsia="方正仿宋_gbk"/>
                <w:sz w:val="21"/>
              </w:rPr>
              <w:t>11、三合一紧固连接件，三合一偏心连接件偏心体抗压强 度≥310N；三合一偏心连接件预埋螺母抗拉强度≥800N；三合一偏心连接件中连接螺杆螺纹与预埋螺母的抗拉强度≥2000N；通过乙酸盐雾试验（ASS），连续喷雾≥18h，耐腐蚀等级≥10级。</w:t>
            </w:r>
          </w:p>
          <w:p>
            <w:pPr>
              <w:pStyle w:val="null3"/>
              <w:ind w:firstLine="480"/>
              <w:jc w:val="left"/>
            </w:pPr>
          </w:p>
          <w:p>
            <w:pPr>
              <w:pStyle w:val="null3"/>
              <w:ind w:firstLine="480"/>
              <w:jc w:val="left"/>
            </w:pPr>
            <w:r>
              <w:rPr/>
              <w:t>参考图片：</w:t>
            </w:r>
            <w:r>
              <w:drawing>
                <wp:inline distT="0" distR="0" distB="0" distL="0">
                  <wp:extent cx="1621155" cy="100216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02168"/>
                          </a:xfrm>
                          <a:prstGeom prst="rect">
                            <a:avLst/>
                          </a:prstGeom>
                        </pic:spPr>
                      </pic:pic>
                    </a:graphicData>
                  </a:graphic>
                </wp:inline>
              </w:drawing>
            </w:r>
          </w:p>
        </w:tc>
      </w:tr>
    </w:tbl>
    <w:p>
      <w:pPr>
        <w:pStyle w:val="null3"/>
      </w:pPr>
    </w:p>
    <w:p>
      <w:pPr>
        <w:pStyle w:val="null3"/>
      </w:pPr>
      <w:r>
        <w:rPr/>
        <w:t>标的名称：办公桌2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mm)(允许尺寸偏差±5mm）：1800*1200*760</w:t>
            </w:r>
          </w:p>
          <w:p>
            <w:pPr>
              <w:pStyle w:val="null3"/>
              <w:ind w:firstLine="480"/>
              <w:jc w:val="left"/>
            </w:pPr>
          </w:p>
          <w:p>
            <w:pPr>
              <w:pStyle w:val="null3"/>
              <w:ind w:firstLine="480"/>
              <w:jc w:val="left"/>
            </w:pPr>
            <w:r>
              <w:rPr>
                <w:rFonts w:ascii="方正仿宋_gbk" w:hAnsi="方正仿宋_gbk" w:cs="方正仿宋_gbk" w:eastAsia="方正仿宋_gbk"/>
                <w:sz w:val="21"/>
              </w:rPr>
              <w:t>1、基材:采用阻燃高密度纤维板，不得检出含有苯、甲苯、二甲苯、TVOC等挥发性有机化合物（72h）；密度≥0.80 g/cm³（允许偏差为 ±10％）；含水率7～8％；静曲强度μʟ：≥36.0 Mpa；弹性模量μʟ≥4700Mpa；内结合强度μʟ：≥1.0 Mpa；24h吸水厚度膨胀率μᵤ：≤4.5％；表面胶合强度μʟ：≥1.36Mpa；甲醛释放量：≤0.03mg/m³，板材等级达到E0级；燃烧性能等级B₁（C）：燃烧增长速率指数FIGRAᴍᴊ≤237W/s，600s的总放热量 THR600s≤7MJ，60s内焰尖高度FS≤69mm，60s内无燃烧滴落物引燃滤纸现象。</w:t>
            </w:r>
          </w:p>
          <w:p>
            <w:pPr>
              <w:pStyle w:val="null3"/>
              <w:ind w:firstLine="480"/>
              <w:jc w:val="left"/>
            </w:pPr>
            <w:r>
              <w:rPr>
                <w:rFonts w:ascii="方正仿宋_gbk" w:hAnsi="方正仿宋_gbk" w:cs="方正仿宋_gbk" w:eastAsia="方正仿宋_gbk"/>
                <w:sz w:val="21"/>
              </w:rPr>
              <w:t>2、燃烧增长速率指数FIGRA ᴍᴊ≤237W/s，</w:t>
            </w:r>
          </w:p>
          <w:p>
            <w:pPr>
              <w:pStyle w:val="null3"/>
              <w:ind w:firstLine="480"/>
              <w:jc w:val="left"/>
            </w:pPr>
            <w:r>
              <w:rPr>
                <w:rFonts w:ascii="方正仿宋_gbk" w:hAnsi="方正仿宋_gbk" w:cs="方正仿宋_gbk" w:eastAsia="方正仿宋_gbk"/>
                <w:sz w:val="21"/>
              </w:rPr>
              <w:t>3、面材:采用胡桃木皮，经过防潮、防虫、防腐、耐酸碱处理，含水率8.5～10%，不得检出甲醛含量。</w:t>
            </w:r>
            <w:r>
              <w:br/>
            </w:r>
            <w:r>
              <w:rPr>
                <w:rFonts w:ascii="方正仿宋_gbk" w:hAnsi="方正仿宋_gbk" w:cs="方正仿宋_gbk" w:eastAsia="方正仿宋_gbk"/>
                <w:sz w:val="21"/>
              </w:rPr>
              <w:t>4、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5、水性木器9分消透明面漆：采用水性木器9分消透明面漆，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6、不锈钢拉手：金属件外观性能要求：喷涂层无漏喷，锈蚀和脱色、掉色现象；涂层光滑均匀，色泽一致，无流挂、疙瘩、皱皮、飞漆等缺陷；通过乙酸盐雾试验，连续喷雾≥18h，金属涂层耐腐蚀等级≥10级。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7、不锈钢锁具：喷涂层无漏喷，锈蚀和脱色、掉色现象；涂层光滑均匀，色泽一致，无流挂、疙瘩、皱皮、飞漆等缺陷；通过乙酸盐雾试验，连续喷雾≥18h，金属涂层耐腐蚀等级≥10级。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8、不锈钢阻尼缓冲滑轨：垂直向下静载荷（过载）通过≥300N，至少10次试验后无损；水平侧向静载荷（过载）通过≥150N，水平各5次试验后无损；至少耐久性通过100000次试验后无损；耐腐蚀性通过中性盐雾试验≥18h,无锈点。</w:t>
            </w:r>
            <w:r>
              <w:br/>
            </w:r>
            <w:r>
              <w:rPr>
                <w:rFonts w:ascii="方正仿宋_gbk" w:hAnsi="方正仿宋_gbk" w:cs="方正仿宋_gbk" w:eastAsia="方正仿宋_gbk"/>
                <w:sz w:val="21"/>
              </w:rPr>
              <w:t>9、不锈钢阻尼缓冲铰链：垂直向下静载荷（过载）通过A型门，20kg至少10次试验后无损；水平静载荷通过A型门，40N至少10次试验后无损；耐久性通过至少100000次试验后无损；耐腐蚀性通过中性盐雾试验≥18h,无锈点。</w:t>
            </w:r>
          </w:p>
          <w:p>
            <w:pPr>
              <w:pStyle w:val="null3"/>
              <w:ind w:firstLine="480"/>
              <w:jc w:val="both"/>
            </w:pPr>
            <w:r>
              <w:rPr>
                <w:rFonts w:ascii="方正仿宋_gbk" w:hAnsi="方正仿宋_gbk" w:cs="方正仿宋_gbk" w:eastAsia="方正仿宋_gbk"/>
                <w:sz w:val="21"/>
              </w:rPr>
              <w:t>10、自攻螺丝：金属电镀层抗盐雾≥18h,无锈点，所有螺丝应无毛刺、缺角、脱丝。</w:t>
            </w:r>
            <w:r>
              <w:br/>
            </w:r>
            <w:r>
              <w:rPr>
                <w:rFonts w:ascii="方正仿宋_gbk" w:hAnsi="方正仿宋_gbk" w:cs="方正仿宋_gbk" w:eastAsia="方正仿宋_gbk"/>
                <w:sz w:val="21"/>
              </w:rPr>
              <w:t>11、三合一紧固连接件，三合一偏心连接件偏心体抗压强 度≥310N；三合一偏心连接件预埋螺母抗拉强度≥800N；三合一偏心连接件中连接螺杆螺纹与预埋螺母的抗拉强度≥2000N；通过乙酸盐雾试验（ASS），连续喷雾≥18h，耐腐蚀等级≥10级。</w:t>
            </w:r>
          </w:p>
          <w:p>
            <w:pPr>
              <w:pStyle w:val="null3"/>
              <w:ind w:firstLine="480"/>
              <w:jc w:val="both"/>
            </w:pPr>
          </w:p>
          <w:p>
            <w:pPr>
              <w:pStyle w:val="null3"/>
              <w:ind w:firstLine="480"/>
              <w:jc w:val="both"/>
            </w:pPr>
            <w:r>
              <w:rPr/>
              <w:t>参考图片：</w:t>
            </w:r>
            <w:r>
              <w:drawing>
                <wp:inline distT="0" distR="0" distB="0" distL="0">
                  <wp:extent cx="1621155" cy="100216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002168"/>
                          </a:xfrm>
                          <a:prstGeom prst="rect">
                            <a:avLst/>
                          </a:prstGeom>
                        </pic:spPr>
                      </pic:pic>
                    </a:graphicData>
                  </a:graphic>
                </wp:inline>
              </w:drawing>
            </w:r>
          </w:p>
        </w:tc>
      </w:tr>
    </w:tbl>
    <w:p>
      <w:pPr>
        <w:pStyle w:val="null3"/>
      </w:pPr>
    </w:p>
    <w:p>
      <w:pPr>
        <w:pStyle w:val="null3"/>
      </w:pPr>
      <w:r>
        <w:rPr/>
        <w:t>标的名称：书柜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1200*400*650</w:t>
            </w:r>
          </w:p>
          <w:p>
            <w:pPr>
              <w:pStyle w:val="null3"/>
              <w:ind w:firstLine="480"/>
              <w:jc w:val="left"/>
            </w:pPr>
            <w:r>
              <w:rPr>
                <w:rFonts w:ascii="方正仿宋_gbk" w:hAnsi="方正仿宋_gbk" w:cs="方正仿宋_gbk" w:eastAsia="方正仿宋_gbk"/>
                <w:sz w:val="21"/>
              </w:rPr>
              <w:t>1、基材:采用阻燃高密度纤维板，不得检出含有苯、甲苯、二甲苯、TVOC等挥发性有机化合物（72h）；密度≥0.80 g/cm³（允许偏差为 ±10％）；含水率7～8％；静曲强度μʟ：≥36.0 Mpa；弹性模量μʟ≥4700Mpa；内结合强度μʟ：≥1.0 Mpa；24h吸水厚度膨胀率μᵤ：≤4.5％；表面胶合强度μʟ：≥1.36Mpa；甲醛释放量：≤0.03mg/m³，板材等级达到E0级；燃烧性能等级B₁（C）：燃烧增长速率指数FIGRAᴍᴊ≤237W/s，600s的总放热量 THR600s≤7MJ，60s内焰尖高度FS≤69mm，60s内无燃烧滴落物引燃滤纸现象。</w:t>
            </w:r>
            <w:r>
              <w:br/>
            </w:r>
            <w:r>
              <w:rPr>
                <w:rFonts w:ascii="方正仿宋_gbk" w:hAnsi="方正仿宋_gbk" w:cs="方正仿宋_gbk" w:eastAsia="方正仿宋_gbk"/>
                <w:sz w:val="21"/>
              </w:rPr>
              <w:t>2、面材:采用胡桃木皮，经过防潮、防虫、防腐、耐酸碱处理，含水率8.5～10%，不得检出甲醛含量。</w:t>
            </w:r>
            <w:r>
              <w:br/>
            </w:r>
            <w:r>
              <w:rPr>
                <w:rFonts w:ascii="方正仿宋_gbk" w:hAnsi="方正仿宋_gbk" w:cs="方正仿宋_gbk" w:eastAsia="方正仿宋_gbk"/>
                <w:sz w:val="21"/>
              </w:rPr>
              <w:t>3、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4、水性木器9分消透明面漆：采用水性木器9分消透明面漆，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5、拉手：金属件外观性能要求：喷涂层无漏喷，锈蚀和脱色、掉色现象；涂层光滑均匀，色泽一致，无流挂、疙瘩、皱皮、飞漆等缺陷；通过乙酸盐雾试验，连续喷雾≥18h，金属涂层耐腐蚀等级≥10级。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6、锁具：喷涂层无漏喷，锈蚀和脱色、掉色现象；涂层光滑均匀，色泽一致，无流挂、疙瘩、皱皮、飞漆等缺陷；通过乙酸盐雾试验，连续喷雾≥18h，金属涂层耐腐蚀等级≥10级。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7、阻尼缓冲滑轨：垂直向下静载荷（过载）通过至少300N，至少10次试验后无损；水平侧向静载荷（过载）通过至少150N，水平至少5次试验后无损；耐久性通过至少100000次试验后无损；耐腐蚀性通过中性盐雾试验≥18h,无锈点。</w:t>
            </w:r>
          </w:p>
          <w:p>
            <w:pPr>
              <w:pStyle w:val="null3"/>
              <w:ind w:firstLine="480"/>
              <w:jc w:val="left"/>
            </w:pPr>
            <w:r>
              <w:rPr>
                <w:rFonts w:ascii="方正仿宋_gbk" w:hAnsi="方正仿宋_gbk" w:cs="方正仿宋_gbk" w:eastAsia="方正仿宋_gbk"/>
                <w:sz w:val="21"/>
              </w:rPr>
              <w:t>8、阻尼缓冲铰链：垂直向下静载荷（过载）通过A型门，20kg，10次试验后无损；水平静载荷通过A型门，至少40N，至少10次试验后无损；耐久性通过至少100000次试验后无损；耐腐蚀性通过中性盐雾试验≥18h,无锈点。</w:t>
            </w:r>
          </w:p>
          <w:p>
            <w:pPr>
              <w:pStyle w:val="null3"/>
              <w:ind w:firstLine="480"/>
              <w:jc w:val="left"/>
            </w:pPr>
            <w:r>
              <w:rPr>
                <w:rFonts w:ascii="方正仿宋_gbk" w:hAnsi="方正仿宋_gbk" w:cs="方正仿宋_gbk" w:eastAsia="方正仿宋_gbk"/>
                <w:sz w:val="21"/>
              </w:rPr>
              <w:t>9、自攻螺丝：金属电镀层抗盐≥雾18h,无锈点，所有螺丝应无毛刺、缺角、脱丝。</w:t>
            </w:r>
          </w:p>
          <w:p>
            <w:pPr>
              <w:pStyle w:val="null3"/>
              <w:ind w:firstLine="480"/>
              <w:jc w:val="both"/>
            </w:pPr>
            <w:r>
              <w:rPr>
                <w:rFonts w:ascii="方正仿宋_gbk" w:hAnsi="方正仿宋_gbk" w:cs="方正仿宋_gbk" w:eastAsia="方正仿宋_gbk"/>
                <w:sz w:val="21"/>
              </w:rPr>
              <w:t>10、三合一紧固连接件，三合一偏心连接件偏心体抗压强 度≥310N；三合一偏心连接件预埋螺母抗拉强度≥800N；三合一偏心连接件中连接螺杆螺纹与预埋螺母的抗拉强度≥2000N；通过乙酸盐雾试验（ASS），连续喷雾≥18h，耐腐蚀等级≥10级。</w:t>
            </w:r>
          </w:p>
          <w:p>
            <w:pPr>
              <w:pStyle w:val="null3"/>
              <w:ind w:firstLine="480"/>
              <w:jc w:val="both"/>
            </w:pPr>
            <w:r>
              <w:rPr/>
              <w:t>参考图片：</w:t>
            </w:r>
            <w:r>
              <w:drawing>
                <wp:inline distT="0" distR="0" distB="0" distL="0">
                  <wp:extent cx="1621155" cy="88725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887253"/>
                          </a:xfrm>
                          <a:prstGeom prst="rect">
                            <a:avLst/>
                          </a:prstGeom>
                        </pic:spPr>
                      </pic:pic>
                    </a:graphicData>
                  </a:graphic>
                </wp:inline>
              </w:drawing>
            </w:r>
          </w:p>
        </w:tc>
      </w:tr>
    </w:tbl>
    <w:p>
      <w:pPr>
        <w:pStyle w:val="null3"/>
      </w:pPr>
    </w:p>
    <w:p>
      <w:pPr>
        <w:pStyle w:val="null3"/>
      </w:pPr>
      <w:r>
        <w:rPr/>
        <w:t>标的名称：桌前椅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p>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685*760*1145</w:t>
            </w:r>
          </w:p>
          <w:p>
            <w:pPr>
              <w:pStyle w:val="null3"/>
              <w:ind w:firstLine="480"/>
              <w:jc w:val="both"/>
            </w:pPr>
            <w:r>
              <w:rPr>
                <w:rFonts w:ascii="方正仿宋_gbk" w:hAnsi="方正仿宋_gbk" w:cs="方正仿宋_gbk" w:eastAsia="方正仿宋_gbk"/>
                <w:sz w:val="21"/>
              </w:rPr>
              <w:t>1、头层牛皮：面料采用头层牛皮，经液氨多道浸色及防潮、防腐等工艺处理。摩擦色牢度：干擦（500次）≥4级，湿擦（250次）≥4级，碱性汗液（80次）≥4级；耐磨性（CS-10，500g，500r）无明显损伤、剥落；耐折牢度（50000次）无裂纹；撕裂力≥38.6N；涂层粘着牢度≥6.4N/10mm；不得检出含有禁用偶氮染料；不得检出游离甲醛含量；不得检出含有铅（Pb）、镉（Cd）等可萃取的重金属；挥发性有机物（VOC）＜10mg/kg。</w:t>
            </w:r>
            <w:r>
              <w:br/>
            </w:r>
            <w:r>
              <w:rPr>
                <w:rFonts w:ascii="方正仿宋_gbk" w:hAnsi="方正仿宋_gbk" w:cs="方正仿宋_gbk" w:eastAsia="方正仿宋_gbk"/>
                <w:sz w:val="21"/>
              </w:rPr>
              <w:t>2、聚氨酯阻燃海绵：填充物采用聚氨酯阻燃海绵，一次成型发泡高密度，在长期负重状态下性能保持。回弹率≥42%，75%压缩永久变形≤6.7%，拉伸强度≥92kPa，干热老化后拉伸强度≥83kPa，干热老化后拉伸强度变化率≤-9.8%，湿热老化后拉伸强度≥80kPa，湿热老化后拉伸强度变化率≤-13%。</w:t>
            </w:r>
            <w:r>
              <w:br/>
            </w:r>
            <w:r>
              <w:rPr>
                <w:rFonts w:ascii="方正仿宋_gbk" w:hAnsi="方正仿宋_gbk" w:cs="方正仿宋_gbk" w:eastAsia="方正仿宋_gbk"/>
                <w:sz w:val="21"/>
              </w:rPr>
              <w:t>3、阻燃多层实木板：椅板采用阻燃多层实木板，材质坚硬钢性强，经防腐、防虫、防潮等处理。静曲强度：公称厚度12＜t≤15（mm）顺纹≥42.2 Mpa，公称厚度12＜t≤15（mm）横纹≥39.6 Mpa；静曲强度试件合格率为100%；弹性模量：公称厚度12＜t≤15（mm）顺纹≥5000 Mpa，公称厚度12＜t≤15（mm）横纹≥3500 Mpa；弹性模量试件合格率≥99%；含水率（Ⅲ类）8.5～10%；含水率试件合格率为100%；浸渍无剥离；甲醛释放量：干燥器法≤0.2mg/L，人造板及其制品中甲醛释放限量E₁：≤0.013mg/m³。</w:t>
            </w:r>
            <w:r>
              <w:br/>
            </w:r>
            <w:r>
              <w:rPr>
                <w:rFonts w:ascii="方正仿宋_gbk" w:hAnsi="方正仿宋_gbk" w:cs="方正仿宋_gbk" w:eastAsia="方正仿宋_gbk"/>
                <w:sz w:val="21"/>
              </w:rPr>
              <w:t>4、橡木脚架：采用橡木脚架，木材含水率10.5～11.5％，木材气干密度≥0.76 g/cm³，木材全干密度≥0.69 g/cm³；木材抗弯强度≥150 Mpa；木材抗弯弹性模量≥13600 Mpa；不得检出实木五氯苯酚和木制件甲醛含量。</w:t>
            </w:r>
            <w:r>
              <w:br/>
            </w:r>
            <w:r>
              <w:rPr>
                <w:rFonts w:ascii="方正仿宋_gbk" w:hAnsi="方正仿宋_gbk" w:cs="方正仿宋_gbk" w:eastAsia="方正仿宋_gbk"/>
                <w:sz w:val="21"/>
              </w:rPr>
              <w:t>5、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6、水性木器9分消透明面漆：采用水性木器9分消透明面漆，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7、防滑塑料脚垫：采用防滑塑料脚垫，塑料件耐冷热循环应无裂纹、鼓泡、变色、 起皱；不得检出可溶性铅、可溶性镉、可溶性铬、可溶性汞等塑料重金属。</w:t>
            </w:r>
          </w:p>
          <w:p>
            <w:pPr>
              <w:pStyle w:val="null3"/>
              <w:ind w:firstLine="480"/>
              <w:jc w:val="both"/>
            </w:pPr>
            <w:r>
              <w:rPr/>
              <w:t>参考图片：</w:t>
            </w:r>
            <w:r>
              <w:drawing>
                <wp:inline distT="0" distR="0" distB="0" distL="0">
                  <wp:extent cx="1621155" cy="128445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621155" cy="1284453"/>
                          </a:xfrm>
                          <a:prstGeom prst="rect">
                            <a:avLst/>
                          </a:prstGeom>
                        </pic:spPr>
                      </pic:pic>
                    </a:graphicData>
                  </a:graphic>
                </wp:inline>
              </w:drawing>
            </w:r>
          </w:p>
          <w:p>
            <w:pPr>
              <w:pStyle w:val="null3"/>
              <w:ind w:firstLine="480"/>
              <w:jc w:val="both"/>
            </w:pPr>
          </w:p>
        </w:tc>
      </w:tr>
    </w:tbl>
    <w:p>
      <w:pPr>
        <w:pStyle w:val="null3"/>
      </w:pPr>
    </w:p>
    <w:p>
      <w:pPr>
        <w:pStyle w:val="null3"/>
      </w:pPr>
      <w:r>
        <w:rPr/>
        <w:t>标的名称：三人沙发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2060*900*870</w:t>
            </w:r>
          </w:p>
          <w:p>
            <w:pPr>
              <w:pStyle w:val="null3"/>
              <w:ind w:firstLine="480"/>
              <w:jc w:val="both"/>
            </w:pPr>
          </w:p>
          <w:p>
            <w:pPr>
              <w:pStyle w:val="null3"/>
              <w:ind w:firstLine="480"/>
              <w:jc w:val="both"/>
            </w:pPr>
            <w:r>
              <w:rPr>
                <w:rFonts w:ascii="方正仿宋_gbk" w:hAnsi="方正仿宋_gbk" w:cs="方正仿宋_gbk" w:eastAsia="方正仿宋_gbk"/>
                <w:sz w:val="21"/>
              </w:rPr>
              <w:t>1、头层牛皮：面料采用头层牛皮，经液氨多道浸色及防潮、防腐等工艺处理。摩擦色牢度：干擦（500次）≥4级，湿擦（250次）≥4级，碱性汗液（80次）≥4级；耐磨性（CS-10，500g，500r）无明显损伤、剥落；耐折牢度（50000次）无裂纹；撕裂力≥38.6N；涂层粘着牢度≥6.4N/10mm；不得检出含有禁用偶氮染料；不得检出游离甲醛含量；不得检出含有铅（Pb）、镉（Cd）等可萃取的重金属；挥发性有机物（VOC）＜10mg/kg。</w:t>
            </w:r>
            <w:r>
              <w:br/>
            </w:r>
            <w:r>
              <w:rPr>
                <w:rFonts w:ascii="方正仿宋_gbk" w:hAnsi="方正仿宋_gbk" w:cs="方正仿宋_gbk" w:eastAsia="方正仿宋_gbk"/>
                <w:sz w:val="21"/>
              </w:rPr>
              <w:t>2、聚氨酯阻燃海绵：填充物采用聚氨酯阻燃海绵，一次成型发泡高密度，在长期负重状态下性能保持。回弹率≥42%，75%压缩永久变形≤6.7%，拉伸强度≥92kPa，干热老化后拉伸强度≥83kPa，干热老化后拉伸强度变化率≤-9.8%，湿热老化后拉伸强度≥80kPa，湿热老化后拉伸强度变化率≤-13%。</w:t>
            </w:r>
            <w:r>
              <w:br/>
            </w:r>
            <w:r>
              <w:rPr>
                <w:rFonts w:ascii="方正仿宋_gbk" w:hAnsi="方正仿宋_gbk" w:cs="方正仿宋_gbk" w:eastAsia="方正仿宋_gbk"/>
                <w:sz w:val="21"/>
              </w:rPr>
              <w:t>3、多层实木板：采用多层实木板，材质坚硬钢性强，经防腐、防虫、防潮等处理。静曲强度：公称厚度12＜t≤15（mm）顺纹≥42.2 Mpa，公称厚度12＜t≤15（mm）横纹≥39.6 Mpa；静曲强度试件合格率为100%；弹性模量：公称厚度12＜t≤15（mm）顺纹≥5000 Mpa，公称厚度12＜t≤15（mm）横纹≥3500 Mpa；弹性模量试件合格率≥99%；含水率（Ⅲ类）8.5～10%；含水率试件合格率为100%；浸渍无剥离；甲醛释放量：干燥器法≤0.2mg/L，人造板及其制品中甲醛释放限量E₁：≤0.013mg/m³。</w:t>
            </w:r>
            <w:r>
              <w:br/>
            </w:r>
            <w:r>
              <w:rPr>
                <w:rFonts w:ascii="方正仿宋_gbk" w:hAnsi="方正仿宋_gbk" w:cs="方正仿宋_gbk" w:eastAsia="方正仿宋_gbk"/>
                <w:sz w:val="21"/>
              </w:rPr>
              <w:t>4、框架：采用实木，材质坚硬钢性强，承托力达260KG，木材含水率8-14%，经防腐、防虫、防潮等处理。</w:t>
            </w:r>
            <w:r>
              <w:br/>
            </w:r>
            <w:r>
              <w:rPr>
                <w:rFonts w:ascii="方正仿宋_gbk" w:hAnsi="方正仿宋_gbk" w:cs="方正仿宋_gbk" w:eastAsia="方正仿宋_gbk"/>
                <w:sz w:val="21"/>
              </w:rPr>
              <w:t>5、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6、水性木器9分消透明面漆：采用水性木器9分消透明面漆，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p>
          <w:p>
            <w:pPr>
              <w:pStyle w:val="null3"/>
              <w:ind w:firstLine="480"/>
              <w:jc w:val="both"/>
            </w:pPr>
            <w:r>
              <w:rPr/>
              <w:t>参考图片：</w:t>
            </w:r>
            <w:r>
              <w:drawing>
                <wp:inline distT="0" distR="0" distB="0" distL="0">
                  <wp:extent cx="1621155" cy="1515427"/>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1621155" cy="1515427"/>
                          </a:xfrm>
                          <a:prstGeom prst="rect">
                            <a:avLst/>
                          </a:prstGeom>
                        </pic:spPr>
                      </pic:pic>
                    </a:graphicData>
                  </a:graphic>
                </wp:inline>
              </w:drawing>
            </w:r>
          </w:p>
          <w:p>
            <w:pPr>
              <w:pStyle w:val="null3"/>
              <w:ind w:firstLine="480"/>
              <w:jc w:val="both"/>
            </w:pPr>
          </w:p>
        </w:tc>
      </w:tr>
    </w:tbl>
    <w:p>
      <w:pPr>
        <w:pStyle w:val="null3"/>
      </w:pPr>
    </w:p>
    <w:p>
      <w:pPr>
        <w:pStyle w:val="null3"/>
      </w:pPr>
      <w:r>
        <w:rPr/>
        <w:t>标的名称：茶几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1100*550*460</w:t>
            </w:r>
          </w:p>
          <w:p>
            <w:pPr>
              <w:pStyle w:val="null3"/>
              <w:ind w:firstLine="480"/>
              <w:jc w:val="both"/>
            </w:pPr>
          </w:p>
          <w:p>
            <w:pPr>
              <w:pStyle w:val="null3"/>
              <w:ind w:firstLine="480"/>
              <w:jc w:val="both"/>
            </w:pPr>
            <w:r>
              <w:rPr>
                <w:rFonts w:ascii="方正仿宋_gbk" w:hAnsi="方正仿宋_gbk" w:cs="方正仿宋_gbk" w:eastAsia="方正仿宋_gbk"/>
                <w:sz w:val="21"/>
              </w:rPr>
              <w:t>1、基材:采用高密度纤维板，不得检出含有苯、甲苯、二甲苯、TVOC等挥发性有机化合物（72h）；密度≥0.80 g/cm³（允许偏差为 ±10％）；含水率7～8％；静曲强度μʟ：≥36.0 Mpa；弹性模量μʟ≥4700Mpa；内结合强度μʟ：≥1.0 Mpa；24h吸水厚度膨胀率μᵤ：≤4.5％；表面胶合强度μʟ：≥1.36Mpa；甲醛释放量：≤0.124mg/m³。</w:t>
            </w:r>
            <w:r>
              <w:br/>
            </w:r>
            <w:r>
              <w:rPr>
                <w:rFonts w:ascii="方正仿宋_gbk" w:hAnsi="方正仿宋_gbk" w:cs="方正仿宋_gbk" w:eastAsia="方正仿宋_gbk"/>
                <w:sz w:val="21"/>
              </w:rPr>
              <w:t>2、面材:采用胡桃木皮，经过防潮、防虫、防腐、耐酸碱处理，含水率8.5～10%，不得检出甲醛含量。</w:t>
            </w:r>
            <w:r>
              <w:br/>
            </w:r>
            <w:r>
              <w:rPr>
                <w:rFonts w:ascii="方正仿宋_gbk" w:hAnsi="方正仿宋_gbk" w:cs="方正仿宋_gbk" w:eastAsia="方正仿宋_gbk"/>
                <w:sz w:val="21"/>
              </w:rPr>
              <w:t>3、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4、水性木器9分消透明面漆：采用水性木器9分消透明面漆，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5、自攻螺丝：金属电镀层抗盐雾≥18h,无锈点，所有螺丝应无毛刺、缺角、脱丝。</w:t>
            </w:r>
            <w:r>
              <w:br/>
            </w:r>
            <w:r>
              <w:rPr>
                <w:rFonts w:ascii="方正仿宋_gbk" w:hAnsi="方正仿宋_gbk" w:cs="方正仿宋_gbk" w:eastAsia="方正仿宋_gbk"/>
                <w:sz w:val="21"/>
              </w:rPr>
              <w:t>6、三合一紧固连接件，三合一偏心连接件偏心体抗压强 度≥310N；三合一偏心连接件预埋螺母抗拉强度≥800N；三合一偏心连接件中连接螺杆螺纹与预埋螺母的抗拉强度≥2000N；通过乙酸盐雾试验（ASS），连续喷雾≥18h，耐腐蚀等级≥10级。</w:t>
            </w:r>
          </w:p>
          <w:p>
            <w:pPr>
              <w:pStyle w:val="null3"/>
              <w:ind w:firstLine="480"/>
              <w:jc w:val="both"/>
            </w:pPr>
            <w:r>
              <w:rPr/>
              <w:t>参考图片：</w:t>
            </w:r>
            <w:r>
              <w:drawing>
                <wp:inline distT="0" distR="0" distB="0" distL="0">
                  <wp:extent cx="1621155" cy="1098201"/>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1621155" cy="1098201"/>
                          </a:xfrm>
                          <a:prstGeom prst="rect">
                            <a:avLst/>
                          </a:prstGeom>
                        </pic:spPr>
                      </pic:pic>
                    </a:graphicData>
                  </a:graphic>
                </wp:inline>
              </w:drawing>
            </w:r>
          </w:p>
          <w:p>
            <w:pPr>
              <w:pStyle w:val="null3"/>
              <w:ind w:firstLine="480"/>
              <w:jc w:val="both"/>
            </w:pPr>
          </w:p>
        </w:tc>
      </w:tr>
    </w:tbl>
    <w:p>
      <w:pPr>
        <w:pStyle w:val="null3"/>
      </w:pPr>
    </w:p>
    <w:p>
      <w:pPr>
        <w:pStyle w:val="null3"/>
      </w:pPr>
      <w:r>
        <w:rPr/>
        <w:t>标的名称：办公椅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p>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450*480*900</w:t>
            </w:r>
          </w:p>
          <w:p>
            <w:pPr>
              <w:pStyle w:val="null3"/>
              <w:ind w:firstLine="480"/>
              <w:jc w:val="both"/>
            </w:pPr>
          </w:p>
          <w:p>
            <w:pPr>
              <w:pStyle w:val="null3"/>
              <w:ind w:firstLine="480"/>
              <w:jc w:val="both"/>
            </w:pPr>
            <w:r>
              <w:rPr>
                <w:rFonts w:ascii="方正仿宋_gbk" w:hAnsi="方正仿宋_gbk" w:cs="方正仿宋_gbk" w:eastAsia="方正仿宋_gbk"/>
                <w:sz w:val="21"/>
              </w:rPr>
              <w:t>1、皮革：采用环保超纤皮，耐磨性（CS-10,500g,500r)通过检测，撕裂力≥51n,ph≥5.3,游离甲醛≤18mg/kg,经液态浸色及防潮、防污等工艺处理，皮面柔软舒适，光泽持久、透气性强。</w:t>
            </w:r>
            <w:r>
              <w:br/>
            </w:r>
            <w:r>
              <w:rPr>
                <w:rFonts w:ascii="方正仿宋_gbk" w:hAnsi="方正仿宋_gbk" w:cs="方正仿宋_gbk" w:eastAsia="方正仿宋_gbk"/>
                <w:sz w:val="21"/>
              </w:rPr>
              <w:t>2、聚氨酯阻燃海绵：填充物采用聚氨酯阻燃海绵，一次成型发泡高密度，在长期负重状态下性能保持。回弹率≥42%，75%压缩永久变形≤6.7%，拉伸强度≥92kPa，干热老化后拉伸强度≥83kPa，干热老化后拉伸强度变化率≤-9.8%，湿热老化后拉伸强度≥80kPa，湿热老化后拉伸强度变化率≤-13%。</w:t>
            </w:r>
            <w:r>
              <w:br/>
            </w:r>
            <w:r>
              <w:rPr>
                <w:rFonts w:ascii="方正仿宋_gbk" w:hAnsi="方正仿宋_gbk" w:cs="方正仿宋_gbk" w:eastAsia="方正仿宋_gbk"/>
                <w:sz w:val="21"/>
              </w:rPr>
              <w:t>3、椅板：采用多层实木板，材质坚硬钢性强，经防腐、防虫、防潮等处理。静曲强度：公称厚度12＜t≤15（mm）顺纹≥42.2 Mpa，公称厚度12＜t≤15（mm）横纹≥39.6 Mpa；静曲强度试件合格率为100%；弹性模量：公称厚度12＜t≤15（mm）顺纹≥5000 Mpa，公称厚度12＜t≤15（mm）横纹≥3500 Mpa；弹性模量试件合格率≥99%；含水率（Ⅲ类）8.5～10%；含水率试件合格率为100%；浸渍无剥离；甲醛释放量：干燥器法≤0.2mg/L，人造板及其制品中甲醛释放限量E₁：≤0.013mg/m³。</w:t>
            </w:r>
            <w:r>
              <w:br/>
            </w:r>
            <w:r>
              <w:rPr>
                <w:rFonts w:ascii="方正仿宋_gbk" w:hAnsi="方正仿宋_gbk" w:cs="方正仿宋_gbk" w:eastAsia="方正仿宋_gbk"/>
                <w:sz w:val="21"/>
              </w:rPr>
              <w:t>4、框架：采用实木，材质坚硬钢性强，承托力达260KG，木材含水率8-14%，经防腐、防虫、防潮等处理。</w:t>
            </w:r>
            <w:r>
              <w:br/>
            </w:r>
            <w:r>
              <w:rPr>
                <w:rFonts w:ascii="方正仿宋_gbk" w:hAnsi="方正仿宋_gbk" w:cs="方正仿宋_gbk" w:eastAsia="方正仿宋_gbk"/>
                <w:sz w:val="21"/>
              </w:rPr>
              <w:t>5、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6、水性木器9分消透明面漆：采用水性木器9分消透明面漆，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7、防滑塑料脚垫：采用防滑塑料脚垫，塑料件耐冷热循环应无裂纹、鼓泡、变色、 起皱；不得检出可溶性铅、可溶性镉、可溶性铬、可溶性汞等塑料重金属。</w:t>
            </w:r>
          </w:p>
          <w:p>
            <w:pPr>
              <w:pStyle w:val="null3"/>
              <w:ind w:firstLine="480"/>
              <w:jc w:val="both"/>
            </w:pPr>
            <w:r>
              <w:rPr/>
              <w:t>参考图片：</w:t>
            </w:r>
            <w:r>
              <w:drawing>
                <wp:inline distT="0" distR="0" distB="0" distL="0">
                  <wp:extent cx="1621155" cy="2442259"/>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1"/>
                          <a:stretch>
                            <a:fillRect/>
                          </a:stretch>
                        </pic:blipFill>
                        <pic:spPr>
                          <a:xfrm>
                            <a:off x="0" y="0"/>
                            <a:ext cx="1621155" cy="2442259"/>
                          </a:xfrm>
                          <a:prstGeom prst="rect">
                            <a:avLst/>
                          </a:prstGeom>
                        </pic:spPr>
                      </pic:pic>
                    </a:graphicData>
                  </a:graphic>
                </wp:inline>
              </w:drawing>
            </w:r>
          </w:p>
          <w:p>
            <w:pPr>
              <w:pStyle w:val="null3"/>
              <w:ind w:firstLine="480"/>
              <w:jc w:val="both"/>
            </w:pPr>
          </w:p>
        </w:tc>
      </w:tr>
    </w:tbl>
    <w:p>
      <w:pPr>
        <w:pStyle w:val="null3"/>
      </w:pPr>
    </w:p>
    <w:p>
      <w:pPr>
        <w:pStyle w:val="null3"/>
      </w:pPr>
      <w:r>
        <w:rPr/>
        <w:t>标的名称：保密柜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1800*850*400</w:t>
            </w:r>
          </w:p>
          <w:p>
            <w:pPr>
              <w:pStyle w:val="null3"/>
              <w:ind w:firstLine="480"/>
              <w:jc w:val="both"/>
            </w:pPr>
          </w:p>
          <w:p>
            <w:pPr>
              <w:pStyle w:val="null3"/>
              <w:ind w:firstLine="480"/>
              <w:jc w:val="both"/>
            </w:pPr>
            <w:r>
              <w:rPr>
                <w:rFonts w:ascii="方正仿宋_gbk" w:hAnsi="方正仿宋_gbk" w:cs="方正仿宋_gbk" w:eastAsia="方正仿宋_gbk"/>
                <w:sz w:val="21"/>
              </w:rPr>
              <w:t>1、冷轧钢板：基材采用冷轧钢板，厚度≥0.8mm，金属喷漆（塑）涂层硬度≥5H；金属喷漆（塑）涂层附着力1级；不得检出可溶性铅、可溶性镉、可溶性铬、可溶性汞等涂层中可溶性重金属；通过乙酸盐雾试验（ASS）：连续喷雾130h，金属涂层耐腐蚀等级≥8级；抗拉强度≥273Mpa；屈服强度≥190Mpa；断后伸长率≥40%；化学成分：C≤0.06%, Mn≤0.2%,P≤0.013%,S≤0.013%.</w:t>
            </w:r>
            <w:r>
              <w:br/>
            </w:r>
            <w:r>
              <w:rPr>
                <w:rFonts w:ascii="方正仿宋_gbk" w:hAnsi="方正仿宋_gbk" w:cs="方正仿宋_gbk" w:eastAsia="方正仿宋_gbk"/>
                <w:sz w:val="21"/>
              </w:rPr>
              <w:t>2、钢板表面处理工艺：表面处理采用乳化剂和碱性助洗脱脂、磷酸除锈、锌系薄膜型磷化、钝化，最后利用静电科技使粉沫涂料平均喷涂于钢板工件上。</w:t>
            </w:r>
            <w:r>
              <w:br/>
            </w:r>
            <w:r>
              <w:rPr>
                <w:rFonts w:ascii="方正仿宋_gbk" w:hAnsi="方正仿宋_gbk" w:cs="方正仿宋_gbk" w:eastAsia="方正仿宋_gbk"/>
                <w:sz w:val="21"/>
              </w:rPr>
              <w:t>3、拉手，金属件外观性能要求：喷涂层无漏喷，锈蚀和脱色、掉色现象；涂层光滑均匀，色泽一致，无流挂、疙瘩、皱皮、飞漆等缺陷；通过乙酸盐雾试验，连续喷雾≥18h，金属涂层耐腐蚀等级≥10级。</w:t>
            </w:r>
            <w:r>
              <w:br/>
            </w:r>
            <w:r>
              <w:rPr>
                <w:rFonts w:ascii="方正仿宋_gbk" w:hAnsi="方正仿宋_gbk" w:cs="方正仿宋_gbk" w:eastAsia="方正仿宋_gbk"/>
                <w:sz w:val="21"/>
              </w:rPr>
              <w:t>4、配置电子密码锁。</w:t>
            </w:r>
          </w:p>
          <w:p>
            <w:pPr>
              <w:pStyle w:val="null3"/>
              <w:ind w:firstLine="480"/>
              <w:jc w:val="both"/>
            </w:pPr>
            <w:r>
              <w:rPr/>
              <w:t>参考图片：</w:t>
            </w:r>
            <w:r>
              <w:drawing>
                <wp:inline distT="0" distR="0" distB="0" distL="0">
                  <wp:extent cx="1621155" cy="3058579"/>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1621155" cy="3058579"/>
                          </a:xfrm>
                          <a:prstGeom prst="rect">
                            <a:avLst/>
                          </a:prstGeom>
                        </pic:spPr>
                      </pic:pic>
                    </a:graphicData>
                  </a:graphic>
                </wp:inline>
              </w:drawing>
            </w:r>
          </w:p>
          <w:p>
            <w:pPr>
              <w:pStyle w:val="null3"/>
              <w:ind w:firstLine="480"/>
              <w:jc w:val="both"/>
            </w:pPr>
          </w:p>
        </w:tc>
      </w:tr>
    </w:tbl>
    <w:p>
      <w:pPr>
        <w:pStyle w:val="null3"/>
      </w:pPr>
    </w:p>
    <w:p>
      <w:pPr>
        <w:pStyle w:val="null3"/>
      </w:pPr>
      <w:r>
        <w:rPr/>
        <w:t>标的名称：会议桌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p>
          <w:p>
            <w:pPr>
              <w:pStyle w:val="null3"/>
              <w:ind w:firstLine="480"/>
              <w:jc w:val="both"/>
            </w:pPr>
            <w:r>
              <w:rPr>
                <w:rFonts w:ascii="方正仿宋_gbk" w:hAnsi="方正仿宋_gbk" w:cs="方正仿宋_gbk" w:eastAsia="方正仿宋_gbk"/>
                <w:sz w:val="21"/>
              </w:rPr>
              <w:t>规格尺寸（单位</w:t>
            </w:r>
            <w:r>
              <w:rPr>
                <w:rFonts w:ascii="方正仿宋_gbk" w:hAnsi="方正仿宋_gbk" w:cs="方正仿宋_gbk" w:eastAsia="方正仿宋_gbk"/>
                <w:sz w:val="21"/>
              </w:rPr>
              <w:t>mm)(允许尺寸偏差±5mm）：</w:t>
            </w:r>
            <w:r>
              <w:rPr>
                <w:rFonts w:ascii="方正仿宋_gbk" w:hAnsi="方正仿宋_gbk" w:cs="方正仿宋_gbk" w:eastAsia="方正仿宋_gbk"/>
                <w:sz w:val="21"/>
              </w:rPr>
              <w:t>4200*1800*760</w:t>
            </w:r>
          </w:p>
          <w:p>
            <w:pPr>
              <w:pStyle w:val="null3"/>
              <w:ind w:firstLine="480"/>
              <w:jc w:val="both"/>
            </w:pPr>
            <w:r>
              <w:rPr>
                <w:rFonts w:ascii="方正仿宋_gbk" w:hAnsi="方正仿宋_gbk" w:cs="方正仿宋_gbk" w:eastAsia="方正仿宋_gbk"/>
                <w:sz w:val="21"/>
              </w:rPr>
              <w:t>1、基材:采用高密度纤维板，不得检出含有苯、甲苯、二甲苯、TVOC等挥发性有机化合物（72h）；密度≥0.80 g/cm³（允许偏差为 ±10％）；含水率7～8％；静曲强度μʟ：≥36.0 Mpa；弹性模量μʟ≥4700Mpa；内结合强度μʟ：≥1.0 Mpa；24h吸水厚度膨胀率μᵤ：≤4.5％；表面胶合强度μʟ：≥1.36Mpa；甲醛释放量：≤0.124mg/m³。</w:t>
            </w:r>
            <w:r>
              <w:br/>
            </w:r>
            <w:r>
              <w:rPr>
                <w:rFonts w:ascii="方正仿宋_gbk" w:hAnsi="方正仿宋_gbk" w:cs="方正仿宋_gbk" w:eastAsia="方正仿宋_gbk"/>
                <w:sz w:val="21"/>
              </w:rPr>
              <w:t>2、面材:采用胡桃木皮，经过防潮、防虫、防腐、耐酸碱处理，含水率8.5～10%，不得检出甲醛含量。</w:t>
            </w:r>
            <w:r>
              <w:br/>
            </w:r>
            <w:r>
              <w:rPr>
                <w:rFonts w:ascii="方正仿宋_gbk" w:hAnsi="方正仿宋_gbk" w:cs="方正仿宋_gbk" w:eastAsia="方正仿宋_gbk"/>
                <w:sz w:val="21"/>
              </w:rPr>
              <w:t>3、采用水性木器透明底漆，VOC含量≤8g/L，甲醛含量≤5mg/kg；不得检出乙二醇醚及醚酯总和含量、苯系物总和含量、烷基酚聚氧乙烯醚总和含量和壬基酚聚氧乙烯醚；在容器中搅拌后均匀无硬块，细度≤40μm，不挥发物≥30％，贮存稳定性[（50±2）℃，7d]无异常，易打磨，附着力（划格间距2mm）≤1级。</w:t>
            </w:r>
            <w:r>
              <w:br/>
            </w:r>
            <w:r>
              <w:rPr>
                <w:rFonts w:ascii="方正仿宋_gbk" w:hAnsi="方正仿宋_gbk" w:cs="方正仿宋_gbk" w:eastAsia="方正仿宋_gbk"/>
                <w:sz w:val="21"/>
              </w:rPr>
              <w:t>4、水性木器9分消透明面漆：采用水性木器9分消透明面漆， VOC含量≤2g/L，甲醛含量≤7mg/kg；不得检出乙二醇醚及醚酯总和含量、苯系物总和含量、烷基酚聚氧乙烯醚总和含量和壬基酚聚氧乙烯醚；在容器中搅拌后均匀无硬块，细度≤26μm，不挥发物≥37.5％，贮存稳定性[（50±2）℃，7d]无异常，涂膜外观正常，硬度（擦伤）≥3H，附着力（划格间距2mm）≤1级，耐水性、耐碱性、耐醇性、耐污染性（1h）无异常，耐干热性[（70±2）℃，15min] ≤1级。</w:t>
            </w:r>
            <w:r>
              <w:br/>
            </w:r>
            <w:r>
              <w:rPr>
                <w:rFonts w:ascii="方正仿宋_gbk" w:hAnsi="方正仿宋_gbk" w:cs="方正仿宋_gbk" w:eastAsia="方正仿宋_gbk"/>
                <w:sz w:val="21"/>
              </w:rPr>
              <w:t>5、自攻螺丝：金属电镀层抗盐雾≥18h,无锈点，所有螺丝应无毛刺、缺角、脱丝。</w:t>
            </w:r>
            <w:r>
              <w:br/>
            </w:r>
            <w:r>
              <w:rPr>
                <w:rFonts w:ascii="方正仿宋_gbk" w:hAnsi="方正仿宋_gbk" w:cs="方正仿宋_gbk" w:eastAsia="方正仿宋_gbk"/>
                <w:sz w:val="21"/>
              </w:rPr>
              <w:t>6、三合一紧固连接件，三合一偏心连接件偏心体抗压强 度≥310N；三合一偏心连接件预埋螺母抗拉强度≥800N；三合一偏心连接件中连接螺杆螺纹与预埋螺母的抗拉强度≥2000N；通过乙酸盐雾试验（ASS），连续喷雾≥18h，耐腐蚀等级≥10级。</w:t>
            </w:r>
          </w:p>
          <w:p>
            <w:pPr>
              <w:pStyle w:val="null3"/>
              <w:ind w:firstLine="480"/>
              <w:jc w:val="both"/>
            </w:pPr>
            <w:r>
              <w:rPr/>
              <w:t>参考图片：</w:t>
            </w:r>
            <w:r>
              <w:drawing>
                <wp:inline distT="0" distR="0" distB="0" distL="0">
                  <wp:extent cx="1621155" cy="625151"/>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3"/>
                          <a:stretch>
                            <a:fillRect/>
                          </a:stretch>
                        </pic:blipFill>
                        <pic:spPr>
                          <a:xfrm>
                            <a:off x="0" y="0"/>
                            <a:ext cx="1621155" cy="625151"/>
                          </a:xfrm>
                          <a:prstGeom prst="rect">
                            <a:avLst/>
                          </a:prstGeom>
                        </pic:spPr>
                      </pic:pic>
                    </a:graphicData>
                  </a:graphic>
                </wp:inline>
              </w:drawing>
            </w:r>
          </w:p>
          <w:p>
            <w:pPr>
              <w:pStyle w:val="null3"/>
              <w:ind w:firstLine="480"/>
              <w:jc w:val="both"/>
            </w:pPr>
          </w:p>
        </w:tc>
      </w:tr>
    </w:tbl>
    <w:p>
      <w:pPr>
        <w:pStyle w:val="null3"/>
      </w:pPr>
    </w:p>
    <w:p>
      <w:pPr>
        <w:pStyle w:val="null3"/>
      </w:pPr>
      <w:r>
        <w:rPr/>
        <w:t>标的名称：会议椅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p>
          <w:p>
            <w:pPr>
              <w:pStyle w:val="null3"/>
              <w:ind w:firstLine="480"/>
              <w:jc w:val="left"/>
            </w:pPr>
            <w:r>
              <w:rPr>
                <w:rFonts w:ascii="宋体" w:hAnsi="宋体" w:cs="宋体" w:eastAsia="宋体"/>
                <w:sz w:val="21"/>
              </w:rPr>
              <w:t>规格尺寸（单位</w:t>
            </w:r>
            <w:r>
              <w:rPr>
                <w:rFonts w:ascii="calibri" w:hAnsi="calibri" w:cs="calibri" w:eastAsia="calibri"/>
                <w:sz w:val="21"/>
              </w:rPr>
              <w:t>mm)(</w:t>
            </w:r>
            <w:r>
              <w:rPr>
                <w:rFonts w:ascii="宋体" w:hAnsi="宋体" w:cs="宋体" w:eastAsia="宋体"/>
                <w:sz w:val="21"/>
              </w:rPr>
              <w:t>允许尺寸偏差±</w:t>
            </w:r>
            <w:r>
              <w:rPr>
                <w:rFonts w:ascii="calibri" w:hAnsi="calibri" w:cs="calibri" w:eastAsia="calibri"/>
                <w:sz w:val="21"/>
              </w:rPr>
              <w:t>5mm</w:t>
            </w:r>
            <w:r>
              <w:rPr>
                <w:rFonts w:ascii="宋体" w:hAnsi="宋体" w:cs="宋体" w:eastAsia="宋体"/>
                <w:sz w:val="21"/>
              </w:rPr>
              <w:t>）：</w:t>
            </w:r>
            <w:r>
              <w:rPr>
                <w:rFonts w:ascii="方正仿宋_gbk" w:hAnsi="方正仿宋_gbk" w:cs="方正仿宋_gbk" w:eastAsia="方正仿宋_gbk"/>
                <w:sz w:val="21"/>
              </w:rPr>
              <w:t>685*760*1145</w:t>
            </w:r>
          </w:p>
          <w:p>
            <w:pPr>
              <w:pStyle w:val="null3"/>
              <w:ind w:firstLine="480"/>
              <w:jc w:val="left"/>
            </w:pPr>
            <w:r>
              <w:rPr>
                <w:rFonts w:ascii="宋体" w:hAnsi="宋体" w:cs="宋体" w:eastAsia="宋体"/>
                <w:sz w:val="21"/>
              </w:rPr>
              <w:t>1、头层牛皮：面料采用头层牛皮，经液氨多道浸色及防潮、防腐等工艺处理。摩擦色牢度：干擦（</w:t>
            </w:r>
            <w:r>
              <w:rPr>
                <w:rFonts w:ascii="calibri" w:hAnsi="calibri" w:cs="calibri" w:eastAsia="calibri"/>
                <w:sz w:val="21"/>
              </w:rPr>
              <w:t>500</w:t>
            </w:r>
            <w:r>
              <w:rPr>
                <w:rFonts w:ascii="宋体" w:hAnsi="宋体" w:cs="宋体" w:eastAsia="宋体"/>
                <w:sz w:val="21"/>
              </w:rPr>
              <w:t>次）≥</w:t>
            </w:r>
            <w:r>
              <w:rPr>
                <w:rFonts w:ascii="calibri" w:hAnsi="calibri" w:cs="calibri" w:eastAsia="calibri"/>
                <w:sz w:val="21"/>
              </w:rPr>
              <w:t>4</w:t>
            </w:r>
            <w:r>
              <w:rPr>
                <w:rFonts w:ascii="宋体" w:hAnsi="宋体" w:cs="宋体" w:eastAsia="宋体"/>
                <w:sz w:val="21"/>
              </w:rPr>
              <w:t>级，湿擦（</w:t>
            </w:r>
            <w:r>
              <w:rPr>
                <w:rFonts w:ascii="calibri" w:hAnsi="calibri" w:cs="calibri" w:eastAsia="calibri"/>
                <w:sz w:val="21"/>
              </w:rPr>
              <w:t>250</w:t>
            </w:r>
            <w:r>
              <w:rPr>
                <w:rFonts w:ascii="宋体" w:hAnsi="宋体" w:cs="宋体" w:eastAsia="宋体"/>
                <w:sz w:val="21"/>
              </w:rPr>
              <w:t>次）≥</w:t>
            </w:r>
            <w:r>
              <w:rPr>
                <w:rFonts w:ascii="calibri" w:hAnsi="calibri" w:cs="calibri" w:eastAsia="calibri"/>
                <w:sz w:val="21"/>
              </w:rPr>
              <w:t>4</w:t>
            </w:r>
            <w:r>
              <w:rPr>
                <w:rFonts w:ascii="宋体" w:hAnsi="宋体" w:cs="宋体" w:eastAsia="宋体"/>
                <w:sz w:val="21"/>
              </w:rPr>
              <w:t>级，碱性汗液（</w:t>
            </w:r>
            <w:r>
              <w:rPr>
                <w:rFonts w:ascii="calibri" w:hAnsi="calibri" w:cs="calibri" w:eastAsia="calibri"/>
                <w:sz w:val="21"/>
              </w:rPr>
              <w:t>80</w:t>
            </w:r>
            <w:r>
              <w:rPr>
                <w:rFonts w:ascii="宋体" w:hAnsi="宋体" w:cs="宋体" w:eastAsia="宋体"/>
                <w:sz w:val="21"/>
              </w:rPr>
              <w:t>次）≥</w:t>
            </w:r>
            <w:r>
              <w:rPr>
                <w:rFonts w:ascii="calibri" w:hAnsi="calibri" w:cs="calibri" w:eastAsia="calibri"/>
                <w:sz w:val="21"/>
              </w:rPr>
              <w:t>4</w:t>
            </w:r>
            <w:r>
              <w:rPr>
                <w:rFonts w:ascii="宋体" w:hAnsi="宋体" w:cs="宋体" w:eastAsia="宋体"/>
                <w:sz w:val="21"/>
              </w:rPr>
              <w:t>级；耐磨性（</w:t>
            </w:r>
            <w:r>
              <w:rPr>
                <w:rFonts w:ascii="calibri" w:hAnsi="calibri" w:cs="calibri" w:eastAsia="calibri"/>
                <w:sz w:val="21"/>
              </w:rPr>
              <w:t>CS-10</w:t>
            </w:r>
            <w:r>
              <w:rPr>
                <w:rFonts w:ascii="宋体" w:hAnsi="宋体" w:cs="宋体" w:eastAsia="宋体"/>
                <w:sz w:val="21"/>
              </w:rPr>
              <w:t>，</w:t>
            </w:r>
            <w:r>
              <w:rPr>
                <w:rFonts w:ascii="calibri" w:hAnsi="calibri" w:cs="calibri" w:eastAsia="calibri"/>
                <w:sz w:val="21"/>
              </w:rPr>
              <w:t>500g</w:t>
            </w:r>
            <w:r>
              <w:rPr>
                <w:rFonts w:ascii="宋体" w:hAnsi="宋体" w:cs="宋体" w:eastAsia="宋体"/>
                <w:sz w:val="21"/>
              </w:rPr>
              <w:t>，</w:t>
            </w:r>
            <w:r>
              <w:rPr>
                <w:rFonts w:ascii="calibri" w:hAnsi="calibri" w:cs="calibri" w:eastAsia="calibri"/>
                <w:sz w:val="21"/>
              </w:rPr>
              <w:t>500r</w:t>
            </w:r>
            <w:r>
              <w:rPr>
                <w:rFonts w:ascii="宋体" w:hAnsi="宋体" w:cs="宋体" w:eastAsia="宋体"/>
                <w:sz w:val="21"/>
              </w:rPr>
              <w:t>）无明显损伤、剥落；耐折牢度≥</w:t>
            </w:r>
            <w:r>
              <w:rPr>
                <w:rFonts w:ascii="calibri" w:hAnsi="calibri" w:cs="calibri" w:eastAsia="calibri"/>
                <w:sz w:val="21"/>
              </w:rPr>
              <w:t>50000</w:t>
            </w:r>
            <w:r>
              <w:rPr>
                <w:rFonts w:ascii="宋体" w:hAnsi="宋体" w:cs="宋体" w:eastAsia="宋体"/>
                <w:sz w:val="21"/>
              </w:rPr>
              <w:t>次无裂纹；撕裂力≥</w:t>
            </w:r>
            <w:r>
              <w:rPr>
                <w:rFonts w:ascii="calibri" w:hAnsi="calibri" w:cs="calibri" w:eastAsia="calibri"/>
                <w:sz w:val="21"/>
              </w:rPr>
              <w:t>38.6N</w:t>
            </w:r>
            <w:r>
              <w:rPr>
                <w:rFonts w:ascii="宋体" w:hAnsi="宋体" w:cs="宋体" w:eastAsia="宋体"/>
                <w:sz w:val="21"/>
              </w:rPr>
              <w:t>；涂层粘着牢度≥</w:t>
            </w:r>
            <w:r>
              <w:rPr>
                <w:rFonts w:ascii="calibri" w:hAnsi="calibri" w:cs="calibri" w:eastAsia="calibri"/>
                <w:sz w:val="21"/>
              </w:rPr>
              <w:t>6.4N/10mm</w:t>
            </w:r>
            <w:r>
              <w:rPr>
                <w:rFonts w:ascii="宋体" w:hAnsi="宋体" w:cs="宋体" w:eastAsia="宋体"/>
                <w:sz w:val="21"/>
              </w:rPr>
              <w:t>；不得检出含有禁用偶氮染料；不得检出游离甲醛含量；不得检出含有铅（</w:t>
            </w:r>
            <w:r>
              <w:rPr>
                <w:rFonts w:ascii="calibri" w:hAnsi="calibri" w:cs="calibri" w:eastAsia="calibri"/>
                <w:sz w:val="21"/>
              </w:rPr>
              <w:t>Pb</w:t>
            </w:r>
            <w:r>
              <w:rPr>
                <w:rFonts w:ascii="宋体" w:hAnsi="宋体" w:cs="宋体" w:eastAsia="宋体"/>
                <w:sz w:val="21"/>
              </w:rPr>
              <w:t>）、镉（</w:t>
            </w:r>
            <w:r>
              <w:rPr>
                <w:rFonts w:ascii="calibri" w:hAnsi="calibri" w:cs="calibri" w:eastAsia="calibri"/>
                <w:sz w:val="21"/>
              </w:rPr>
              <w:t>Cd</w:t>
            </w:r>
            <w:r>
              <w:rPr>
                <w:rFonts w:ascii="宋体" w:hAnsi="宋体" w:cs="宋体" w:eastAsia="宋体"/>
                <w:sz w:val="21"/>
              </w:rPr>
              <w:t>）等可萃取的重金属；挥发性有机物（</w:t>
            </w:r>
            <w:r>
              <w:rPr>
                <w:rFonts w:ascii="calibri" w:hAnsi="calibri" w:cs="calibri" w:eastAsia="calibri"/>
                <w:sz w:val="21"/>
              </w:rPr>
              <w:t>VOC</w:t>
            </w:r>
            <w:r>
              <w:rPr>
                <w:rFonts w:ascii="宋体" w:hAnsi="宋体" w:cs="宋体" w:eastAsia="宋体"/>
                <w:sz w:val="21"/>
              </w:rPr>
              <w:t>）＜</w:t>
            </w:r>
            <w:r>
              <w:rPr>
                <w:rFonts w:ascii="calibri" w:hAnsi="calibri" w:cs="calibri" w:eastAsia="calibri"/>
                <w:sz w:val="21"/>
              </w:rPr>
              <w:t>10mg/kg</w:t>
            </w:r>
            <w:r>
              <w:rPr>
                <w:rFonts w:ascii="宋体" w:hAnsi="宋体" w:cs="宋体" w:eastAsia="宋体"/>
                <w:sz w:val="21"/>
              </w:rPr>
              <w:t>。</w:t>
            </w:r>
            <w:r>
              <w:br/>
            </w:r>
            <w:r>
              <w:rPr>
                <w:rFonts w:ascii="calibri" w:hAnsi="calibri" w:cs="calibri" w:eastAsia="calibri"/>
                <w:sz w:val="21"/>
              </w:rPr>
              <w:t>2</w:t>
            </w:r>
            <w:r>
              <w:rPr>
                <w:rFonts w:ascii="宋体" w:hAnsi="宋体" w:cs="宋体" w:eastAsia="宋体"/>
                <w:sz w:val="21"/>
              </w:rPr>
              <w:t>、聚氨酯阻燃海绵：填充物采用聚氨酯阻燃海绵，一次成型发泡高密度，在长期负重状态下性能保持。回弹率≥</w:t>
            </w:r>
            <w:r>
              <w:rPr>
                <w:rFonts w:ascii="calibri" w:hAnsi="calibri" w:cs="calibri" w:eastAsia="calibri"/>
                <w:sz w:val="21"/>
              </w:rPr>
              <w:t>42%</w:t>
            </w:r>
            <w:r>
              <w:rPr>
                <w:rFonts w:ascii="宋体" w:hAnsi="宋体" w:cs="宋体" w:eastAsia="宋体"/>
                <w:sz w:val="21"/>
              </w:rPr>
              <w:t>，</w:t>
            </w:r>
            <w:r>
              <w:rPr>
                <w:rFonts w:ascii="calibri" w:hAnsi="calibri" w:cs="calibri" w:eastAsia="calibri"/>
                <w:sz w:val="21"/>
              </w:rPr>
              <w:t>75%</w:t>
            </w:r>
            <w:r>
              <w:rPr>
                <w:rFonts w:ascii="宋体" w:hAnsi="宋体" w:cs="宋体" w:eastAsia="宋体"/>
                <w:sz w:val="21"/>
              </w:rPr>
              <w:t>压缩永久变形≤</w:t>
            </w:r>
            <w:r>
              <w:rPr>
                <w:rFonts w:ascii="calibri" w:hAnsi="calibri" w:cs="calibri" w:eastAsia="calibri"/>
                <w:sz w:val="21"/>
              </w:rPr>
              <w:t>6.7%</w:t>
            </w:r>
            <w:r>
              <w:rPr>
                <w:rFonts w:ascii="宋体" w:hAnsi="宋体" w:cs="宋体" w:eastAsia="宋体"/>
                <w:sz w:val="21"/>
              </w:rPr>
              <w:t>，拉伸强度≥</w:t>
            </w:r>
            <w:r>
              <w:rPr>
                <w:rFonts w:ascii="calibri" w:hAnsi="calibri" w:cs="calibri" w:eastAsia="calibri"/>
                <w:sz w:val="21"/>
              </w:rPr>
              <w:t>92kPa</w:t>
            </w:r>
            <w:r>
              <w:rPr>
                <w:rFonts w:ascii="宋体" w:hAnsi="宋体" w:cs="宋体" w:eastAsia="宋体"/>
                <w:sz w:val="21"/>
              </w:rPr>
              <w:t>，干热老化后拉伸强度≥</w:t>
            </w:r>
            <w:r>
              <w:rPr>
                <w:rFonts w:ascii="calibri" w:hAnsi="calibri" w:cs="calibri" w:eastAsia="calibri"/>
                <w:sz w:val="21"/>
              </w:rPr>
              <w:t>83kPa</w:t>
            </w:r>
            <w:r>
              <w:rPr>
                <w:rFonts w:ascii="宋体" w:hAnsi="宋体" w:cs="宋体" w:eastAsia="宋体"/>
                <w:sz w:val="21"/>
              </w:rPr>
              <w:t>，干热老化后拉伸强度变化率≤</w:t>
            </w:r>
            <w:r>
              <w:rPr>
                <w:rFonts w:ascii="calibri" w:hAnsi="calibri" w:cs="calibri" w:eastAsia="calibri"/>
                <w:sz w:val="21"/>
              </w:rPr>
              <w:t>-9.8%</w:t>
            </w:r>
            <w:r>
              <w:rPr>
                <w:rFonts w:ascii="宋体" w:hAnsi="宋体" w:cs="宋体" w:eastAsia="宋体"/>
                <w:sz w:val="21"/>
              </w:rPr>
              <w:t>，湿热老化后拉伸强度≥</w:t>
            </w:r>
            <w:r>
              <w:rPr>
                <w:rFonts w:ascii="calibri" w:hAnsi="calibri" w:cs="calibri" w:eastAsia="calibri"/>
                <w:sz w:val="21"/>
              </w:rPr>
              <w:t>80kPa</w:t>
            </w:r>
            <w:r>
              <w:rPr>
                <w:rFonts w:ascii="宋体" w:hAnsi="宋体" w:cs="宋体" w:eastAsia="宋体"/>
                <w:sz w:val="21"/>
              </w:rPr>
              <w:t>，湿热老化后拉伸强度变化率≤</w:t>
            </w:r>
            <w:r>
              <w:rPr>
                <w:rFonts w:ascii="calibri" w:hAnsi="calibri" w:cs="calibri" w:eastAsia="calibri"/>
                <w:sz w:val="21"/>
              </w:rPr>
              <w:t>-13%</w:t>
            </w:r>
            <w:r>
              <w:rPr>
                <w:rFonts w:ascii="宋体" w:hAnsi="宋体" w:cs="宋体" w:eastAsia="宋体"/>
                <w:sz w:val="21"/>
              </w:rPr>
              <w:t>。</w:t>
            </w:r>
            <w:r>
              <w:br/>
            </w:r>
            <w:r>
              <w:rPr>
                <w:rFonts w:ascii="calibri" w:hAnsi="calibri" w:cs="calibri" w:eastAsia="calibri"/>
                <w:sz w:val="21"/>
              </w:rPr>
              <w:t>3</w:t>
            </w:r>
            <w:r>
              <w:rPr>
                <w:rFonts w:ascii="宋体" w:hAnsi="宋体" w:cs="宋体" w:eastAsia="宋体"/>
                <w:sz w:val="21"/>
              </w:rPr>
              <w:t>、阻燃多层实木板：椅板采用阻燃多层实木板，材质坚硬钢性强，经防腐、防虫、防潮等处理。静曲强度：公称厚度</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t</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mm</w:t>
            </w:r>
            <w:r>
              <w:rPr>
                <w:rFonts w:ascii="宋体" w:hAnsi="宋体" w:cs="宋体" w:eastAsia="宋体"/>
                <w:sz w:val="21"/>
              </w:rPr>
              <w:t>）顺纹≥</w:t>
            </w:r>
            <w:r>
              <w:rPr>
                <w:rFonts w:ascii="calibri" w:hAnsi="calibri" w:cs="calibri" w:eastAsia="calibri"/>
                <w:sz w:val="21"/>
              </w:rPr>
              <w:t>42.2 Mpa</w:t>
            </w:r>
            <w:r>
              <w:rPr>
                <w:rFonts w:ascii="宋体" w:hAnsi="宋体" w:cs="宋体" w:eastAsia="宋体"/>
                <w:sz w:val="21"/>
              </w:rPr>
              <w:t>，公称厚度</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t</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mm</w:t>
            </w:r>
            <w:r>
              <w:rPr>
                <w:rFonts w:ascii="宋体" w:hAnsi="宋体" w:cs="宋体" w:eastAsia="宋体"/>
                <w:sz w:val="21"/>
              </w:rPr>
              <w:t>）横纹≥</w:t>
            </w:r>
            <w:r>
              <w:rPr>
                <w:rFonts w:ascii="calibri" w:hAnsi="calibri" w:cs="calibri" w:eastAsia="calibri"/>
                <w:sz w:val="21"/>
              </w:rPr>
              <w:t>39.6 Mpa</w:t>
            </w:r>
            <w:r>
              <w:rPr>
                <w:rFonts w:ascii="宋体" w:hAnsi="宋体" w:cs="宋体" w:eastAsia="宋体"/>
                <w:sz w:val="21"/>
              </w:rPr>
              <w:t>；静曲强度试件合格率为</w:t>
            </w:r>
            <w:r>
              <w:rPr>
                <w:rFonts w:ascii="calibri" w:hAnsi="calibri" w:cs="calibri" w:eastAsia="calibri"/>
                <w:sz w:val="21"/>
              </w:rPr>
              <w:t>100%</w:t>
            </w:r>
            <w:r>
              <w:rPr>
                <w:rFonts w:ascii="宋体" w:hAnsi="宋体" w:cs="宋体" w:eastAsia="宋体"/>
                <w:sz w:val="21"/>
              </w:rPr>
              <w:t>；弹性模量：公称厚度</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t</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mm</w:t>
            </w:r>
            <w:r>
              <w:rPr>
                <w:rFonts w:ascii="宋体" w:hAnsi="宋体" w:cs="宋体" w:eastAsia="宋体"/>
                <w:sz w:val="21"/>
              </w:rPr>
              <w:t>）顺纹≥</w:t>
            </w:r>
            <w:r>
              <w:rPr>
                <w:rFonts w:ascii="calibri" w:hAnsi="calibri" w:cs="calibri" w:eastAsia="calibri"/>
                <w:sz w:val="21"/>
              </w:rPr>
              <w:t>5000 Mpa</w:t>
            </w:r>
            <w:r>
              <w:rPr>
                <w:rFonts w:ascii="宋体" w:hAnsi="宋体" w:cs="宋体" w:eastAsia="宋体"/>
                <w:sz w:val="21"/>
              </w:rPr>
              <w:t>，公称厚度</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t</w:t>
            </w: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mm</w:t>
            </w:r>
            <w:r>
              <w:rPr>
                <w:rFonts w:ascii="宋体" w:hAnsi="宋体" w:cs="宋体" w:eastAsia="宋体"/>
                <w:sz w:val="21"/>
              </w:rPr>
              <w:t>）横纹≥</w:t>
            </w:r>
            <w:r>
              <w:rPr>
                <w:rFonts w:ascii="calibri" w:hAnsi="calibri" w:cs="calibri" w:eastAsia="calibri"/>
                <w:sz w:val="21"/>
              </w:rPr>
              <w:t>3500 Mpa</w:t>
            </w:r>
            <w:r>
              <w:rPr>
                <w:rFonts w:ascii="宋体" w:hAnsi="宋体" w:cs="宋体" w:eastAsia="宋体"/>
                <w:sz w:val="21"/>
              </w:rPr>
              <w:t>；弹性模量试件合格率≥</w:t>
            </w:r>
            <w:r>
              <w:rPr>
                <w:rFonts w:ascii="calibri" w:hAnsi="calibri" w:cs="calibri" w:eastAsia="calibri"/>
                <w:sz w:val="21"/>
              </w:rPr>
              <w:t>99%</w:t>
            </w:r>
            <w:r>
              <w:rPr>
                <w:rFonts w:ascii="宋体" w:hAnsi="宋体" w:cs="宋体" w:eastAsia="宋体"/>
                <w:sz w:val="21"/>
              </w:rPr>
              <w:t>；含水率（Ⅲ类）</w:t>
            </w:r>
            <w:r>
              <w:rPr>
                <w:rFonts w:ascii="calibri" w:hAnsi="calibri" w:cs="calibri" w:eastAsia="calibri"/>
                <w:sz w:val="21"/>
              </w:rPr>
              <w:t>8.5</w:t>
            </w:r>
            <w:r>
              <w:rPr>
                <w:rFonts w:ascii="宋体" w:hAnsi="宋体" w:cs="宋体" w:eastAsia="宋体"/>
                <w:sz w:val="21"/>
              </w:rPr>
              <w:t>～</w:t>
            </w:r>
            <w:r>
              <w:rPr>
                <w:rFonts w:ascii="calibri" w:hAnsi="calibri" w:cs="calibri" w:eastAsia="calibri"/>
                <w:sz w:val="21"/>
              </w:rPr>
              <w:t>10%</w:t>
            </w:r>
            <w:r>
              <w:rPr>
                <w:rFonts w:ascii="宋体" w:hAnsi="宋体" w:cs="宋体" w:eastAsia="宋体"/>
                <w:sz w:val="21"/>
              </w:rPr>
              <w:t>；含水率试件合格率为</w:t>
            </w:r>
            <w:r>
              <w:rPr>
                <w:rFonts w:ascii="calibri" w:hAnsi="calibri" w:cs="calibri" w:eastAsia="calibri"/>
                <w:sz w:val="21"/>
              </w:rPr>
              <w:t>100%</w:t>
            </w:r>
            <w:r>
              <w:rPr>
                <w:rFonts w:ascii="宋体" w:hAnsi="宋体" w:cs="宋体" w:eastAsia="宋体"/>
                <w:sz w:val="21"/>
              </w:rPr>
              <w:t>；浸渍无剥离；甲醛释放量：干燥器法≤</w:t>
            </w:r>
            <w:r>
              <w:rPr>
                <w:rFonts w:ascii="calibri" w:hAnsi="calibri" w:cs="calibri" w:eastAsia="calibri"/>
                <w:sz w:val="21"/>
              </w:rPr>
              <w:t>0.2mg/L</w:t>
            </w:r>
            <w:r>
              <w:rPr>
                <w:rFonts w:ascii="宋体" w:hAnsi="宋体" w:cs="宋体" w:eastAsia="宋体"/>
                <w:sz w:val="21"/>
              </w:rPr>
              <w:t>，人造板及其制品中甲醛释放限量</w:t>
            </w:r>
            <w:r>
              <w:rPr>
                <w:rFonts w:ascii="calibri" w:hAnsi="calibri" w:cs="calibri" w:eastAsia="calibri"/>
                <w:sz w:val="21"/>
              </w:rPr>
              <w:t>E</w:t>
            </w:r>
            <w:r>
              <w:rPr>
                <w:rFonts w:ascii="宋体" w:hAnsi="宋体" w:cs="宋体" w:eastAsia="宋体"/>
                <w:sz w:val="21"/>
              </w:rPr>
              <w:t>₁：≤</w:t>
            </w:r>
            <w:r>
              <w:rPr>
                <w:rFonts w:ascii="calibri" w:hAnsi="calibri" w:cs="calibri" w:eastAsia="calibri"/>
                <w:sz w:val="21"/>
              </w:rPr>
              <w:t>0.013mg/m</w:t>
            </w:r>
            <w:r>
              <w:rPr>
                <w:rFonts w:ascii="宋体" w:hAnsi="宋体" w:cs="宋体" w:eastAsia="宋体"/>
                <w:sz w:val="21"/>
              </w:rPr>
              <w:t>³。</w:t>
            </w:r>
            <w:r>
              <w:br/>
            </w:r>
            <w:r>
              <w:rPr>
                <w:rFonts w:ascii="calibri" w:hAnsi="calibri" w:cs="calibri" w:eastAsia="calibri"/>
                <w:sz w:val="21"/>
              </w:rPr>
              <w:t>4</w:t>
            </w:r>
            <w:r>
              <w:rPr>
                <w:rFonts w:ascii="宋体" w:hAnsi="宋体" w:cs="宋体" w:eastAsia="宋体"/>
                <w:sz w:val="21"/>
              </w:rPr>
              <w:t>、橡木脚架：采用橡木脚架，木材含水率</w:t>
            </w:r>
            <w:r>
              <w:rPr>
                <w:rFonts w:ascii="calibri" w:hAnsi="calibri" w:cs="calibri" w:eastAsia="calibri"/>
                <w:sz w:val="21"/>
              </w:rPr>
              <w:t>10.5</w:t>
            </w:r>
            <w:r>
              <w:rPr>
                <w:rFonts w:ascii="宋体" w:hAnsi="宋体" w:cs="宋体" w:eastAsia="宋体"/>
                <w:sz w:val="21"/>
              </w:rPr>
              <w:t>～</w:t>
            </w:r>
            <w:r>
              <w:rPr>
                <w:rFonts w:ascii="calibri" w:hAnsi="calibri" w:cs="calibri" w:eastAsia="calibri"/>
                <w:sz w:val="21"/>
              </w:rPr>
              <w:t>11.5</w:t>
            </w:r>
            <w:r>
              <w:rPr>
                <w:rFonts w:ascii="宋体" w:hAnsi="宋体" w:cs="宋体" w:eastAsia="宋体"/>
                <w:sz w:val="21"/>
              </w:rPr>
              <w:t>％，木材气干密度≥</w:t>
            </w:r>
            <w:r>
              <w:rPr>
                <w:rFonts w:ascii="calibri" w:hAnsi="calibri" w:cs="calibri" w:eastAsia="calibri"/>
                <w:sz w:val="21"/>
              </w:rPr>
              <w:t>0.76 g/cm</w:t>
            </w:r>
            <w:r>
              <w:rPr>
                <w:rFonts w:ascii="宋体" w:hAnsi="宋体" w:cs="宋体" w:eastAsia="宋体"/>
                <w:sz w:val="21"/>
              </w:rPr>
              <w:t>³，木材全干密度≥</w:t>
            </w:r>
            <w:r>
              <w:rPr>
                <w:rFonts w:ascii="calibri" w:hAnsi="calibri" w:cs="calibri" w:eastAsia="calibri"/>
                <w:sz w:val="21"/>
              </w:rPr>
              <w:t>0.69 g/cm</w:t>
            </w:r>
            <w:r>
              <w:rPr>
                <w:rFonts w:ascii="宋体" w:hAnsi="宋体" w:cs="宋体" w:eastAsia="宋体"/>
                <w:sz w:val="21"/>
              </w:rPr>
              <w:t>³；木材抗弯强度≥</w:t>
            </w:r>
            <w:r>
              <w:rPr>
                <w:rFonts w:ascii="calibri" w:hAnsi="calibri" w:cs="calibri" w:eastAsia="calibri"/>
                <w:sz w:val="21"/>
              </w:rPr>
              <w:t>150 Mpa</w:t>
            </w:r>
            <w:r>
              <w:rPr>
                <w:rFonts w:ascii="宋体" w:hAnsi="宋体" w:cs="宋体" w:eastAsia="宋体"/>
                <w:sz w:val="21"/>
              </w:rPr>
              <w:t>；木材抗弯弹性模量≥</w:t>
            </w:r>
            <w:r>
              <w:rPr>
                <w:rFonts w:ascii="calibri" w:hAnsi="calibri" w:cs="calibri" w:eastAsia="calibri"/>
                <w:sz w:val="21"/>
              </w:rPr>
              <w:t>13600 Mpa</w:t>
            </w:r>
            <w:r>
              <w:rPr>
                <w:rFonts w:ascii="宋体" w:hAnsi="宋体" w:cs="宋体" w:eastAsia="宋体"/>
                <w:sz w:val="21"/>
              </w:rPr>
              <w:t>；不得检出实木五氯苯酚和木制件甲醛含量。</w:t>
            </w:r>
            <w:r>
              <w:br/>
            </w:r>
            <w:r>
              <w:rPr>
                <w:rFonts w:ascii="calibri" w:hAnsi="calibri" w:cs="calibri" w:eastAsia="calibri"/>
                <w:sz w:val="21"/>
              </w:rPr>
              <w:t>5</w:t>
            </w:r>
            <w:r>
              <w:rPr>
                <w:rFonts w:ascii="宋体" w:hAnsi="宋体" w:cs="宋体" w:eastAsia="宋体"/>
                <w:sz w:val="21"/>
              </w:rPr>
              <w:t>、采用水性木器透明底漆，</w:t>
            </w:r>
            <w:r>
              <w:rPr>
                <w:rFonts w:ascii="calibri" w:hAnsi="calibri" w:cs="calibri" w:eastAsia="calibri"/>
                <w:sz w:val="21"/>
              </w:rPr>
              <w:t>VOC</w:t>
            </w:r>
            <w:r>
              <w:rPr>
                <w:rFonts w:ascii="宋体" w:hAnsi="宋体" w:cs="宋体" w:eastAsia="宋体"/>
                <w:sz w:val="21"/>
              </w:rPr>
              <w:t>含量≤</w:t>
            </w:r>
            <w:r>
              <w:rPr>
                <w:rFonts w:ascii="calibri" w:hAnsi="calibri" w:cs="calibri" w:eastAsia="calibri"/>
                <w:sz w:val="21"/>
              </w:rPr>
              <w:t>8g/L</w:t>
            </w:r>
            <w:r>
              <w:rPr>
                <w:rFonts w:ascii="宋体" w:hAnsi="宋体" w:cs="宋体" w:eastAsia="宋体"/>
                <w:sz w:val="21"/>
              </w:rPr>
              <w:t>，甲醛含量≤</w:t>
            </w:r>
            <w:r>
              <w:rPr>
                <w:rFonts w:ascii="calibri" w:hAnsi="calibri" w:cs="calibri" w:eastAsia="calibri"/>
                <w:sz w:val="21"/>
              </w:rPr>
              <w:t>5mg/kg</w:t>
            </w:r>
            <w:r>
              <w:rPr>
                <w:rFonts w:ascii="宋体" w:hAnsi="宋体" w:cs="宋体" w:eastAsia="宋体"/>
                <w:sz w:val="21"/>
              </w:rPr>
              <w:t>；不得检出乙二醇醚及醚酯总和含量、苯系物总和含量、烷基酚聚氧乙烯醚总和含量和壬基酚聚氧乙烯醚；在容器中搅拌后均匀无硬块，细度≤</w:t>
            </w:r>
            <w:r>
              <w:rPr>
                <w:rFonts w:ascii="calibri" w:hAnsi="calibri" w:cs="calibri" w:eastAsia="calibri"/>
                <w:sz w:val="21"/>
              </w:rPr>
              <w:t>40</w:t>
            </w:r>
            <w:r>
              <w:rPr>
                <w:rFonts w:ascii="宋体" w:hAnsi="宋体" w:cs="宋体" w:eastAsia="宋体"/>
                <w:sz w:val="21"/>
              </w:rPr>
              <w:t>μ</w:t>
            </w:r>
            <w:r>
              <w:rPr>
                <w:rFonts w:ascii="calibri" w:hAnsi="calibri" w:cs="calibri" w:eastAsia="calibri"/>
                <w:sz w:val="21"/>
              </w:rPr>
              <w:t>m</w:t>
            </w:r>
            <w:r>
              <w:rPr>
                <w:rFonts w:ascii="宋体" w:hAnsi="宋体" w:cs="宋体" w:eastAsia="宋体"/>
                <w:sz w:val="21"/>
              </w:rPr>
              <w:t>，不挥发物≥</w:t>
            </w:r>
            <w:r>
              <w:rPr>
                <w:rFonts w:ascii="calibri" w:hAnsi="calibri" w:cs="calibri" w:eastAsia="calibri"/>
                <w:sz w:val="21"/>
              </w:rPr>
              <w:t>30</w:t>
            </w:r>
            <w:r>
              <w:rPr>
                <w:rFonts w:ascii="宋体" w:hAnsi="宋体" w:cs="宋体" w:eastAsia="宋体"/>
                <w:sz w:val="21"/>
              </w:rPr>
              <w:t>％，贮存稳定性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7d]</w:t>
            </w:r>
            <w:r>
              <w:rPr>
                <w:rFonts w:ascii="宋体" w:hAnsi="宋体" w:cs="宋体" w:eastAsia="宋体"/>
                <w:sz w:val="21"/>
              </w:rPr>
              <w:t>无异常，易打磨，附着力（划格间距</w:t>
            </w:r>
            <w:r>
              <w:rPr>
                <w:rFonts w:ascii="calibri" w:hAnsi="calibri" w:cs="calibri" w:eastAsia="calibri"/>
                <w:sz w:val="21"/>
              </w:rPr>
              <w:t>2mm</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w:t>
            </w:r>
            <w:r>
              <w:br/>
            </w:r>
            <w:r>
              <w:rPr>
                <w:rFonts w:ascii="calibri" w:hAnsi="calibri" w:cs="calibri" w:eastAsia="calibri"/>
                <w:sz w:val="21"/>
              </w:rPr>
              <w:t>6</w:t>
            </w:r>
            <w:r>
              <w:rPr>
                <w:rFonts w:ascii="宋体" w:hAnsi="宋体" w:cs="宋体" w:eastAsia="宋体"/>
                <w:sz w:val="21"/>
              </w:rPr>
              <w:t>、水性木器</w:t>
            </w:r>
            <w:r>
              <w:rPr>
                <w:rFonts w:ascii="calibri" w:hAnsi="calibri" w:cs="calibri" w:eastAsia="calibri"/>
                <w:sz w:val="21"/>
              </w:rPr>
              <w:t>9</w:t>
            </w:r>
            <w:r>
              <w:rPr>
                <w:rFonts w:ascii="宋体" w:hAnsi="宋体" w:cs="宋体" w:eastAsia="宋体"/>
                <w:sz w:val="21"/>
              </w:rPr>
              <w:t>分消透明面漆：采用水性木器</w:t>
            </w:r>
            <w:r>
              <w:rPr>
                <w:rFonts w:ascii="calibri" w:hAnsi="calibri" w:cs="calibri" w:eastAsia="calibri"/>
                <w:sz w:val="21"/>
              </w:rPr>
              <w:t>9</w:t>
            </w:r>
            <w:r>
              <w:rPr>
                <w:rFonts w:ascii="宋体" w:hAnsi="宋体" w:cs="宋体" w:eastAsia="宋体"/>
                <w:sz w:val="21"/>
              </w:rPr>
              <w:t>分消透明面漆，</w:t>
            </w:r>
            <w:r>
              <w:rPr>
                <w:rFonts w:ascii="calibri" w:hAnsi="calibri" w:cs="calibri" w:eastAsia="calibri"/>
                <w:sz w:val="21"/>
              </w:rPr>
              <w:t>VOC</w:t>
            </w:r>
            <w:r>
              <w:rPr>
                <w:rFonts w:ascii="宋体" w:hAnsi="宋体" w:cs="宋体" w:eastAsia="宋体"/>
                <w:sz w:val="21"/>
              </w:rPr>
              <w:t>含量≤</w:t>
            </w:r>
            <w:r>
              <w:rPr>
                <w:rFonts w:ascii="calibri" w:hAnsi="calibri" w:cs="calibri" w:eastAsia="calibri"/>
                <w:sz w:val="21"/>
              </w:rPr>
              <w:t>2g/L</w:t>
            </w:r>
            <w:r>
              <w:rPr>
                <w:rFonts w:ascii="宋体" w:hAnsi="宋体" w:cs="宋体" w:eastAsia="宋体"/>
                <w:sz w:val="21"/>
              </w:rPr>
              <w:t>，甲醛含量≤</w:t>
            </w:r>
            <w:r>
              <w:rPr>
                <w:rFonts w:ascii="calibri" w:hAnsi="calibri" w:cs="calibri" w:eastAsia="calibri"/>
                <w:sz w:val="21"/>
              </w:rPr>
              <w:t>7mg/kg</w:t>
            </w:r>
            <w:r>
              <w:rPr>
                <w:rFonts w:ascii="宋体" w:hAnsi="宋体" w:cs="宋体" w:eastAsia="宋体"/>
                <w:sz w:val="21"/>
              </w:rPr>
              <w:t>；不得检出乙二醇醚及醚酯总和含量、苯系物总和含量、烷基酚聚氧乙烯醚总和含量和壬基酚聚氧乙烯醚；在容器中搅拌后均匀无硬块，细度≤</w:t>
            </w:r>
            <w:r>
              <w:rPr>
                <w:rFonts w:ascii="calibri" w:hAnsi="calibri" w:cs="calibri" w:eastAsia="calibri"/>
                <w:sz w:val="21"/>
              </w:rPr>
              <w:t>26</w:t>
            </w:r>
            <w:r>
              <w:rPr>
                <w:rFonts w:ascii="宋体" w:hAnsi="宋体" w:cs="宋体" w:eastAsia="宋体"/>
                <w:sz w:val="21"/>
              </w:rPr>
              <w:t>μ</w:t>
            </w:r>
            <w:r>
              <w:rPr>
                <w:rFonts w:ascii="calibri" w:hAnsi="calibri" w:cs="calibri" w:eastAsia="calibri"/>
                <w:sz w:val="21"/>
              </w:rPr>
              <w:t>m</w:t>
            </w:r>
            <w:r>
              <w:rPr>
                <w:rFonts w:ascii="宋体" w:hAnsi="宋体" w:cs="宋体" w:eastAsia="宋体"/>
                <w:sz w:val="21"/>
              </w:rPr>
              <w:t>，不挥发物≥</w:t>
            </w:r>
            <w:r>
              <w:rPr>
                <w:rFonts w:ascii="calibri" w:hAnsi="calibri" w:cs="calibri" w:eastAsia="calibri"/>
                <w:sz w:val="21"/>
              </w:rPr>
              <w:t>37.5</w:t>
            </w:r>
            <w:r>
              <w:rPr>
                <w:rFonts w:ascii="宋体" w:hAnsi="宋体" w:cs="宋体" w:eastAsia="宋体"/>
                <w:sz w:val="21"/>
              </w:rPr>
              <w:t>％，贮存稳定性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7d]</w:t>
            </w:r>
            <w:r>
              <w:rPr>
                <w:rFonts w:ascii="宋体" w:hAnsi="宋体" w:cs="宋体" w:eastAsia="宋体"/>
                <w:sz w:val="21"/>
              </w:rPr>
              <w:t>无异常，涂膜外观正常，硬度（擦伤）≥</w:t>
            </w:r>
            <w:r>
              <w:rPr>
                <w:rFonts w:ascii="calibri" w:hAnsi="calibri" w:cs="calibri" w:eastAsia="calibri"/>
                <w:sz w:val="21"/>
              </w:rPr>
              <w:t>3H</w:t>
            </w:r>
            <w:r>
              <w:rPr>
                <w:rFonts w:ascii="宋体" w:hAnsi="宋体" w:cs="宋体" w:eastAsia="宋体"/>
                <w:sz w:val="21"/>
              </w:rPr>
              <w:t>，附着力（划格间距</w:t>
            </w:r>
            <w:r>
              <w:rPr>
                <w:rFonts w:ascii="calibri" w:hAnsi="calibri" w:cs="calibri" w:eastAsia="calibri"/>
                <w:sz w:val="21"/>
              </w:rPr>
              <w:t>2mm</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级，耐水性、耐碱性、耐醇性、耐污染性（</w:t>
            </w:r>
            <w:r>
              <w:rPr>
                <w:rFonts w:ascii="calibri" w:hAnsi="calibri" w:cs="calibri" w:eastAsia="calibri"/>
                <w:sz w:val="21"/>
              </w:rPr>
              <w:t>1h</w:t>
            </w:r>
            <w:r>
              <w:rPr>
                <w:rFonts w:ascii="宋体" w:hAnsi="宋体" w:cs="宋体" w:eastAsia="宋体"/>
                <w:sz w:val="21"/>
              </w:rPr>
              <w:t>）无异常，耐干热性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70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15min]</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w:t>
            </w:r>
            <w:r>
              <w:br/>
            </w:r>
            <w:r>
              <w:rPr>
                <w:rFonts w:ascii="calibri" w:hAnsi="calibri" w:cs="calibri" w:eastAsia="calibri"/>
                <w:sz w:val="21"/>
              </w:rPr>
              <w:t>7</w:t>
            </w:r>
            <w:r>
              <w:rPr>
                <w:rFonts w:ascii="宋体" w:hAnsi="宋体" w:cs="宋体" w:eastAsia="宋体"/>
                <w:sz w:val="21"/>
              </w:rPr>
              <w:t>、防滑塑料脚垫：采用防滑塑料脚垫，塑料件耐冷热循环应无裂纹、鼓泡、变色、 起皱；不得检出可溶性铅、可溶性镉、可溶性铬、可溶性汞等塑料重金属。</w:t>
            </w:r>
          </w:p>
          <w:p>
            <w:pPr>
              <w:pStyle w:val="null3"/>
              <w:ind w:firstLine="480"/>
              <w:jc w:val="both"/>
            </w:pPr>
            <w:r>
              <w:rPr>
                <w:rFonts w:ascii="宋体" w:hAnsi="宋体" w:cs="宋体" w:eastAsia="宋体"/>
                <w:sz w:val="21"/>
              </w:rPr>
              <w:t>参考图片：</w:t>
            </w:r>
            <w:r>
              <w:drawing>
                <wp:inline distT="0" distR="0" distB="0" distL="0">
                  <wp:extent cx="1621155" cy="1606144"/>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4"/>
                          <a:stretch>
                            <a:fillRect/>
                          </a:stretch>
                        </pic:blipFill>
                        <pic:spPr>
                          <a:xfrm>
                            <a:off x="0" y="0"/>
                            <a:ext cx="1621155" cy="1606144"/>
                          </a:xfrm>
                          <a:prstGeom prst="rect">
                            <a:avLst/>
                          </a:prstGeom>
                        </pic:spPr>
                      </pic:pic>
                    </a:graphicData>
                  </a:graphic>
                </wp:inline>
              </w:drawing>
            </w:r>
          </w:p>
          <w:p>
            <w:pPr>
              <w:pStyle w:val="null3"/>
              <w:ind w:firstLine="480"/>
              <w:jc w:val="both"/>
            </w:pPr>
          </w:p>
        </w:tc>
      </w:tr>
    </w:tbl>
    <w:p>
      <w:pPr>
        <w:pStyle w:val="null3"/>
      </w:pPr>
    </w:p>
    <w:p>
      <w:pPr>
        <w:pStyle w:val="null3"/>
      </w:pPr>
      <w:r>
        <w:rPr/>
        <w:t>标的名称：办公桌3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p>
          <w:p>
            <w:pPr>
              <w:pStyle w:val="null3"/>
              <w:ind w:firstLine="480"/>
              <w:jc w:val="left"/>
            </w:pPr>
            <w:r>
              <w:rPr>
                <w:rFonts w:ascii="宋体" w:hAnsi="宋体" w:cs="宋体" w:eastAsia="宋体"/>
                <w:sz w:val="21"/>
              </w:rPr>
              <w:t>规格尺寸（单位</w:t>
            </w:r>
            <w:r>
              <w:rPr>
                <w:rFonts w:ascii="calibri" w:hAnsi="calibri" w:cs="calibri" w:eastAsia="calibri"/>
                <w:sz w:val="21"/>
              </w:rPr>
              <w:t>mm)(</w:t>
            </w:r>
            <w:r>
              <w:rPr>
                <w:rFonts w:ascii="宋体" w:hAnsi="宋体" w:cs="宋体" w:eastAsia="宋体"/>
                <w:sz w:val="21"/>
              </w:rPr>
              <w:t>允许尺寸偏差±</w:t>
            </w:r>
            <w:r>
              <w:rPr>
                <w:rFonts w:ascii="calibri" w:hAnsi="calibri" w:cs="calibri" w:eastAsia="calibri"/>
                <w:sz w:val="21"/>
              </w:rPr>
              <w:t>5mm</w:t>
            </w:r>
            <w:r>
              <w:rPr>
                <w:rFonts w:ascii="宋体" w:hAnsi="宋体" w:cs="宋体" w:eastAsia="宋体"/>
                <w:sz w:val="21"/>
              </w:rPr>
              <w:t>）：</w:t>
            </w:r>
            <w:r>
              <w:rPr>
                <w:rFonts w:ascii="方正仿宋_gbk" w:hAnsi="方正仿宋_gbk" w:cs="方正仿宋_gbk" w:eastAsia="方正仿宋_gbk"/>
                <w:sz w:val="21"/>
              </w:rPr>
              <w:t>1600*800*760</w:t>
            </w:r>
          </w:p>
          <w:p>
            <w:pPr>
              <w:pStyle w:val="null3"/>
              <w:numPr>
                <w:ilvl w:val="0"/>
                <w:numId w:val="1"/>
              </w:numPr>
              <w:ind w:firstLine="480"/>
              <w:jc w:val="left"/>
            </w:pPr>
            <w:r>
              <w:rPr>
                <w:rFonts w:ascii="宋体" w:hAnsi="宋体" w:cs="宋体" w:eastAsia="宋体"/>
                <w:sz w:val="21"/>
              </w:rPr>
              <w:t>基材</w:t>
            </w:r>
            <w:r>
              <w:rPr>
                <w:rFonts w:ascii="calibri" w:hAnsi="calibri" w:cs="calibri" w:eastAsia="calibri"/>
                <w:sz w:val="21"/>
              </w:rPr>
              <w:t>:</w:t>
            </w:r>
            <w:r>
              <w:rPr>
                <w:rFonts w:ascii="宋体" w:hAnsi="宋体" w:cs="宋体" w:eastAsia="宋体"/>
                <w:sz w:val="21"/>
              </w:rPr>
              <w:t>采用阻燃高密度纤维板，不得检出含有苯、甲苯、二甲苯、</w:t>
            </w:r>
            <w:r>
              <w:rPr>
                <w:rFonts w:ascii="calibri" w:hAnsi="calibri" w:cs="calibri" w:eastAsia="calibri"/>
                <w:sz w:val="21"/>
              </w:rPr>
              <w:t>TVOC</w:t>
            </w:r>
            <w:r>
              <w:rPr>
                <w:rFonts w:ascii="宋体" w:hAnsi="宋体" w:cs="宋体" w:eastAsia="宋体"/>
                <w:sz w:val="21"/>
              </w:rPr>
              <w:t>等挥发性有机化合物（</w:t>
            </w:r>
            <w:r>
              <w:rPr>
                <w:rFonts w:ascii="calibri" w:hAnsi="calibri" w:cs="calibri" w:eastAsia="calibri"/>
                <w:sz w:val="21"/>
              </w:rPr>
              <w:t>72h</w:t>
            </w:r>
            <w:r>
              <w:rPr>
                <w:rFonts w:ascii="宋体" w:hAnsi="宋体" w:cs="宋体" w:eastAsia="宋体"/>
                <w:sz w:val="21"/>
              </w:rPr>
              <w:t>）；密度≥</w:t>
            </w:r>
            <w:r>
              <w:rPr>
                <w:rFonts w:ascii="calibri" w:hAnsi="calibri" w:cs="calibri" w:eastAsia="calibri"/>
                <w:sz w:val="21"/>
              </w:rPr>
              <w:t>0.80 g/cm</w:t>
            </w:r>
            <w:r>
              <w:rPr>
                <w:rFonts w:ascii="宋体" w:hAnsi="宋体" w:cs="宋体" w:eastAsia="宋体"/>
                <w:sz w:val="21"/>
              </w:rPr>
              <w:t>³（允许偏差为 ±</w:t>
            </w:r>
            <w:r>
              <w:rPr>
                <w:rFonts w:ascii="calibri" w:hAnsi="calibri" w:cs="calibri" w:eastAsia="calibri"/>
                <w:sz w:val="21"/>
              </w:rPr>
              <w:t>10</w:t>
            </w:r>
            <w:r>
              <w:rPr>
                <w:rFonts w:ascii="宋体" w:hAnsi="宋体" w:cs="宋体" w:eastAsia="宋体"/>
                <w:sz w:val="21"/>
              </w:rPr>
              <w:t>％）；含水率</w:t>
            </w:r>
            <w:r>
              <w:rPr>
                <w:rFonts w:ascii="calibri" w:hAnsi="calibri" w:cs="calibri" w:eastAsia="calibri"/>
                <w:sz w:val="21"/>
              </w:rPr>
              <w:t>7</w:t>
            </w:r>
            <w:r>
              <w:rPr>
                <w:rFonts w:ascii="宋体" w:hAnsi="宋体" w:cs="宋体" w:eastAsia="宋体"/>
                <w:sz w:val="21"/>
              </w:rPr>
              <w:t>～</w:t>
            </w:r>
            <w:r>
              <w:rPr>
                <w:rFonts w:ascii="calibri" w:hAnsi="calibri" w:cs="calibri" w:eastAsia="calibri"/>
                <w:sz w:val="21"/>
              </w:rPr>
              <w:t>8</w:t>
            </w:r>
            <w:r>
              <w:rPr>
                <w:rFonts w:ascii="宋体" w:hAnsi="宋体" w:cs="宋体" w:eastAsia="宋体"/>
                <w:sz w:val="21"/>
              </w:rPr>
              <w:t>％；静曲强度μ</w:t>
            </w:r>
            <w:r>
              <w:rPr>
                <w:rFonts w:ascii="calibri" w:hAnsi="calibri" w:cs="calibri" w:eastAsia="calibri"/>
                <w:sz w:val="21"/>
              </w:rPr>
              <w:t>ʟ</w:t>
            </w:r>
            <w:r>
              <w:rPr>
                <w:rFonts w:ascii="宋体" w:hAnsi="宋体" w:cs="宋体" w:eastAsia="宋体"/>
                <w:sz w:val="21"/>
              </w:rPr>
              <w:t>：≥</w:t>
            </w:r>
            <w:r>
              <w:rPr>
                <w:rFonts w:ascii="calibri" w:hAnsi="calibri" w:cs="calibri" w:eastAsia="calibri"/>
                <w:sz w:val="21"/>
              </w:rPr>
              <w:t>36.0 Mpa</w:t>
            </w:r>
            <w:r>
              <w:rPr>
                <w:rFonts w:ascii="宋体" w:hAnsi="宋体" w:cs="宋体" w:eastAsia="宋体"/>
                <w:sz w:val="21"/>
              </w:rPr>
              <w:t>；弹性模量μ</w:t>
            </w:r>
            <w:r>
              <w:rPr>
                <w:rFonts w:ascii="calibri" w:hAnsi="calibri" w:cs="calibri" w:eastAsia="calibri"/>
                <w:sz w:val="21"/>
              </w:rPr>
              <w:t>ʟ</w:t>
            </w:r>
            <w:r>
              <w:rPr>
                <w:rFonts w:ascii="宋体" w:hAnsi="宋体" w:cs="宋体" w:eastAsia="宋体"/>
                <w:sz w:val="21"/>
              </w:rPr>
              <w:t>≥</w:t>
            </w:r>
            <w:r>
              <w:rPr>
                <w:rFonts w:ascii="calibri" w:hAnsi="calibri" w:cs="calibri" w:eastAsia="calibri"/>
                <w:sz w:val="21"/>
              </w:rPr>
              <w:t>4700Mpa</w:t>
            </w:r>
            <w:r>
              <w:rPr>
                <w:rFonts w:ascii="宋体" w:hAnsi="宋体" w:cs="宋体" w:eastAsia="宋体"/>
                <w:sz w:val="21"/>
              </w:rPr>
              <w:t>；内结合强度μ</w:t>
            </w:r>
            <w:r>
              <w:rPr>
                <w:rFonts w:ascii="calibri" w:hAnsi="calibri" w:cs="calibri" w:eastAsia="calibri"/>
                <w:sz w:val="21"/>
              </w:rPr>
              <w:t>ʟ</w:t>
            </w:r>
            <w:r>
              <w:rPr>
                <w:rFonts w:ascii="宋体" w:hAnsi="宋体" w:cs="宋体" w:eastAsia="宋体"/>
                <w:sz w:val="21"/>
              </w:rPr>
              <w:t>：≥</w:t>
            </w:r>
            <w:r>
              <w:rPr>
                <w:rFonts w:ascii="calibri" w:hAnsi="calibri" w:cs="calibri" w:eastAsia="calibri"/>
                <w:sz w:val="21"/>
              </w:rPr>
              <w:t>1.0 Mpa</w:t>
            </w:r>
            <w:r>
              <w:rPr>
                <w:rFonts w:ascii="宋体" w:hAnsi="宋体" w:cs="宋体" w:eastAsia="宋体"/>
                <w:sz w:val="21"/>
              </w:rPr>
              <w:t>；</w:t>
            </w:r>
            <w:r>
              <w:rPr>
                <w:rFonts w:ascii="calibri" w:hAnsi="calibri" w:cs="calibri" w:eastAsia="calibri"/>
                <w:sz w:val="21"/>
              </w:rPr>
              <w:t>24h</w:t>
            </w:r>
            <w:r>
              <w:rPr>
                <w:rFonts w:ascii="宋体" w:hAnsi="宋体" w:cs="宋体" w:eastAsia="宋体"/>
                <w:sz w:val="21"/>
              </w:rPr>
              <w:t>吸水厚度膨胀率μ</w:t>
            </w:r>
            <w:r>
              <w:rPr>
                <w:rFonts w:ascii="calibri" w:hAnsi="calibri" w:cs="calibri" w:eastAsia="calibri"/>
                <w:sz w:val="21"/>
              </w:rPr>
              <w:t>ᵤ</w:t>
            </w:r>
            <w:r>
              <w:rPr>
                <w:rFonts w:ascii="宋体" w:hAnsi="宋体" w:cs="宋体" w:eastAsia="宋体"/>
                <w:sz w:val="21"/>
              </w:rPr>
              <w:t>：≤</w:t>
            </w:r>
            <w:r>
              <w:rPr>
                <w:rFonts w:ascii="calibri" w:hAnsi="calibri" w:cs="calibri" w:eastAsia="calibri"/>
                <w:sz w:val="21"/>
              </w:rPr>
              <w:t>4.5</w:t>
            </w:r>
            <w:r>
              <w:rPr>
                <w:rFonts w:ascii="宋体" w:hAnsi="宋体" w:cs="宋体" w:eastAsia="宋体"/>
                <w:sz w:val="21"/>
              </w:rPr>
              <w:t>％；表面胶合强度μ</w:t>
            </w:r>
            <w:r>
              <w:rPr>
                <w:rFonts w:ascii="calibri" w:hAnsi="calibri" w:cs="calibri" w:eastAsia="calibri"/>
                <w:sz w:val="21"/>
              </w:rPr>
              <w:t>ʟ</w:t>
            </w:r>
            <w:r>
              <w:rPr>
                <w:rFonts w:ascii="宋体" w:hAnsi="宋体" w:cs="宋体" w:eastAsia="宋体"/>
                <w:sz w:val="21"/>
              </w:rPr>
              <w:t>：≥</w:t>
            </w:r>
            <w:r>
              <w:rPr>
                <w:rFonts w:ascii="calibri" w:hAnsi="calibri" w:cs="calibri" w:eastAsia="calibri"/>
                <w:sz w:val="21"/>
              </w:rPr>
              <w:t>1.36Mpa</w:t>
            </w:r>
            <w:r>
              <w:rPr>
                <w:rFonts w:ascii="宋体" w:hAnsi="宋体" w:cs="宋体" w:eastAsia="宋体"/>
                <w:sz w:val="21"/>
              </w:rPr>
              <w:t>；甲醛释放量：≤</w:t>
            </w:r>
            <w:r>
              <w:rPr>
                <w:rFonts w:ascii="calibri" w:hAnsi="calibri" w:cs="calibri" w:eastAsia="calibri"/>
                <w:sz w:val="21"/>
              </w:rPr>
              <w:t>0.03mg/m</w:t>
            </w:r>
            <w:r>
              <w:rPr>
                <w:rFonts w:ascii="宋体" w:hAnsi="宋体" w:cs="宋体" w:eastAsia="宋体"/>
                <w:sz w:val="21"/>
              </w:rPr>
              <w:t>³，板材等级达到</w:t>
            </w:r>
            <w:r>
              <w:rPr>
                <w:rFonts w:ascii="calibri" w:hAnsi="calibri" w:cs="calibri" w:eastAsia="calibri"/>
                <w:sz w:val="21"/>
              </w:rPr>
              <w:t>E0</w:t>
            </w:r>
            <w:r>
              <w:rPr>
                <w:rFonts w:ascii="宋体" w:hAnsi="宋体" w:cs="宋体" w:eastAsia="宋体"/>
                <w:sz w:val="21"/>
              </w:rPr>
              <w:t>级；燃烧性能等级</w:t>
            </w:r>
            <w:r>
              <w:rPr>
                <w:rFonts w:ascii="calibri" w:hAnsi="calibri" w:cs="calibri" w:eastAsia="calibri"/>
                <w:sz w:val="21"/>
              </w:rPr>
              <w:t>B</w:t>
            </w:r>
            <w:r>
              <w:rPr>
                <w:rFonts w:ascii="宋体" w:hAnsi="宋体" w:cs="宋体" w:eastAsia="宋体"/>
                <w:sz w:val="21"/>
              </w:rPr>
              <w:t>₁（</w:t>
            </w:r>
            <w:r>
              <w:rPr>
                <w:rFonts w:ascii="calibri" w:hAnsi="calibri" w:cs="calibri" w:eastAsia="calibri"/>
                <w:sz w:val="21"/>
              </w:rPr>
              <w:t>C</w:t>
            </w:r>
            <w:r>
              <w:rPr>
                <w:rFonts w:ascii="宋体" w:hAnsi="宋体" w:cs="宋体" w:eastAsia="宋体"/>
                <w:sz w:val="21"/>
              </w:rPr>
              <w:t>）：燃烧增长速率指数</w:t>
            </w:r>
            <w:r>
              <w:rPr>
                <w:rFonts w:ascii="calibri" w:hAnsi="calibri" w:cs="calibri" w:eastAsia="calibri"/>
                <w:sz w:val="21"/>
              </w:rPr>
              <w:t>FIGRA</w:t>
            </w:r>
            <w:r>
              <w:rPr>
                <w:rFonts w:ascii="宋体" w:hAnsi="宋体" w:cs="宋体" w:eastAsia="宋体"/>
                <w:sz w:val="21"/>
              </w:rPr>
              <w:t>₀</w:t>
            </w:r>
            <w:r>
              <w:rPr>
                <w:rFonts w:ascii="calibri" w:hAnsi="calibri" w:cs="calibri" w:eastAsia="calibri"/>
                <w:sz w:val="21"/>
              </w:rPr>
              <w:t>.</w:t>
            </w:r>
            <w:r>
              <w:rPr>
                <w:rFonts w:ascii="宋体" w:hAnsi="宋体" w:cs="宋体" w:eastAsia="宋体"/>
                <w:sz w:val="21"/>
              </w:rPr>
              <w:t>₄</w:t>
            </w:r>
            <w:r>
              <w:rPr>
                <w:rFonts w:ascii="calibri" w:hAnsi="calibri" w:cs="calibri" w:eastAsia="calibri"/>
                <w:sz w:val="21"/>
              </w:rPr>
              <w:t>ᴍᴊ</w:t>
            </w:r>
            <w:r>
              <w:rPr>
                <w:rFonts w:ascii="宋体" w:hAnsi="宋体" w:cs="宋体" w:eastAsia="宋体"/>
                <w:sz w:val="21"/>
              </w:rPr>
              <w:t>≤</w:t>
            </w:r>
            <w:r>
              <w:rPr>
                <w:rFonts w:ascii="calibri" w:hAnsi="calibri" w:cs="calibri" w:eastAsia="calibri"/>
                <w:sz w:val="21"/>
              </w:rPr>
              <w:t>237W/s</w:t>
            </w:r>
            <w:r>
              <w:rPr>
                <w:rFonts w:ascii="宋体" w:hAnsi="宋体" w:cs="宋体" w:eastAsia="宋体"/>
                <w:sz w:val="21"/>
              </w:rPr>
              <w:t>，</w:t>
            </w:r>
            <w:r>
              <w:rPr>
                <w:rFonts w:ascii="calibri" w:hAnsi="calibri" w:cs="calibri" w:eastAsia="calibri"/>
                <w:sz w:val="21"/>
              </w:rPr>
              <w:t>600s</w:t>
            </w:r>
            <w:r>
              <w:rPr>
                <w:rFonts w:ascii="宋体" w:hAnsi="宋体" w:cs="宋体" w:eastAsia="宋体"/>
                <w:sz w:val="21"/>
              </w:rPr>
              <w:t>的总放热量</w:t>
            </w:r>
            <w:r>
              <w:rPr>
                <w:rFonts w:ascii="calibri" w:hAnsi="calibri" w:cs="calibri" w:eastAsia="calibri"/>
                <w:sz w:val="21"/>
              </w:rPr>
              <w:t>THR600s</w:t>
            </w:r>
            <w:r>
              <w:rPr>
                <w:rFonts w:ascii="宋体" w:hAnsi="宋体" w:cs="宋体" w:eastAsia="宋体"/>
                <w:sz w:val="21"/>
              </w:rPr>
              <w:t>≤</w:t>
            </w:r>
            <w:r>
              <w:rPr>
                <w:rFonts w:ascii="calibri" w:hAnsi="calibri" w:cs="calibri" w:eastAsia="calibri"/>
                <w:sz w:val="21"/>
              </w:rPr>
              <w:t>7MJ</w:t>
            </w:r>
            <w:r>
              <w:rPr>
                <w:rFonts w:ascii="宋体" w:hAnsi="宋体" w:cs="宋体" w:eastAsia="宋体"/>
                <w:sz w:val="21"/>
              </w:rPr>
              <w:t>，</w:t>
            </w:r>
            <w:r>
              <w:rPr>
                <w:rFonts w:ascii="calibri" w:hAnsi="calibri" w:cs="calibri" w:eastAsia="calibri"/>
                <w:sz w:val="21"/>
              </w:rPr>
              <w:t>60s</w:t>
            </w:r>
            <w:r>
              <w:rPr>
                <w:rFonts w:ascii="宋体" w:hAnsi="宋体" w:cs="宋体" w:eastAsia="宋体"/>
                <w:sz w:val="21"/>
              </w:rPr>
              <w:t>内焰尖高度</w:t>
            </w:r>
            <w:r>
              <w:rPr>
                <w:rFonts w:ascii="calibri" w:hAnsi="calibri" w:cs="calibri" w:eastAsia="calibri"/>
                <w:sz w:val="21"/>
              </w:rPr>
              <w:t>FS</w:t>
            </w:r>
            <w:r>
              <w:rPr>
                <w:rFonts w:ascii="宋体" w:hAnsi="宋体" w:cs="宋体" w:eastAsia="宋体"/>
                <w:sz w:val="21"/>
              </w:rPr>
              <w:t>≤</w:t>
            </w:r>
            <w:r>
              <w:rPr>
                <w:rFonts w:ascii="calibri" w:hAnsi="calibri" w:cs="calibri" w:eastAsia="calibri"/>
                <w:sz w:val="21"/>
              </w:rPr>
              <w:t>69mm</w:t>
            </w:r>
            <w:r>
              <w:rPr>
                <w:rFonts w:ascii="宋体" w:hAnsi="宋体" w:cs="宋体" w:eastAsia="宋体"/>
                <w:sz w:val="21"/>
              </w:rPr>
              <w:t>，</w:t>
            </w:r>
            <w:r>
              <w:rPr>
                <w:rFonts w:ascii="calibri" w:hAnsi="calibri" w:cs="calibri" w:eastAsia="calibri"/>
                <w:sz w:val="21"/>
              </w:rPr>
              <w:t>60s</w:t>
            </w:r>
            <w:r>
              <w:rPr>
                <w:rFonts w:ascii="宋体" w:hAnsi="宋体" w:cs="宋体" w:eastAsia="宋体"/>
                <w:sz w:val="21"/>
              </w:rPr>
              <w:t>内无燃烧滴落物引燃滤纸现象。</w:t>
            </w:r>
            <w:r>
              <w:br/>
            </w:r>
            <w:r>
              <w:rPr>
                <w:rFonts w:ascii="calibri" w:hAnsi="calibri" w:cs="calibri" w:eastAsia="calibri"/>
                <w:sz w:val="21"/>
              </w:rPr>
              <w:t>2</w:t>
            </w:r>
            <w:r>
              <w:rPr>
                <w:rFonts w:ascii="宋体" w:hAnsi="宋体" w:cs="宋体" w:eastAsia="宋体"/>
                <w:sz w:val="21"/>
              </w:rPr>
              <w:t>、面材</w:t>
            </w:r>
            <w:r>
              <w:rPr>
                <w:rFonts w:ascii="calibri" w:hAnsi="calibri" w:cs="calibri" w:eastAsia="calibri"/>
                <w:sz w:val="21"/>
              </w:rPr>
              <w:t>:</w:t>
            </w:r>
            <w:r>
              <w:rPr>
                <w:rFonts w:ascii="宋体" w:hAnsi="宋体" w:cs="宋体" w:eastAsia="宋体"/>
                <w:sz w:val="21"/>
              </w:rPr>
              <w:t>采用胡桃木皮，经过防潮、防虫、防腐、耐酸碱处理，含水率</w:t>
            </w:r>
            <w:r>
              <w:rPr>
                <w:rFonts w:ascii="calibri" w:hAnsi="calibri" w:cs="calibri" w:eastAsia="calibri"/>
                <w:sz w:val="21"/>
              </w:rPr>
              <w:t>8.5</w:t>
            </w:r>
            <w:r>
              <w:rPr>
                <w:rFonts w:ascii="宋体" w:hAnsi="宋体" w:cs="宋体" w:eastAsia="宋体"/>
                <w:sz w:val="21"/>
              </w:rPr>
              <w:t>～</w:t>
            </w:r>
            <w:r>
              <w:rPr>
                <w:rFonts w:ascii="calibri" w:hAnsi="calibri" w:cs="calibri" w:eastAsia="calibri"/>
                <w:sz w:val="21"/>
              </w:rPr>
              <w:t>10%</w:t>
            </w:r>
            <w:r>
              <w:rPr>
                <w:rFonts w:ascii="宋体" w:hAnsi="宋体" w:cs="宋体" w:eastAsia="宋体"/>
                <w:sz w:val="21"/>
              </w:rPr>
              <w:t>，不得检出甲醛含量。</w:t>
            </w:r>
            <w:r>
              <w:br/>
            </w:r>
            <w:r>
              <w:rPr>
                <w:rFonts w:ascii="calibri" w:hAnsi="calibri" w:cs="calibri" w:eastAsia="calibri"/>
                <w:sz w:val="21"/>
              </w:rPr>
              <w:t>3</w:t>
            </w:r>
            <w:r>
              <w:rPr>
                <w:rFonts w:ascii="宋体" w:hAnsi="宋体" w:cs="宋体" w:eastAsia="宋体"/>
                <w:sz w:val="21"/>
              </w:rPr>
              <w:t>、采用水性木器透明底漆，</w:t>
            </w:r>
            <w:r>
              <w:rPr>
                <w:rFonts w:ascii="calibri" w:hAnsi="calibri" w:cs="calibri" w:eastAsia="calibri"/>
                <w:sz w:val="21"/>
              </w:rPr>
              <w:t>VOC</w:t>
            </w:r>
            <w:r>
              <w:rPr>
                <w:rFonts w:ascii="宋体" w:hAnsi="宋体" w:cs="宋体" w:eastAsia="宋体"/>
                <w:sz w:val="21"/>
              </w:rPr>
              <w:t>含量≤</w:t>
            </w:r>
            <w:r>
              <w:rPr>
                <w:rFonts w:ascii="calibri" w:hAnsi="calibri" w:cs="calibri" w:eastAsia="calibri"/>
                <w:sz w:val="21"/>
              </w:rPr>
              <w:t>8g/L</w:t>
            </w:r>
            <w:r>
              <w:rPr>
                <w:rFonts w:ascii="宋体" w:hAnsi="宋体" w:cs="宋体" w:eastAsia="宋体"/>
                <w:sz w:val="21"/>
              </w:rPr>
              <w:t>，甲醛含量≤</w:t>
            </w:r>
            <w:r>
              <w:rPr>
                <w:rFonts w:ascii="calibri" w:hAnsi="calibri" w:cs="calibri" w:eastAsia="calibri"/>
                <w:sz w:val="21"/>
              </w:rPr>
              <w:t>5mg/kg</w:t>
            </w:r>
            <w:r>
              <w:rPr>
                <w:rFonts w:ascii="宋体" w:hAnsi="宋体" w:cs="宋体" w:eastAsia="宋体"/>
                <w:sz w:val="21"/>
              </w:rPr>
              <w:t>；不得检出乙二醇醚及醚酯总和含量、苯系物总和含量、烷基酚聚氧乙烯醚总和含量和壬基酚聚氧乙烯醚；在容器中搅拌后均匀无硬块，细度≤</w:t>
            </w:r>
            <w:r>
              <w:rPr>
                <w:rFonts w:ascii="calibri" w:hAnsi="calibri" w:cs="calibri" w:eastAsia="calibri"/>
                <w:sz w:val="21"/>
              </w:rPr>
              <w:t>40</w:t>
            </w:r>
            <w:r>
              <w:rPr>
                <w:rFonts w:ascii="宋体" w:hAnsi="宋体" w:cs="宋体" w:eastAsia="宋体"/>
                <w:sz w:val="21"/>
              </w:rPr>
              <w:t>μ</w:t>
            </w:r>
            <w:r>
              <w:rPr>
                <w:rFonts w:ascii="calibri" w:hAnsi="calibri" w:cs="calibri" w:eastAsia="calibri"/>
                <w:sz w:val="21"/>
              </w:rPr>
              <w:t>m</w:t>
            </w:r>
            <w:r>
              <w:rPr>
                <w:rFonts w:ascii="宋体" w:hAnsi="宋体" w:cs="宋体" w:eastAsia="宋体"/>
                <w:sz w:val="21"/>
              </w:rPr>
              <w:t>，不挥发物≥</w:t>
            </w:r>
            <w:r>
              <w:rPr>
                <w:rFonts w:ascii="calibri" w:hAnsi="calibri" w:cs="calibri" w:eastAsia="calibri"/>
                <w:sz w:val="21"/>
              </w:rPr>
              <w:t>30</w:t>
            </w:r>
            <w:r>
              <w:rPr>
                <w:rFonts w:ascii="宋体" w:hAnsi="宋体" w:cs="宋体" w:eastAsia="宋体"/>
                <w:sz w:val="21"/>
              </w:rPr>
              <w:t>％，贮存稳定性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7d]</w:t>
            </w:r>
            <w:r>
              <w:rPr>
                <w:rFonts w:ascii="宋体" w:hAnsi="宋体" w:cs="宋体" w:eastAsia="宋体"/>
                <w:sz w:val="21"/>
              </w:rPr>
              <w:t>无异常，易打磨，附着力（划格间距</w:t>
            </w:r>
            <w:r>
              <w:rPr>
                <w:rFonts w:ascii="calibri" w:hAnsi="calibri" w:cs="calibri" w:eastAsia="calibri"/>
                <w:sz w:val="21"/>
              </w:rPr>
              <w:t>2mm</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w:t>
            </w:r>
            <w:r>
              <w:br/>
            </w:r>
            <w:r>
              <w:rPr>
                <w:rFonts w:ascii="calibri" w:hAnsi="calibri" w:cs="calibri" w:eastAsia="calibri"/>
                <w:sz w:val="21"/>
              </w:rPr>
              <w:t>4</w:t>
            </w:r>
            <w:r>
              <w:rPr>
                <w:rFonts w:ascii="宋体" w:hAnsi="宋体" w:cs="宋体" w:eastAsia="宋体"/>
                <w:sz w:val="21"/>
              </w:rPr>
              <w:t>、水性木器</w:t>
            </w:r>
            <w:r>
              <w:rPr>
                <w:rFonts w:ascii="calibri" w:hAnsi="calibri" w:cs="calibri" w:eastAsia="calibri"/>
                <w:sz w:val="21"/>
              </w:rPr>
              <w:t>9</w:t>
            </w:r>
            <w:r>
              <w:rPr>
                <w:rFonts w:ascii="宋体" w:hAnsi="宋体" w:cs="宋体" w:eastAsia="宋体"/>
                <w:sz w:val="21"/>
              </w:rPr>
              <w:t>分消透明面漆：采用水性木器</w:t>
            </w:r>
            <w:r>
              <w:rPr>
                <w:rFonts w:ascii="calibri" w:hAnsi="calibri" w:cs="calibri" w:eastAsia="calibri"/>
                <w:sz w:val="21"/>
              </w:rPr>
              <w:t>9</w:t>
            </w:r>
            <w:r>
              <w:rPr>
                <w:rFonts w:ascii="宋体" w:hAnsi="宋体" w:cs="宋体" w:eastAsia="宋体"/>
                <w:sz w:val="21"/>
              </w:rPr>
              <w:t>分消透明面漆，</w:t>
            </w:r>
            <w:r>
              <w:rPr>
                <w:rFonts w:ascii="calibri" w:hAnsi="calibri" w:cs="calibri" w:eastAsia="calibri"/>
                <w:sz w:val="21"/>
              </w:rPr>
              <w:t>VOC</w:t>
            </w:r>
            <w:r>
              <w:rPr>
                <w:rFonts w:ascii="宋体" w:hAnsi="宋体" w:cs="宋体" w:eastAsia="宋体"/>
                <w:sz w:val="21"/>
              </w:rPr>
              <w:t>含量≤</w:t>
            </w:r>
            <w:r>
              <w:rPr>
                <w:rFonts w:ascii="calibri" w:hAnsi="calibri" w:cs="calibri" w:eastAsia="calibri"/>
                <w:sz w:val="21"/>
              </w:rPr>
              <w:t>2g/L</w:t>
            </w:r>
            <w:r>
              <w:rPr>
                <w:rFonts w:ascii="宋体" w:hAnsi="宋体" w:cs="宋体" w:eastAsia="宋体"/>
                <w:sz w:val="21"/>
              </w:rPr>
              <w:t>，甲醛含量≤</w:t>
            </w:r>
            <w:r>
              <w:rPr>
                <w:rFonts w:ascii="calibri" w:hAnsi="calibri" w:cs="calibri" w:eastAsia="calibri"/>
                <w:sz w:val="21"/>
              </w:rPr>
              <w:t>7mg/kg</w:t>
            </w:r>
            <w:r>
              <w:rPr>
                <w:rFonts w:ascii="宋体" w:hAnsi="宋体" w:cs="宋体" w:eastAsia="宋体"/>
                <w:sz w:val="21"/>
              </w:rPr>
              <w:t>；不得检出乙二醇醚及醚酯总和含量、苯系物总和含量、烷基酚聚氧乙烯醚总和含量和壬基酚聚氧乙烯醚；在容器中搅拌后均匀无硬块，细度≤</w:t>
            </w:r>
            <w:r>
              <w:rPr>
                <w:rFonts w:ascii="calibri" w:hAnsi="calibri" w:cs="calibri" w:eastAsia="calibri"/>
                <w:sz w:val="21"/>
              </w:rPr>
              <w:t>26</w:t>
            </w:r>
            <w:r>
              <w:rPr>
                <w:rFonts w:ascii="宋体" w:hAnsi="宋体" w:cs="宋体" w:eastAsia="宋体"/>
                <w:sz w:val="21"/>
              </w:rPr>
              <w:t>μ</w:t>
            </w:r>
            <w:r>
              <w:rPr>
                <w:rFonts w:ascii="calibri" w:hAnsi="calibri" w:cs="calibri" w:eastAsia="calibri"/>
                <w:sz w:val="21"/>
              </w:rPr>
              <w:t>m</w:t>
            </w:r>
            <w:r>
              <w:rPr>
                <w:rFonts w:ascii="宋体" w:hAnsi="宋体" w:cs="宋体" w:eastAsia="宋体"/>
                <w:sz w:val="21"/>
              </w:rPr>
              <w:t>，不挥发物≥</w:t>
            </w:r>
            <w:r>
              <w:rPr>
                <w:rFonts w:ascii="calibri" w:hAnsi="calibri" w:cs="calibri" w:eastAsia="calibri"/>
                <w:sz w:val="21"/>
              </w:rPr>
              <w:t>37.5</w:t>
            </w:r>
            <w:r>
              <w:rPr>
                <w:rFonts w:ascii="宋体" w:hAnsi="宋体" w:cs="宋体" w:eastAsia="宋体"/>
                <w:sz w:val="21"/>
              </w:rPr>
              <w:t>％，贮存稳定性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7d]</w:t>
            </w:r>
            <w:r>
              <w:rPr>
                <w:rFonts w:ascii="宋体" w:hAnsi="宋体" w:cs="宋体" w:eastAsia="宋体"/>
                <w:sz w:val="21"/>
              </w:rPr>
              <w:t>无异常，涂膜外观正常，硬度（擦伤）≥</w:t>
            </w:r>
            <w:r>
              <w:rPr>
                <w:rFonts w:ascii="calibri" w:hAnsi="calibri" w:cs="calibri" w:eastAsia="calibri"/>
                <w:sz w:val="21"/>
              </w:rPr>
              <w:t>3H</w:t>
            </w:r>
            <w:r>
              <w:rPr>
                <w:rFonts w:ascii="宋体" w:hAnsi="宋体" w:cs="宋体" w:eastAsia="宋体"/>
                <w:sz w:val="21"/>
              </w:rPr>
              <w:t>，附着力（划格间距</w:t>
            </w:r>
            <w:r>
              <w:rPr>
                <w:rFonts w:ascii="calibri" w:hAnsi="calibri" w:cs="calibri" w:eastAsia="calibri"/>
                <w:sz w:val="21"/>
              </w:rPr>
              <w:t>2mm</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级，耐水性、耐碱性、耐醇性、耐污染性（</w:t>
            </w:r>
            <w:r>
              <w:rPr>
                <w:rFonts w:ascii="calibri" w:hAnsi="calibri" w:cs="calibri" w:eastAsia="calibri"/>
                <w:sz w:val="21"/>
              </w:rPr>
              <w:t>1h</w:t>
            </w:r>
            <w:r>
              <w:rPr>
                <w:rFonts w:ascii="宋体" w:hAnsi="宋体" w:cs="宋体" w:eastAsia="宋体"/>
                <w:sz w:val="21"/>
              </w:rPr>
              <w:t>）无异常，耐干热性</w:t>
            </w:r>
            <w:r>
              <w:rPr>
                <w:rFonts w:ascii="calibri" w:hAnsi="calibri" w:cs="calibri" w:eastAsia="calibri"/>
                <w:sz w:val="21"/>
              </w:rPr>
              <w:t>[</w:t>
            </w:r>
            <w:r>
              <w:rPr>
                <w:rFonts w:ascii="宋体" w:hAnsi="宋体" w:cs="宋体" w:eastAsia="宋体"/>
                <w:sz w:val="21"/>
              </w:rPr>
              <w:t>（</w:t>
            </w:r>
            <w:r>
              <w:rPr>
                <w:rFonts w:ascii="calibri" w:hAnsi="calibri" w:cs="calibri" w:eastAsia="calibri"/>
                <w:sz w:val="21"/>
              </w:rPr>
              <w:t>70</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15min]</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级。</w:t>
            </w:r>
            <w:r>
              <w:br/>
            </w:r>
            <w:r>
              <w:rPr>
                <w:rFonts w:ascii="calibri" w:hAnsi="calibri" w:cs="calibri" w:eastAsia="calibri"/>
                <w:sz w:val="21"/>
              </w:rPr>
              <w:t>5</w:t>
            </w:r>
            <w:r>
              <w:rPr>
                <w:rFonts w:ascii="宋体" w:hAnsi="宋体" w:cs="宋体" w:eastAsia="宋体"/>
                <w:sz w:val="21"/>
              </w:rPr>
              <w:t>、拉手：金属件外观性能要求：喷涂层无漏喷，锈蚀和脱色、掉色现象；涂层光滑均匀，色泽一致，无流挂、疙瘩、皱皮、飞漆等缺陷；通过乙酸盐雾试验，连续喷雾≥</w:t>
            </w:r>
            <w:r>
              <w:rPr>
                <w:rFonts w:ascii="calibri" w:hAnsi="calibri" w:cs="calibri" w:eastAsia="calibri"/>
                <w:sz w:val="21"/>
              </w:rPr>
              <w:t>18h</w:t>
            </w:r>
            <w:r>
              <w:rPr>
                <w:rFonts w:ascii="宋体" w:hAnsi="宋体" w:cs="宋体" w:eastAsia="宋体"/>
                <w:sz w:val="21"/>
              </w:rPr>
              <w:t>，金属涂层耐腐蚀等级≥</w:t>
            </w:r>
            <w:r>
              <w:rPr>
                <w:rFonts w:ascii="calibri" w:hAnsi="calibri" w:cs="calibri" w:eastAsia="calibri"/>
                <w:sz w:val="21"/>
              </w:rPr>
              <w:t>10</w:t>
            </w:r>
            <w:r>
              <w:rPr>
                <w:rFonts w:ascii="宋体" w:hAnsi="宋体" w:cs="宋体" w:eastAsia="宋体"/>
                <w:sz w:val="21"/>
              </w:rPr>
              <w:t>级。</w:t>
            </w:r>
            <w:r>
              <w:br/>
            </w:r>
            <w:r>
              <w:rPr>
                <w:rFonts w:ascii="calibri" w:hAnsi="calibri" w:cs="calibri" w:eastAsia="calibri"/>
                <w:sz w:val="21"/>
              </w:rPr>
              <w:t>6</w:t>
            </w:r>
            <w:r>
              <w:rPr>
                <w:rFonts w:ascii="宋体" w:hAnsi="宋体" w:cs="宋体" w:eastAsia="宋体"/>
                <w:sz w:val="21"/>
              </w:rPr>
              <w:t>、锁具：喷涂层无漏喷，锈蚀和脱色、掉色现象；涂层光滑均匀，色泽一致，无流挂、疙瘩、皱皮、飞漆等缺陷；通过乙酸盐雾试验，连续喷雾≥</w:t>
            </w:r>
            <w:r>
              <w:rPr>
                <w:rFonts w:ascii="calibri" w:hAnsi="calibri" w:cs="calibri" w:eastAsia="calibri"/>
                <w:sz w:val="21"/>
              </w:rPr>
              <w:t>18h</w:t>
            </w:r>
            <w:r>
              <w:rPr>
                <w:rFonts w:ascii="宋体" w:hAnsi="宋体" w:cs="宋体" w:eastAsia="宋体"/>
                <w:sz w:val="21"/>
              </w:rPr>
              <w:t>，金属涂层耐腐蚀等级≥</w:t>
            </w:r>
            <w:r>
              <w:rPr>
                <w:rFonts w:ascii="calibri" w:hAnsi="calibri" w:cs="calibri" w:eastAsia="calibri"/>
                <w:sz w:val="21"/>
              </w:rPr>
              <w:t>10</w:t>
            </w:r>
            <w:r>
              <w:rPr>
                <w:rFonts w:ascii="宋体" w:hAnsi="宋体" w:cs="宋体" w:eastAsia="宋体"/>
                <w:sz w:val="21"/>
              </w:rPr>
              <w:t>级。</w:t>
            </w:r>
            <w:r>
              <w:br/>
            </w:r>
            <w:r>
              <w:rPr>
                <w:rFonts w:ascii="calibri" w:hAnsi="calibri" w:cs="calibri" w:eastAsia="calibri"/>
                <w:sz w:val="21"/>
              </w:rPr>
              <w:t>7</w:t>
            </w:r>
            <w:r>
              <w:rPr>
                <w:rFonts w:ascii="宋体" w:hAnsi="宋体" w:cs="宋体" w:eastAsia="宋体"/>
                <w:sz w:val="21"/>
              </w:rPr>
              <w:t>、阻尼缓冲滑轨：垂直向下静载荷（过载）通过至少</w:t>
            </w:r>
            <w:r>
              <w:rPr>
                <w:rFonts w:ascii="calibri" w:hAnsi="calibri" w:cs="calibri" w:eastAsia="calibri"/>
                <w:sz w:val="21"/>
              </w:rPr>
              <w:t>300N</w:t>
            </w:r>
            <w:r>
              <w:rPr>
                <w:rFonts w:ascii="宋体" w:hAnsi="宋体" w:cs="宋体" w:eastAsia="宋体"/>
                <w:sz w:val="21"/>
              </w:rPr>
              <w:t>，至少</w:t>
            </w:r>
            <w:r>
              <w:rPr>
                <w:rFonts w:ascii="calibri" w:hAnsi="calibri" w:cs="calibri" w:eastAsia="calibri"/>
                <w:sz w:val="21"/>
              </w:rPr>
              <w:t>10</w:t>
            </w:r>
            <w:r>
              <w:rPr>
                <w:rFonts w:ascii="宋体" w:hAnsi="宋体" w:cs="宋体" w:eastAsia="宋体"/>
                <w:sz w:val="21"/>
              </w:rPr>
              <w:t>次试验后无损；水平侧向静载荷（过载）通过</w:t>
            </w:r>
            <w:r>
              <w:rPr>
                <w:rFonts w:ascii="calibri" w:hAnsi="calibri" w:cs="calibri" w:eastAsia="calibri"/>
                <w:sz w:val="21"/>
              </w:rPr>
              <w:t>150N</w:t>
            </w:r>
            <w:r>
              <w:rPr>
                <w:rFonts w:ascii="宋体" w:hAnsi="宋体" w:cs="宋体" w:eastAsia="宋体"/>
                <w:sz w:val="21"/>
              </w:rPr>
              <w:t>，水平至少</w:t>
            </w:r>
            <w:r>
              <w:rPr>
                <w:rFonts w:ascii="calibri" w:hAnsi="calibri" w:cs="calibri" w:eastAsia="calibri"/>
                <w:sz w:val="21"/>
              </w:rPr>
              <w:t>5</w:t>
            </w:r>
            <w:r>
              <w:rPr>
                <w:rFonts w:ascii="宋体" w:hAnsi="宋体" w:cs="宋体" w:eastAsia="宋体"/>
                <w:sz w:val="21"/>
              </w:rPr>
              <w:t>次试验后无损；耐久性通过至少</w:t>
            </w:r>
            <w:r>
              <w:rPr>
                <w:rFonts w:ascii="calibri" w:hAnsi="calibri" w:cs="calibri" w:eastAsia="calibri"/>
                <w:sz w:val="21"/>
              </w:rPr>
              <w:t>100000</w:t>
            </w:r>
            <w:r>
              <w:rPr>
                <w:rFonts w:ascii="宋体" w:hAnsi="宋体" w:cs="宋体" w:eastAsia="宋体"/>
                <w:sz w:val="21"/>
              </w:rPr>
              <w:t>次试验后无损；耐腐蚀性通过中性盐雾试验≥</w:t>
            </w:r>
            <w:r>
              <w:rPr>
                <w:rFonts w:ascii="calibri" w:hAnsi="calibri" w:cs="calibri" w:eastAsia="calibri"/>
                <w:sz w:val="21"/>
              </w:rPr>
              <w:t>18h,</w:t>
            </w:r>
            <w:r>
              <w:rPr>
                <w:rFonts w:ascii="宋体" w:hAnsi="宋体" w:cs="宋体" w:eastAsia="宋体"/>
                <w:sz w:val="21"/>
              </w:rPr>
              <w:t>无锈点。</w:t>
            </w:r>
            <w:r>
              <w:br/>
            </w:r>
            <w:r>
              <w:rPr>
                <w:rFonts w:ascii="calibri" w:hAnsi="calibri" w:cs="calibri" w:eastAsia="calibri"/>
                <w:sz w:val="21"/>
              </w:rPr>
              <w:t>8</w:t>
            </w:r>
            <w:r>
              <w:rPr>
                <w:rFonts w:ascii="宋体" w:hAnsi="宋体" w:cs="宋体" w:eastAsia="宋体"/>
                <w:sz w:val="21"/>
              </w:rPr>
              <w:t>、阻尼缓冲铰链：垂直向下静载荷（过载）通过</w:t>
            </w:r>
            <w:r>
              <w:rPr>
                <w:rFonts w:ascii="calibri" w:hAnsi="calibri" w:cs="calibri" w:eastAsia="calibri"/>
                <w:sz w:val="21"/>
              </w:rPr>
              <w:t>A</w:t>
            </w:r>
            <w:r>
              <w:rPr>
                <w:rFonts w:ascii="宋体" w:hAnsi="宋体" w:cs="宋体" w:eastAsia="宋体"/>
                <w:sz w:val="21"/>
              </w:rPr>
              <w:t>型门，至少</w:t>
            </w:r>
            <w:r>
              <w:rPr>
                <w:rFonts w:ascii="calibri" w:hAnsi="calibri" w:cs="calibri" w:eastAsia="calibri"/>
                <w:sz w:val="21"/>
              </w:rPr>
              <w:t>20kg</w:t>
            </w:r>
            <w:r>
              <w:rPr>
                <w:rFonts w:ascii="宋体" w:hAnsi="宋体" w:cs="宋体" w:eastAsia="宋体"/>
                <w:sz w:val="21"/>
              </w:rPr>
              <w:t>，至少</w:t>
            </w:r>
            <w:r>
              <w:rPr>
                <w:rFonts w:ascii="calibri" w:hAnsi="calibri" w:cs="calibri" w:eastAsia="calibri"/>
                <w:sz w:val="21"/>
              </w:rPr>
              <w:t>10</w:t>
            </w:r>
            <w:r>
              <w:rPr>
                <w:rFonts w:ascii="宋体" w:hAnsi="宋体" w:cs="宋体" w:eastAsia="宋体"/>
                <w:sz w:val="21"/>
              </w:rPr>
              <w:t>次试验后无损；水平静载荷通过</w:t>
            </w:r>
            <w:r>
              <w:rPr>
                <w:rFonts w:ascii="calibri" w:hAnsi="calibri" w:cs="calibri" w:eastAsia="calibri"/>
                <w:sz w:val="21"/>
              </w:rPr>
              <w:t>A</w:t>
            </w:r>
            <w:r>
              <w:rPr>
                <w:rFonts w:ascii="宋体" w:hAnsi="宋体" w:cs="宋体" w:eastAsia="宋体"/>
                <w:sz w:val="21"/>
              </w:rPr>
              <w:t>型门，至少</w:t>
            </w:r>
            <w:r>
              <w:rPr>
                <w:rFonts w:ascii="calibri" w:hAnsi="calibri" w:cs="calibri" w:eastAsia="calibri"/>
                <w:sz w:val="21"/>
              </w:rPr>
              <w:t>40N</w:t>
            </w:r>
            <w:r>
              <w:rPr>
                <w:rFonts w:ascii="宋体" w:hAnsi="宋体" w:cs="宋体" w:eastAsia="宋体"/>
                <w:sz w:val="21"/>
              </w:rPr>
              <w:t>，至少</w:t>
            </w:r>
            <w:r>
              <w:rPr>
                <w:rFonts w:ascii="calibri" w:hAnsi="calibri" w:cs="calibri" w:eastAsia="calibri"/>
                <w:sz w:val="21"/>
              </w:rPr>
              <w:t>10</w:t>
            </w:r>
            <w:r>
              <w:rPr>
                <w:rFonts w:ascii="宋体" w:hAnsi="宋体" w:cs="宋体" w:eastAsia="宋体"/>
                <w:sz w:val="21"/>
              </w:rPr>
              <w:t>次试验后无损；耐久性通过至少</w:t>
            </w:r>
            <w:r>
              <w:rPr>
                <w:rFonts w:ascii="calibri" w:hAnsi="calibri" w:cs="calibri" w:eastAsia="calibri"/>
                <w:sz w:val="21"/>
              </w:rPr>
              <w:t>100000</w:t>
            </w:r>
            <w:r>
              <w:rPr>
                <w:rFonts w:ascii="宋体" w:hAnsi="宋体" w:cs="宋体" w:eastAsia="宋体"/>
                <w:sz w:val="21"/>
              </w:rPr>
              <w:t>次试验后无损；耐腐蚀性通过中性盐雾试验≥</w:t>
            </w:r>
            <w:r>
              <w:rPr>
                <w:rFonts w:ascii="calibri" w:hAnsi="calibri" w:cs="calibri" w:eastAsia="calibri"/>
                <w:sz w:val="21"/>
              </w:rPr>
              <w:t>18h,</w:t>
            </w:r>
            <w:r>
              <w:rPr>
                <w:rFonts w:ascii="宋体" w:hAnsi="宋体" w:cs="宋体" w:eastAsia="宋体"/>
                <w:sz w:val="21"/>
              </w:rPr>
              <w:t>无锈点。</w:t>
            </w:r>
          </w:p>
          <w:p>
            <w:pPr>
              <w:pStyle w:val="null3"/>
              <w:numPr>
                <w:ilvl w:val="0"/>
                <w:numId w:val="1"/>
              </w:numPr>
              <w:ind w:firstLine="480"/>
              <w:jc w:val="left"/>
            </w:pPr>
            <w:r>
              <w:rPr>
                <w:rFonts w:ascii="宋体" w:hAnsi="宋体" w:cs="宋体" w:eastAsia="宋体"/>
                <w:sz w:val="21"/>
              </w:rPr>
              <w:t>自攻螺丝：金属电镀层抗盐雾</w:t>
            </w:r>
            <w:r>
              <w:rPr>
                <w:rFonts w:ascii="宋体" w:hAnsi="宋体" w:cs="宋体" w:eastAsia="宋体"/>
                <w:sz w:val="21"/>
              </w:rPr>
              <w:t>≥</w:t>
            </w:r>
            <w:r>
              <w:rPr>
                <w:rFonts w:ascii="calibri" w:hAnsi="calibri" w:cs="calibri" w:eastAsia="calibri"/>
                <w:sz w:val="21"/>
              </w:rPr>
              <w:t>18h,</w:t>
            </w:r>
            <w:r>
              <w:rPr>
                <w:rFonts w:ascii="宋体" w:hAnsi="宋体" w:cs="宋体" w:eastAsia="宋体"/>
                <w:sz w:val="21"/>
              </w:rPr>
              <w:t>无锈点，所有螺丝应无毛刺、缺角、脱丝。</w:t>
            </w:r>
            <w:r>
              <w:br/>
            </w:r>
            <w:r>
              <w:rPr>
                <w:rFonts w:ascii="calibri" w:hAnsi="calibri" w:cs="calibri" w:eastAsia="calibri"/>
                <w:sz w:val="21"/>
              </w:rPr>
              <w:t>10</w:t>
            </w:r>
            <w:r>
              <w:rPr>
                <w:rFonts w:ascii="宋体" w:hAnsi="宋体" w:cs="宋体" w:eastAsia="宋体"/>
                <w:sz w:val="21"/>
              </w:rPr>
              <w:t>、三合一紧固连接件，三合一偏心连接件偏心体抗压强 度≥</w:t>
            </w:r>
            <w:r>
              <w:rPr>
                <w:rFonts w:ascii="calibri" w:hAnsi="calibri" w:cs="calibri" w:eastAsia="calibri"/>
                <w:sz w:val="21"/>
              </w:rPr>
              <w:t>310N</w:t>
            </w:r>
            <w:r>
              <w:rPr>
                <w:rFonts w:ascii="宋体" w:hAnsi="宋体" w:cs="宋体" w:eastAsia="宋体"/>
                <w:sz w:val="21"/>
              </w:rPr>
              <w:t>；三合一偏心连接件预埋螺母抗拉强度≥</w:t>
            </w:r>
            <w:r>
              <w:rPr>
                <w:rFonts w:ascii="calibri" w:hAnsi="calibri" w:cs="calibri" w:eastAsia="calibri"/>
                <w:sz w:val="21"/>
              </w:rPr>
              <w:t>800N</w:t>
            </w:r>
            <w:r>
              <w:rPr>
                <w:rFonts w:ascii="宋体" w:hAnsi="宋体" w:cs="宋体" w:eastAsia="宋体"/>
                <w:sz w:val="21"/>
              </w:rPr>
              <w:t>；三合一偏心连接件中连接螺杆螺纹与预埋螺母的抗拉强度≥</w:t>
            </w:r>
            <w:r>
              <w:rPr>
                <w:rFonts w:ascii="calibri" w:hAnsi="calibri" w:cs="calibri" w:eastAsia="calibri"/>
                <w:sz w:val="21"/>
              </w:rPr>
              <w:t>2000N</w:t>
            </w:r>
            <w:r>
              <w:rPr>
                <w:rFonts w:ascii="宋体" w:hAnsi="宋体" w:cs="宋体" w:eastAsia="宋体"/>
                <w:sz w:val="21"/>
              </w:rPr>
              <w:t>；通过乙酸盐雾试验（</w:t>
            </w:r>
            <w:r>
              <w:rPr>
                <w:rFonts w:ascii="calibri" w:hAnsi="calibri" w:cs="calibri" w:eastAsia="calibri"/>
                <w:sz w:val="21"/>
              </w:rPr>
              <w:t>ASS</w:t>
            </w:r>
            <w:r>
              <w:rPr>
                <w:rFonts w:ascii="宋体" w:hAnsi="宋体" w:cs="宋体" w:eastAsia="宋体"/>
                <w:sz w:val="21"/>
              </w:rPr>
              <w:t>），连续喷雾≥</w:t>
            </w:r>
            <w:r>
              <w:rPr>
                <w:rFonts w:ascii="calibri" w:hAnsi="calibri" w:cs="calibri" w:eastAsia="calibri"/>
                <w:sz w:val="21"/>
              </w:rPr>
              <w:t>18h</w:t>
            </w:r>
            <w:r>
              <w:rPr>
                <w:rFonts w:ascii="宋体" w:hAnsi="宋体" w:cs="宋体" w:eastAsia="宋体"/>
                <w:sz w:val="21"/>
              </w:rPr>
              <w:t>，耐腐蚀等级≥</w:t>
            </w:r>
            <w:r>
              <w:rPr>
                <w:rFonts w:ascii="calibri" w:hAnsi="calibri" w:cs="calibri" w:eastAsia="calibri"/>
                <w:sz w:val="21"/>
              </w:rPr>
              <w:t>10</w:t>
            </w:r>
            <w:r>
              <w:rPr>
                <w:rFonts w:ascii="宋体" w:hAnsi="宋体" w:cs="宋体" w:eastAsia="宋体"/>
                <w:sz w:val="21"/>
              </w:rPr>
              <w:t>级。</w:t>
            </w:r>
          </w:p>
          <w:p>
            <w:pPr>
              <w:pStyle w:val="null3"/>
              <w:ind w:firstLine="480"/>
              <w:jc w:val="both"/>
            </w:pPr>
            <w:r>
              <w:rPr>
                <w:rFonts w:ascii="方正仿宋_gbk" w:hAnsi="方正仿宋_gbk" w:cs="方正仿宋_gbk" w:eastAsia="方正仿宋_gbk"/>
                <w:sz w:val="21"/>
              </w:rPr>
              <w:t>参考图片：</w:t>
            </w:r>
            <w:r>
              <w:drawing>
                <wp:inline distT="0" distR="0" distB="0" distL="0">
                  <wp:extent cx="1621155" cy="93378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933785"/>
                          </a:xfrm>
                          <a:prstGeom prst="rect">
                            <a:avLst/>
                          </a:prstGeom>
                        </pic:spPr>
                      </pic:pic>
                    </a:graphicData>
                  </a:graphic>
                </wp:inline>
              </w:drawing>
            </w:r>
          </w:p>
          <w:p>
            <w:pPr>
              <w:pStyle w:val="null3"/>
              <w:ind w:firstLine="480"/>
              <w:jc w:val="both"/>
            </w:pPr>
          </w:p>
        </w:tc>
      </w:tr>
    </w:tbl>
    <w:p>
      <w:pPr>
        <w:pStyle w:val="null3"/>
      </w:pPr>
    </w:p>
    <w:p>
      <w:pPr>
        <w:pStyle w:val="null3"/>
      </w:pPr>
      <w:r>
        <w:rPr/>
        <w:t>标的名称：文件柜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1"/>
              </w:rPr>
              <w:t>规格尺寸（单位</w:t>
            </w:r>
            <w:r>
              <w:rPr>
                <w:rFonts w:ascii="calibri" w:hAnsi="calibri" w:cs="calibri" w:eastAsia="calibri"/>
                <w:sz w:val="21"/>
              </w:rPr>
              <w:t>mm)(</w:t>
            </w:r>
            <w:r>
              <w:rPr>
                <w:rFonts w:ascii="宋体" w:hAnsi="宋体" w:cs="宋体" w:eastAsia="宋体"/>
                <w:sz w:val="21"/>
              </w:rPr>
              <w:t>允许尺寸偏差±</w:t>
            </w:r>
            <w:r>
              <w:rPr>
                <w:rFonts w:ascii="calibri" w:hAnsi="calibri" w:cs="calibri" w:eastAsia="calibri"/>
                <w:sz w:val="21"/>
              </w:rPr>
              <w:t>5mm</w:t>
            </w:r>
            <w:r>
              <w:rPr>
                <w:rFonts w:ascii="宋体" w:hAnsi="宋体" w:cs="宋体" w:eastAsia="宋体"/>
                <w:sz w:val="21"/>
              </w:rPr>
              <w:t>）：</w:t>
            </w:r>
          </w:p>
          <w:p>
            <w:pPr>
              <w:pStyle w:val="null3"/>
              <w:ind w:firstLine="480"/>
              <w:jc w:val="left"/>
            </w:pPr>
            <w:r>
              <w:rPr>
                <w:rFonts w:ascii="方正仿宋_gbk" w:hAnsi="方正仿宋_gbk" w:cs="方正仿宋_gbk" w:eastAsia="方正仿宋_gbk"/>
                <w:sz w:val="21"/>
              </w:rPr>
              <w:t>1800*900*400</w:t>
            </w:r>
          </w:p>
          <w:p>
            <w:pPr>
              <w:pStyle w:val="null3"/>
              <w:ind w:firstLine="480"/>
              <w:jc w:val="left"/>
            </w:pPr>
            <w:r>
              <w:rPr>
                <w:rFonts w:ascii="宋体" w:hAnsi="宋体" w:cs="宋体" w:eastAsia="宋体"/>
                <w:sz w:val="21"/>
              </w:rPr>
              <w:t>1、冷轧钢板：基材采用冷轧钢板，厚度</w:t>
            </w:r>
            <w:r>
              <w:rPr>
                <w:rFonts w:ascii="宋体" w:hAnsi="宋体" w:cs="宋体" w:eastAsia="宋体"/>
                <w:sz w:val="21"/>
              </w:rPr>
              <w:t>≥</w:t>
            </w:r>
            <w:r>
              <w:rPr>
                <w:rFonts w:ascii="calibri" w:hAnsi="calibri" w:cs="calibri" w:eastAsia="calibri"/>
                <w:sz w:val="21"/>
              </w:rPr>
              <w:t>0.8mm</w:t>
            </w:r>
            <w:r>
              <w:rPr>
                <w:rFonts w:ascii="宋体" w:hAnsi="宋体" w:cs="宋体" w:eastAsia="宋体"/>
                <w:sz w:val="21"/>
              </w:rPr>
              <w:t>，金属喷漆（塑）涂层硬度≥</w:t>
            </w:r>
            <w:r>
              <w:rPr>
                <w:rFonts w:ascii="calibri" w:hAnsi="calibri" w:cs="calibri" w:eastAsia="calibri"/>
                <w:sz w:val="21"/>
              </w:rPr>
              <w:t>5H</w:t>
            </w:r>
            <w:r>
              <w:rPr>
                <w:rFonts w:ascii="宋体" w:hAnsi="宋体" w:cs="宋体" w:eastAsia="宋体"/>
                <w:sz w:val="21"/>
              </w:rPr>
              <w:t>；金属喷漆（塑）涂层附着力</w:t>
            </w:r>
            <w:r>
              <w:rPr>
                <w:rFonts w:ascii="calibri" w:hAnsi="calibri" w:cs="calibri" w:eastAsia="calibri"/>
                <w:sz w:val="21"/>
              </w:rPr>
              <w:t>1</w:t>
            </w:r>
            <w:r>
              <w:rPr>
                <w:rFonts w:ascii="宋体" w:hAnsi="宋体" w:cs="宋体" w:eastAsia="宋体"/>
                <w:sz w:val="21"/>
              </w:rPr>
              <w:t>级；不得检出可溶性铅、可溶性镉、可溶性铬、可溶性汞等涂层中可溶性重金属；通过乙酸盐雾试验（</w:t>
            </w:r>
            <w:r>
              <w:rPr>
                <w:rFonts w:ascii="calibri" w:hAnsi="calibri" w:cs="calibri" w:eastAsia="calibri"/>
                <w:sz w:val="21"/>
              </w:rPr>
              <w:t>ASS</w:t>
            </w:r>
            <w:r>
              <w:rPr>
                <w:rFonts w:ascii="宋体" w:hAnsi="宋体" w:cs="宋体" w:eastAsia="宋体"/>
                <w:sz w:val="21"/>
              </w:rPr>
              <w:t>）：连续喷雾≥</w:t>
            </w:r>
            <w:r>
              <w:rPr>
                <w:rFonts w:ascii="calibri" w:hAnsi="calibri" w:cs="calibri" w:eastAsia="calibri"/>
                <w:sz w:val="21"/>
              </w:rPr>
              <w:t>130h</w:t>
            </w:r>
            <w:r>
              <w:rPr>
                <w:rFonts w:ascii="宋体" w:hAnsi="宋体" w:cs="宋体" w:eastAsia="宋体"/>
                <w:sz w:val="21"/>
              </w:rPr>
              <w:t>，金属涂层耐腐蚀等级≥</w:t>
            </w:r>
            <w:r>
              <w:rPr>
                <w:rFonts w:ascii="calibri" w:hAnsi="calibri" w:cs="calibri" w:eastAsia="calibri"/>
                <w:sz w:val="21"/>
              </w:rPr>
              <w:t>8</w:t>
            </w:r>
            <w:r>
              <w:rPr>
                <w:rFonts w:ascii="宋体" w:hAnsi="宋体" w:cs="宋体" w:eastAsia="宋体"/>
                <w:sz w:val="21"/>
              </w:rPr>
              <w:t>级；抗拉强度≥</w:t>
            </w:r>
            <w:r>
              <w:rPr>
                <w:rFonts w:ascii="calibri" w:hAnsi="calibri" w:cs="calibri" w:eastAsia="calibri"/>
                <w:sz w:val="21"/>
              </w:rPr>
              <w:t>273Mpa</w:t>
            </w:r>
            <w:r>
              <w:rPr>
                <w:rFonts w:ascii="宋体" w:hAnsi="宋体" w:cs="宋体" w:eastAsia="宋体"/>
                <w:sz w:val="21"/>
              </w:rPr>
              <w:t>；屈服强度≥</w:t>
            </w:r>
            <w:r>
              <w:rPr>
                <w:rFonts w:ascii="calibri" w:hAnsi="calibri" w:cs="calibri" w:eastAsia="calibri"/>
                <w:sz w:val="21"/>
              </w:rPr>
              <w:t>190Mpa</w:t>
            </w:r>
            <w:r>
              <w:rPr>
                <w:rFonts w:ascii="宋体" w:hAnsi="宋体" w:cs="宋体" w:eastAsia="宋体"/>
                <w:sz w:val="21"/>
              </w:rPr>
              <w:t>；断后伸长率≥</w:t>
            </w:r>
            <w:r>
              <w:rPr>
                <w:rFonts w:ascii="calibri" w:hAnsi="calibri" w:cs="calibri" w:eastAsia="calibri"/>
                <w:sz w:val="21"/>
              </w:rPr>
              <w:t>40%</w:t>
            </w:r>
            <w:r>
              <w:rPr>
                <w:rFonts w:ascii="宋体" w:hAnsi="宋体" w:cs="宋体" w:eastAsia="宋体"/>
                <w:sz w:val="21"/>
              </w:rPr>
              <w:t>；化学成分：</w:t>
            </w:r>
            <w:r>
              <w:rPr>
                <w:rFonts w:ascii="calibri" w:hAnsi="calibri" w:cs="calibri" w:eastAsia="calibri"/>
                <w:sz w:val="21"/>
              </w:rPr>
              <w:t>C</w:t>
            </w:r>
            <w:r>
              <w:rPr>
                <w:rFonts w:ascii="宋体" w:hAnsi="宋体" w:cs="宋体" w:eastAsia="宋体"/>
                <w:sz w:val="21"/>
              </w:rPr>
              <w:t>≤</w:t>
            </w:r>
            <w:r>
              <w:rPr>
                <w:rFonts w:ascii="calibri" w:hAnsi="calibri" w:cs="calibri" w:eastAsia="calibri"/>
                <w:sz w:val="21"/>
              </w:rPr>
              <w:t>0.06%, Mn</w:t>
            </w:r>
            <w:r>
              <w:rPr>
                <w:rFonts w:ascii="宋体" w:hAnsi="宋体" w:cs="宋体" w:eastAsia="宋体"/>
                <w:sz w:val="21"/>
              </w:rPr>
              <w:t>≤</w:t>
            </w:r>
            <w:r>
              <w:rPr>
                <w:rFonts w:ascii="calibri" w:hAnsi="calibri" w:cs="calibri" w:eastAsia="calibri"/>
                <w:sz w:val="21"/>
              </w:rPr>
              <w:t>0.2%,P</w:t>
            </w:r>
            <w:r>
              <w:rPr>
                <w:rFonts w:ascii="宋体" w:hAnsi="宋体" w:cs="宋体" w:eastAsia="宋体"/>
                <w:sz w:val="21"/>
              </w:rPr>
              <w:t>≤</w:t>
            </w:r>
            <w:r>
              <w:rPr>
                <w:rFonts w:ascii="calibri" w:hAnsi="calibri" w:cs="calibri" w:eastAsia="calibri"/>
                <w:sz w:val="21"/>
              </w:rPr>
              <w:t>0.013%,S</w:t>
            </w:r>
            <w:r>
              <w:rPr>
                <w:rFonts w:ascii="宋体" w:hAnsi="宋体" w:cs="宋体" w:eastAsia="宋体"/>
                <w:sz w:val="21"/>
              </w:rPr>
              <w:t>≤</w:t>
            </w:r>
            <w:r>
              <w:rPr>
                <w:rFonts w:ascii="calibri" w:hAnsi="calibri" w:cs="calibri" w:eastAsia="calibri"/>
                <w:sz w:val="21"/>
              </w:rPr>
              <w:t>0.013%.</w:t>
            </w:r>
            <w:r>
              <w:br/>
            </w:r>
            <w:r>
              <w:rPr>
                <w:rFonts w:ascii="calibri" w:hAnsi="calibri" w:cs="calibri" w:eastAsia="calibri"/>
                <w:sz w:val="21"/>
              </w:rPr>
              <w:t>2</w:t>
            </w:r>
            <w:r>
              <w:rPr>
                <w:rFonts w:ascii="宋体" w:hAnsi="宋体" w:cs="宋体" w:eastAsia="宋体"/>
                <w:sz w:val="21"/>
              </w:rPr>
              <w:t>、钢板表面处理工艺：表面处理采用乳化剂和碱性助洗脱脂、磷酸除锈、锌系薄膜型磷化、钝化，最后利用静电科技使粉沫涂料平均喷涂于钢板工件上。</w:t>
            </w:r>
            <w:r>
              <w:br/>
            </w:r>
            <w:r>
              <w:rPr>
                <w:rFonts w:ascii="calibri" w:hAnsi="calibri" w:cs="calibri" w:eastAsia="calibri"/>
                <w:sz w:val="21"/>
              </w:rPr>
              <w:t>3</w:t>
            </w:r>
            <w:r>
              <w:rPr>
                <w:rFonts w:ascii="宋体" w:hAnsi="宋体" w:cs="宋体" w:eastAsia="宋体"/>
                <w:sz w:val="21"/>
              </w:rPr>
              <w:t>、拉手，金属件外观性能要求：喷涂层无漏喷，锈蚀和脱色、掉色现象；涂层光滑均匀，色泽一致，无流挂、疙瘩、皱皮、飞漆等缺陷；通过乙酸盐雾试验，连续喷雾≥</w:t>
            </w:r>
            <w:r>
              <w:rPr>
                <w:rFonts w:ascii="calibri" w:hAnsi="calibri" w:cs="calibri" w:eastAsia="calibri"/>
                <w:sz w:val="21"/>
              </w:rPr>
              <w:t>18h</w:t>
            </w:r>
            <w:r>
              <w:rPr>
                <w:rFonts w:ascii="宋体" w:hAnsi="宋体" w:cs="宋体" w:eastAsia="宋体"/>
                <w:sz w:val="21"/>
              </w:rPr>
              <w:t>，金属涂层耐腐蚀等级≥</w:t>
            </w:r>
            <w:r>
              <w:rPr>
                <w:rFonts w:ascii="calibri" w:hAnsi="calibri" w:cs="calibri" w:eastAsia="calibri"/>
                <w:sz w:val="21"/>
              </w:rPr>
              <w:t>10</w:t>
            </w:r>
            <w:r>
              <w:rPr>
                <w:rFonts w:ascii="宋体" w:hAnsi="宋体" w:cs="宋体" w:eastAsia="宋体"/>
                <w:sz w:val="21"/>
              </w:rPr>
              <w:t>级。</w:t>
            </w:r>
            <w:r>
              <w:br/>
            </w:r>
            <w:r>
              <w:rPr>
                <w:rFonts w:ascii="calibri" w:hAnsi="calibri" w:cs="calibri" w:eastAsia="calibri"/>
                <w:sz w:val="21"/>
              </w:rPr>
              <w:t>4</w:t>
            </w:r>
            <w:r>
              <w:rPr>
                <w:rFonts w:ascii="宋体" w:hAnsi="宋体" w:cs="宋体" w:eastAsia="宋体"/>
                <w:sz w:val="21"/>
              </w:rPr>
              <w:t>、配置电子密码锁。</w:t>
            </w:r>
          </w:p>
          <w:p>
            <w:pPr>
              <w:pStyle w:val="null3"/>
              <w:ind w:firstLine="480"/>
              <w:jc w:val="both"/>
            </w:pPr>
            <w:r>
              <w:rPr>
                <w:rFonts w:ascii="宋体" w:hAnsi="宋体" w:cs="宋体" w:eastAsia="宋体"/>
                <w:sz w:val="21"/>
              </w:rPr>
              <w:t>参考图片：</w:t>
            </w:r>
            <w:r>
              <w:drawing>
                <wp:inline distT="0" distR="0" distB="0" distL="0">
                  <wp:extent cx="1621155" cy="3212288"/>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621155" cy="3212288"/>
                          </a:xfrm>
                          <a:prstGeom prst="rect">
                            <a:avLst/>
                          </a:prstGeom>
                        </pic:spPr>
                      </pic:pic>
                    </a:graphicData>
                  </a:graphic>
                </wp:inline>
              </w:drawing>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自合同签订之日起25日</w:t>
      </w:r>
    </w:p>
    <w:p>
      <w:pPr>
        <w:pStyle w:val="null3"/>
        <w:ind w:firstLine="480"/>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中国共产党巴中市巴州区纪律检查委员会（★实质性要求）</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合同签订后</w:t>
      </w:r>
      <w:r>
        <w:rPr/>
        <w:t>，达到付款条件起</w:t>
      </w:r>
      <w:r>
        <w:rPr/>
        <w:t>5</w:t>
      </w:r>
      <w:r>
        <w:rPr/>
        <w:t>日，支付合同总金额的</w:t>
      </w:r>
      <w:r>
        <w:rPr/>
        <w:t>30.00</w:t>
      </w:r>
      <w:r>
        <w:rPr/>
        <w:t>%。</w:t>
      </w:r>
    </w:p>
    <w:p>
      <w:pPr>
        <w:pStyle w:val="null3"/>
      </w:pPr>
      <w:r>
        <w:rPr/>
        <w:t>采购包1：</w:t>
      </w:r>
      <w:r>
        <w:rPr/>
        <w:t>付款条件说明：</w:t>
      </w:r>
      <w:r>
        <w:rPr/>
        <w:t>验收合格后</w:t>
      </w:r>
      <w:r>
        <w:rPr/>
        <w:t>，达到付款条件起</w:t>
      </w:r>
      <w:r>
        <w:rPr/>
        <w:t>5</w:t>
      </w:r>
      <w:r>
        <w:rPr/>
        <w:t>日，支付合同总金额的</w:t>
      </w:r>
      <w:r>
        <w:rPr/>
        <w:t>70.00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1.供应商在验收准备完成后通知采购人，采购人在接到通知后2日内组织履约验收，验收合格，双方签署《验收报告》； 2.验收方式：采购单位内部进行验收 。 3.验收标准：严格按照《财政部关于进一步加强采购需求和履约验收管理的指导意见》的通知（财库〔2016〕205号）及《政府采购需求管理办法》（财库〔2021〕22号）的要求、采购文件规定的要求和响应文件及合同承诺的内容进行验收。 4.验收时如发现所交付的货物有短装、次品、损坏或其它不符合标准及本合同规定之情形者，采购人应做出详尽的现场记录，或由采购人与供应商双方签署备忘录，此现场记录或备忘录可用作补充、缺失和更换损坏部件的有效证据，由此产生的时间延误 与有关费用由供应商承担，验收期限相应顺延； 5.采购人在规定时间内无故不进行验收工作并已使用货物的，视同验收合格。 6.项目验收结果合格的，供应商凭验收合格证明书至采购人处办理剩余采购资金支付；验收结果不合格的，将不予支付剩余采购资金。</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实质性要求）</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质保期1年。（★实质性要求）</w:t>
      </w:r>
    </w:p>
    <w:p>
      <w:pPr>
        <w:pStyle w:val="null3"/>
        <w:ind w:firstLine="480"/>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对任何第三方的法律责任等，供应商对此均应承担全部的赔偿责任。 3.供应商必须遵守采购合同按时完成合同相关工作，若由于供应商原因导致合同迟延履行，供应商应承担采购合同中约定的违约金。 4.供应商应当遵守采购人的相关项目需求及相关技术要求及实质性条款，实施完成采购合同应当完全满足相关项目需求及相关技术要求及实质性条款，若供应商瑕疵履行采购合同，采购人有权向供应商要求赔偿合同总价款20%的违约金，若造成相关损失的，采购人有权要求供应商承担所有赔偿责任。 5.有下列情形之一的，当事人可解除合同。 5.1因不可抗力致使不能实现合同目的（非供应商或采购人原因，致使合同实质性条款无法实现的）。 5.2当事人一方迟延履行主要合同，经催告后在合理期限内仍未履行。 5.3当事人一方迟延履行合同或者有其他违约行为致使不能实现合同目的。 5.4法律规定的其他情形。</w:t>
      </w:r>
    </w:p>
    <w:p>
      <w:pPr>
        <w:pStyle w:val="null3"/>
        <w:ind w:firstLine="480"/>
        <w:jc w:val="left"/>
        <w:outlineLvl w:val="3"/>
      </w:pPr>
      <w:r>
        <w:rPr>
          <w:b/>
          <w:sz w:val="24"/>
        </w:rPr>
        <w:t>3.5其他要求</w:t>
      </w:r>
    </w:p>
    <w:p>
      <w:pPr>
        <w:pStyle w:val="null3"/>
      </w:pPr>
    </w:p>
    <w:p>
      <w:pPr>
        <w:pStyle w:val="null3"/>
      </w:pPr>
    </w:p>
    <w:p>
      <w:pPr>
        <w:pStyle w:val="null3"/>
      </w:pPr>
      <w:r>
        <w:rPr/>
        <w:t>其他商务要求（★实质性要求）： 3.5.1成交供应商在合同签订前向采购人提供以下扫描件查验，如有不实，将取消成交资格，并上报上级部门处理： ① ISO9001：2015质量管理体系认证证书扫描件，认证范围至少须包括“桌、椅、柜、沙发、茶几”的设计研发、生产、销售、安装和售后服务。ISO14001：2015环境管理体系认证证书扫描件，认证范围至少须包括“桌、椅、柜、沙发、茶几”的设计研发、销售、安装和售后服务。 ②人造板家具中有害物质限量认证证书扫描件，认证范围至少须包括“桌、椅、柜、沙发、茶几”。 ③提供国家质量监督检测机构2022年以来出具的带二维码的满足以上参数的“胡桃木皮”、“水性木器透明底漆”、“水性木器9分消透明面漆”、“自攻螺丝”、“三合一紧固连接件”或“冷轧钢板”检测报告的扫描件。 3.5.2售后服务要求： ①产品自身质量问题造成的损坏，由成交供应商无偿维修或更换。若需对坏件更换或送修，应先将备件安装使用，待坏件维修好后再换回备件，免收任何费用 (如部件费、人工费、差旅费等) 。 ② 质保期内出现质量问题，成交供应商在接到通知后2小时内进行响应，48小时内完成维修或更换，并承担修理调换的费用；如经成交供应商3次维修仍不能达到本合同约定的质量标准，视为成交供应商根本违约，采购人将追究成交供应商的违约责任。 ③成交供应商须指派经授权的专人负责与采购人联系售后服务事宜。 3.5.3其他要求： ①成交供应商须将所有设备安装到相应的室内，并进行调试，保证设备正常。 ②交货后采购方有权利抽取任意产品进行破坏性检测, 检测结果不管合格与否，检测费用均由供应商自行承担。如检测结果不符合要求，将产品退回供应商，产生的损失由供应商自行承担。</w:t>
      </w:r>
    </w:p>
    <w:p>
      <w:pPr>
        <w:pStyle w:val="null3"/>
      </w:pPr>
    </w:p>
    <w:p>
      <w:pPr>
        <w:pStyle w:val="null3"/>
        <w:ind w:firstLine="480"/>
      </w:pPr>
      <w:r>
        <w:rPr/>
        <w:t xml:space="preserve"> </w:t>
      </w:r>
    </w:p>
    <w:p>
      <w:pPr>
        <w:pStyle w:val="null3"/>
        <w:ind w:firstLine="480"/>
        <w:outlineLvl w:val="1"/>
      </w:pPr>
      <w:r>
        <w:rPr>
          <w:b/>
          <w:sz w:val="36"/>
        </w:rPr>
        <w:t>第四章 询价方法</w:t>
      </w:r>
    </w:p>
    <w:p>
      <w:pPr>
        <w:pStyle w:val="null3"/>
        <w:ind w:firstLine="480"/>
        <w:outlineLvl w:val="2"/>
      </w:pPr>
      <w:r>
        <w:rPr>
          <w:b/>
          <w:sz w:val="28"/>
        </w:rPr>
        <w:t>4.1总则</w:t>
      </w:r>
    </w:p>
    <w:p>
      <w:pPr>
        <w:pStyle w:val="null3"/>
        <w:ind w:firstLine="480"/>
      </w:pPr>
      <w:r>
        <w:rPr/>
        <w:t>一、根据《中华人民共和国政府采购法》《中华人民共和国政府采购法实施条例》《政府采购非招标采购方式管理办法》《四川省政府采购评审工作规程（修订）》等法律规章，结合采购项目特点制定本办法。</w:t>
      </w:r>
    </w:p>
    <w:p>
      <w:pPr>
        <w:pStyle w:val="null3"/>
        <w:ind w:firstLine="480"/>
      </w:pPr>
      <w:r>
        <w:rPr/>
        <w:t>二、评审工作由代理机构负责组织，具体评审事务由采购人和代理机构依法组建的询价小组负责。询价小组由采购人代表和评审专家组成。</w:t>
      </w:r>
    </w:p>
    <w:p>
      <w:pPr>
        <w:pStyle w:val="null3"/>
        <w:ind w:firstLine="480"/>
      </w:pPr>
      <w:r>
        <w:rPr/>
        <w:t>三、评审工作应遵循公平、公正、科学及择优的原则，并以相同的评审程序和标准对待所有的供应商。</w:t>
      </w:r>
    </w:p>
    <w:p>
      <w:pPr>
        <w:pStyle w:val="null3"/>
        <w:ind w:firstLine="480"/>
      </w:pPr>
      <w:r>
        <w:rPr/>
        <w:t>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t>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t>六、询价小组按照询价通知书规定的询价采购活动程序进行评审，并在采购活动中应当履行下列职责：</w:t>
      </w:r>
    </w:p>
    <w:p>
      <w:pPr>
        <w:pStyle w:val="null3"/>
        <w:ind w:firstLine="480"/>
      </w:pPr>
      <w:r>
        <w:rPr/>
        <w:t>（一）熟悉和理解询价通知书；</w:t>
      </w:r>
    </w:p>
    <w:p>
      <w:pPr>
        <w:pStyle w:val="null3"/>
        <w:ind w:firstLine="480"/>
      </w:pPr>
      <w:r>
        <w:rPr/>
        <w:t>（二）审查供应商响应文件等是否满足询价通知书要求，并作出评价；</w:t>
      </w:r>
    </w:p>
    <w:p>
      <w:pPr>
        <w:pStyle w:val="null3"/>
        <w:ind w:firstLine="480"/>
      </w:pPr>
      <w:r>
        <w:rPr/>
        <w:t>（三）根据需要要求采购组织单位对询价通知书作出解释；根据需要要求供应商对响应文件有关事项作出澄清、说明或者更正；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pPr>
      <w:r>
        <w:rPr/>
        <w:t>七、评审过程独立、保密。供应商非法干预评审过程的行为将导致其响应文件作为无效处理。</w:t>
      </w:r>
    </w:p>
    <w:p>
      <w:pPr>
        <w:pStyle w:val="null3"/>
        <w:ind w:firstLine="480"/>
      </w:pPr>
      <w:r>
        <w:rPr/>
        <w:t>八、询价小组决定响应文件的响应性依据响应文件本身的内容，而不寻求外部的证据，询价通知书有明确约定的除外。</w:t>
      </w:r>
    </w:p>
    <w:p>
      <w:pPr>
        <w:pStyle w:val="null3"/>
        <w:ind w:firstLine="480"/>
      </w:pPr>
      <w:r>
        <w:rPr/>
        <w:t>九、询价小组发现询价通知书表述不明确或需要说明的事项，可提请采购人和代理机构书面解释说明。</w:t>
      </w:r>
    </w:p>
    <w:p>
      <w:pPr>
        <w:pStyle w:val="null3"/>
        <w:ind w:firstLine="480"/>
        <w:outlineLvl w:val="2"/>
      </w:pPr>
      <w:r>
        <w:rPr>
          <w:b/>
          <w:sz w:val="28"/>
        </w:rPr>
        <w:t>4.2询价小组组建</w:t>
      </w:r>
    </w:p>
    <w:p>
      <w:pPr>
        <w:pStyle w:val="null3"/>
        <w:ind w:firstLine="480"/>
      </w:pPr>
      <w:r>
        <w:rPr/>
        <w:t>本项目询价小组成员人数应为三人以上单数，其中评审专家不得少于成员总数的三分之二。采购预算金额达到公开招标数额标准的货物和服务采购项目，或者达到招标规模标准的政府采购工程，询价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outlineLvl w:val="2"/>
      </w:pPr>
      <w:r>
        <w:rPr>
          <w:b/>
          <w:sz w:val="28"/>
        </w:rPr>
        <w:t>4.3评审程序</w:t>
      </w:r>
    </w:p>
    <w:p>
      <w:pPr>
        <w:pStyle w:val="null3"/>
        <w:ind w:firstLine="480"/>
      </w:pPr>
      <w:r>
        <w:rPr/>
        <w:t>（一）熟悉和理解询价通知书和停止评审。</w:t>
      </w:r>
    </w:p>
    <w:p>
      <w:pPr>
        <w:pStyle w:val="null3"/>
        <w:ind w:firstLine="480"/>
      </w:pPr>
      <w:r>
        <w:rPr/>
        <w:t>1.询价小组正式评审前，应当对询价通知书进行熟悉和理解，内容主要包括询价通知书中供应商的采购项目技术、服务和商务要求、评审方法和标准以及可能涉及签订政府采购合同的内容等。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t>2.询价小组熟悉和理解询价通知书以及评审过程中，发现本询价通知书有下列情形之一的，询价小组应当停止评审：</w:t>
      </w:r>
    </w:p>
    <w:p>
      <w:pPr>
        <w:pStyle w:val="null3"/>
        <w:ind w:firstLine="480"/>
      </w:pPr>
      <w:r>
        <w:rPr/>
        <w:t>（一）询价通知书的规定存在歧义、重大缺陷的；</w:t>
      </w:r>
    </w:p>
    <w:p>
      <w:pPr>
        <w:pStyle w:val="null3"/>
        <w:ind w:firstLine="480"/>
      </w:pPr>
      <w:r>
        <w:rPr/>
        <w:t>（二）询价通知书明显以不合理条件对供应商实行差别待遇或者歧视待遇的；</w:t>
      </w:r>
    </w:p>
    <w:p>
      <w:pPr>
        <w:pStyle w:val="null3"/>
        <w:ind w:firstLine="480"/>
      </w:pPr>
      <w:r>
        <w:rPr/>
        <w:t>（三）采购项目属于国家规定的优先、强制采购范围，但是询价通知书未依法体现优先、强制采购相关规定的；</w:t>
      </w:r>
    </w:p>
    <w:p>
      <w:pPr>
        <w:pStyle w:val="null3"/>
        <w:ind w:firstLine="480"/>
      </w:pPr>
      <w:r>
        <w:rPr/>
        <w:t>（四）采购项目属于政府采购促进中小企业发展的范围，但是询价通知书未依法体现促进中小企业发展相关规定的；</w:t>
      </w:r>
    </w:p>
    <w:p>
      <w:pPr>
        <w:pStyle w:val="null3"/>
        <w:ind w:firstLine="480"/>
      </w:pPr>
      <w:r>
        <w:rPr/>
        <w:t>（五）询价通知书将供应商的资格条件列为评分因素的；</w:t>
      </w:r>
    </w:p>
    <w:p>
      <w:pPr>
        <w:pStyle w:val="null3"/>
        <w:ind w:firstLine="480"/>
      </w:pPr>
      <w:r>
        <w:rPr/>
        <w:t>（六）询价通知书载明的成交原则不合法的；</w:t>
      </w:r>
    </w:p>
    <w:p>
      <w:pPr>
        <w:pStyle w:val="null3"/>
        <w:ind w:firstLine="480"/>
      </w:pPr>
      <w:r>
        <w:rPr/>
        <w:t>（七）询价通知书有违反国家其他有关强制性规定的情形。</w:t>
      </w:r>
    </w:p>
    <w:p>
      <w:pPr>
        <w:pStyle w:val="null3"/>
        <w:ind w:firstLine="480"/>
        <w:jc w:val="left"/>
      </w:pPr>
      <w:r>
        <w:rPr/>
        <w:t>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询价小组不应当停止评审的，可以通过项目电子化交易系统书面报告采购项目同级财政部门依法处理，并提供相关证明材料。</w:t>
      </w:r>
    </w:p>
    <w:p>
      <w:pPr>
        <w:pStyle w:val="null3"/>
        <w:ind w:firstLine="480"/>
        <w:outlineLvl w:val="3"/>
      </w:pPr>
      <w:r>
        <w:rPr>
          <w:b/>
          <w:sz w:val="24"/>
        </w:rPr>
        <w:t>4.3.1资格审查</w:t>
      </w:r>
    </w:p>
    <w:p>
      <w:pPr>
        <w:pStyle w:val="null3"/>
      </w:pPr>
    </w:p>
    <w:p>
      <w:pPr>
        <w:pStyle w:val="null3"/>
      </w:pPr>
    </w:p>
    <w:p>
      <w:pPr>
        <w:pStyle w:val="null3"/>
        <w:ind w:firstLine="480"/>
      </w:pPr>
      <w:r>
        <w:rPr/>
        <w:t>响应文件提交截止时间结束后，由询价小组依据法律法规和询价通知书的规定，对响应文件中的资格证明等进行审查，以确定被邀请参加询价采购活动的供应商名单并出具资格审查报告。</w:t>
      </w:r>
    </w:p>
    <w:p>
      <w:pPr>
        <w:pStyle w:val="null3"/>
        <w:ind w:firstLine="480"/>
        <w:outlineLvl w:val="3"/>
      </w:pPr>
      <w:r>
        <w:rPr>
          <w:b/>
          <w:sz w:val="24"/>
        </w:rPr>
        <w:t>4.3.1.1一般资格审查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提供财务状况报告（以下四者任选其一）：（1）可提供近两年任一年度经审计的财务报告（包含审计报告和审计报告中所涉及的财务报表和报表附注）。（2）可提供近两年任一年度投标人完整的全套财务报表（应当包括资产负债表、利润表、现金流量表、所有者权益变动表、附注）。（3）可提供截至投标截止日一年内银行出具的资信证明。（4）供应商注册时间截至投标截止日不足一年的，也可提供在工商管理部门备案的公司章程。</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3"/>
      </w:pPr>
      <w:r>
        <w:rPr>
          <w:b/>
          <w:sz w:val="24"/>
        </w:rPr>
        <w:t>4.3.1.2特殊资格审查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06"/>
            <w:gridSpan w:val="4"/>
          </w:tcPr>
          <w:p>
            <w:pPr>
              <w:pStyle w:val="null3"/>
            </w:pPr>
            <w:r>
              <w:rPr/>
              <w:t>无</w:t>
            </w:r>
          </w:p>
        </w:tc>
      </w:tr>
    </w:tbl>
    <w:p>
      <w:pPr>
        <w:pStyle w:val="null3"/>
        <w:ind w:firstLine="480"/>
        <w:outlineLvl w:val="3"/>
      </w:pPr>
      <w:r>
        <w:rPr>
          <w:b/>
          <w:sz w:val="24"/>
        </w:rPr>
        <w:t>4.3.1.3落实政府采购政策资格审查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ind w:firstLine="480"/>
        <w:outlineLvl w:val="3"/>
      </w:pPr>
      <w:r>
        <w:rPr>
          <w:b/>
          <w:sz w:val="24"/>
        </w:rPr>
        <w:t>4.3.2符合性审查</w:t>
      </w:r>
    </w:p>
    <w:p>
      <w:pPr>
        <w:pStyle w:val="null3"/>
        <w:ind w:firstLine="480"/>
      </w:pPr>
      <w:r>
        <w:rPr/>
        <w:t>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技术服务合同条款及其他商务要求应答表</w:t>
            </w:r>
          </w:p>
        </w:tc>
        <w:tc>
          <w:tcPr>
            <w:tcW w:type="dxa" w:w="3322"/>
          </w:tcPr>
          <w:p>
            <w:pPr>
              <w:pStyle w:val="null3"/>
            </w:pPr>
            <w:r>
              <w:rPr/>
              <w:t>是否响应</w:t>
            </w:r>
          </w:p>
        </w:tc>
        <w:tc>
          <w:tcPr>
            <w:tcW w:type="dxa" w:w="1661"/>
          </w:tcPr>
          <w:p>
            <w:pPr>
              <w:pStyle w:val="null3"/>
            </w:pPr>
            <w:r>
              <w:rPr/>
              <w:t>产品技术参数响应表 商务应答表</w:t>
            </w:r>
          </w:p>
        </w:tc>
      </w:tr>
      <w:tr>
        <w:tc>
          <w:tcPr>
            <w:tcW w:type="dxa" w:w="831"/>
          </w:tcPr>
          <w:p>
            <w:pPr>
              <w:pStyle w:val="null3"/>
            </w:pPr>
            <w:r>
              <w:rPr/>
              <w:t>2</w:t>
            </w:r>
          </w:p>
        </w:tc>
        <w:tc>
          <w:tcPr>
            <w:tcW w:type="dxa" w:w="2492"/>
          </w:tcPr>
          <w:p>
            <w:pPr>
              <w:pStyle w:val="null3"/>
            </w:pPr>
            <w:r>
              <w:rPr/>
              <w:t>符合询价通知书的其他实质性要求</w:t>
            </w:r>
          </w:p>
        </w:tc>
        <w:tc>
          <w:tcPr>
            <w:tcW w:type="dxa" w:w="3322"/>
          </w:tcPr>
          <w:p>
            <w:pPr>
              <w:pStyle w:val="null3"/>
            </w:pPr>
            <w:r>
              <w:rPr/>
              <w:t>是否响应</w:t>
            </w:r>
          </w:p>
        </w:tc>
        <w:tc>
          <w:tcPr>
            <w:tcW w:type="dxa" w:w="1661"/>
          </w:tcPr>
          <w:p>
            <w:pPr>
              <w:pStyle w:val="null3"/>
            </w:pPr>
            <w:r>
              <w:rPr/>
              <w:t>响应文件封面 分项报价表 报价表 投标（响应）函 供应商认为应提交的相关资料</w:t>
            </w:r>
          </w:p>
        </w:tc>
      </w:tr>
    </w:tbl>
    <w:p>
      <w:pPr>
        <w:pStyle w:val="null3"/>
        <w:ind w:firstLine="480"/>
        <w:outlineLvl w:val="3"/>
      </w:pPr>
      <w:r>
        <w:rPr>
          <w:b/>
          <w:sz w:val="24"/>
        </w:rPr>
        <w:t>4.3.3价格扣除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outlineLvl w:val="3"/>
      </w:pPr>
      <w:r>
        <w:rPr>
          <w:b/>
          <w:sz w:val="24"/>
        </w:rPr>
        <w:t>4.3.4解释、澄清、说明的有关问题</w:t>
      </w:r>
    </w:p>
    <w:p>
      <w:pPr>
        <w:pStyle w:val="null3"/>
        <w:ind w:firstLine="480"/>
      </w:pPr>
      <w:r>
        <w:rPr/>
        <w:t>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t>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t>（一）供应商响应文件中不响应询价通知书规定的技术参数指标和商务应答；</w:t>
      </w:r>
    </w:p>
    <w:p>
      <w:pPr>
        <w:pStyle w:val="null3"/>
        <w:ind w:firstLine="480"/>
      </w:pPr>
      <w:r>
        <w:rPr/>
        <w:t>（二）供应商响应文件中未提供的证明其是否符合询价通知书资格、符合性规定要求的相关材料。</w:t>
      </w:r>
    </w:p>
    <w:p>
      <w:pPr>
        <w:pStyle w:val="null3"/>
        <w:ind w:firstLine="480"/>
      </w:pPr>
      <w:r>
        <w:rPr/>
        <w:t>（三）供应商响应文件中的材料因印刷、影印等不清晰而难以辨认的。</w:t>
      </w:r>
    </w:p>
    <w:p>
      <w:pPr>
        <w:pStyle w:val="null3"/>
        <w:ind w:firstLine="480"/>
      </w:pPr>
      <w:r>
        <w:rPr/>
        <w:t>四、报价出现下列情况的，按以下原则处理：</w:t>
      </w:r>
    </w:p>
    <w:p>
      <w:pPr>
        <w:pStyle w:val="null3"/>
        <w:ind w:firstLine="480"/>
      </w:pPr>
      <w:r>
        <w:rPr/>
        <w:t>（一）大写金额和小写金额不一致的，以大写金额为准，但大写金额出现文字错误，导致金额无法判断的除外；</w:t>
      </w:r>
    </w:p>
    <w:p>
      <w:pPr>
        <w:pStyle w:val="null3"/>
        <w:ind w:firstLine="480"/>
      </w:pPr>
      <w:r>
        <w:rPr/>
        <w:t>（二）单价金额小数点或者百分比有明显错位的，以开启一览表总价为准，并修改单价；</w:t>
      </w:r>
    </w:p>
    <w:p>
      <w:pPr>
        <w:pStyle w:val="null3"/>
        <w:ind w:firstLine="480"/>
      </w:pPr>
      <w:r>
        <w:rPr/>
        <w:t>（三）总价金额与按单价汇总金额不一致的，以单价金额计算结果为准。</w:t>
      </w:r>
    </w:p>
    <w:p>
      <w:pPr>
        <w:pStyle w:val="null3"/>
        <w:ind w:firstLine="480"/>
      </w:pPr>
      <w:r>
        <w:rPr/>
        <w:t>同时出现两种以上不一致的，按照前款规定的顺序修正。修正后的报价经供应商确认后产生约束力，供应商不确认的，其响应无效。</w:t>
      </w:r>
    </w:p>
    <w:p>
      <w:pPr>
        <w:pStyle w:val="null3"/>
        <w:ind w:firstLine="480"/>
      </w:pPr>
      <w:r>
        <w:rPr/>
        <w:t>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t>六、询价小组应当积极履行澄清、说明或者更正的职责，不得滥用权力。</w:t>
      </w:r>
    </w:p>
    <w:p>
      <w:pPr>
        <w:pStyle w:val="null3"/>
        <w:ind w:firstLine="480"/>
        <w:outlineLvl w:val="3"/>
      </w:pPr>
      <w:r>
        <w:rPr>
          <w:b/>
          <w:sz w:val="24"/>
        </w:rPr>
        <w:t>4.3.5复核</w:t>
      </w:r>
    </w:p>
    <w:p>
      <w:pPr>
        <w:pStyle w:val="null3"/>
        <w:ind w:firstLine="480"/>
      </w:pPr>
      <w:r>
        <w:rPr/>
        <w:t>一、评审结束后，询价小组应当进行复核，特别要对拟推荐为成交候选供应商的、报价最低的、响应文件被认定为无效的进行重点复核。</w:t>
      </w:r>
    </w:p>
    <w:p>
      <w:pPr>
        <w:pStyle w:val="null3"/>
        <w:ind w:firstLine="480"/>
      </w:pPr>
      <w:r>
        <w:rPr/>
        <w:t>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t>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ind w:firstLine="480"/>
        <w:outlineLvl w:val="3"/>
      </w:pPr>
      <w:r>
        <w:rPr>
          <w:b/>
          <w:sz w:val="24"/>
        </w:rPr>
        <w:t>4.3.6推荐成交候选供应商</w:t>
      </w:r>
    </w:p>
    <w:p>
      <w:pPr>
        <w:pStyle w:val="null3"/>
      </w:pPr>
    </w:p>
    <w:p>
      <w:pPr>
        <w:pStyle w:val="null3"/>
      </w:pPr>
    </w:p>
    <w:p>
      <w:pPr>
        <w:pStyle w:val="null3"/>
      </w:pPr>
      <w:r>
        <w:rPr/>
        <w:t>采购包1：</w:t>
      </w:r>
      <w:r>
        <w:rPr/>
        <w:t>候选供应商数量3名。</w:t>
      </w:r>
    </w:p>
    <w:p>
      <w:pPr>
        <w:pStyle w:val="null3"/>
        <w:ind w:firstLine="480"/>
        <w:jc w:val="left"/>
      </w:pPr>
      <w:r>
        <w:rPr/>
        <w:t>“本项目”询价小组应当按经评审的报价由低到高排序，推荐成交候选供应商，并编写询价报告。报价相同的，按供应商提供的优先采购产品认证有效证书数量由多到少顺序推荐。报价且提供的优先采购产品认证有效证书数量相同的，成交候选供应商并列。</w:t>
      </w:r>
    </w:p>
    <w:p>
      <w:pPr>
        <w:pStyle w:val="null3"/>
        <w:ind w:firstLine="480"/>
        <w:jc w:val="left"/>
      </w:pPr>
      <w:r>
        <w:rPr/>
        <w:t>经评审的报价是指对供应商报价完成价格修正和落实政府采购政策进行的价格扣除后的报价。</w:t>
      </w:r>
    </w:p>
    <w:p>
      <w:pPr>
        <w:pStyle w:val="null3"/>
        <w:ind w:firstLine="480"/>
        <w:outlineLvl w:val="3"/>
      </w:pPr>
      <w:r>
        <w:rPr>
          <w:b/>
          <w:sz w:val="24"/>
        </w:rPr>
        <w:t>4.3.7编写询价报告</w:t>
      </w:r>
    </w:p>
    <w:p>
      <w:pPr>
        <w:pStyle w:val="null3"/>
        <w:ind w:firstLine="480"/>
      </w:pPr>
      <w:r>
        <w:rPr/>
        <w:t>询价小组项目在电子化交易系统中编制评审情况，生成询价报告。</w:t>
      </w:r>
    </w:p>
    <w:p>
      <w:pPr>
        <w:pStyle w:val="null3"/>
        <w:ind w:firstLine="480"/>
      </w:pPr>
      <w:r>
        <w:rPr/>
        <w:t>询价报告是询价小组根据全体成员签字的原始评审记录和评审结果编写的报告，其主要内容包括：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二、响应文件开启日期和地点，询价小组成员名单；</w:t>
      </w:r>
    </w:p>
    <w:p>
      <w:pPr>
        <w:pStyle w:val="null3"/>
        <w:ind w:firstLine="480"/>
      </w:pPr>
      <w:r>
        <w:rPr/>
        <w:t>三、提交报价的供应商名单及报价情况，获取询价通知书但未提交报价的供应商名单；</w:t>
      </w:r>
    </w:p>
    <w:p>
      <w:pPr>
        <w:pStyle w:val="null3"/>
        <w:ind w:firstLine="480"/>
      </w:pPr>
      <w:r>
        <w:rPr/>
        <w:t>四、评审情况记录和说明，包括对供应商的资格审查情况、供应商响应文件评审情况、询价采购活动情况、报价情况等；</w:t>
      </w:r>
    </w:p>
    <w:p>
      <w:pPr>
        <w:pStyle w:val="null3"/>
        <w:ind w:firstLine="480"/>
      </w:pPr>
      <w:r>
        <w:rPr/>
        <w:t>五、提出的成交候选供应商的排序名单及理由。</w:t>
      </w:r>
    </w:p>
    <w:p>
      <w:pPr>
        <w:pStyle w:val="null3"/>
        <w:ind w:firstLine="480"/>
      </w:pPr>
      <w:r>
        <w:rPr/>
        <w:t>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ind w:firstLine="480"/>
        <w:outlineLvl w:val="2"/>
      </w:pPr>
      <w:r>
        <w:rPr>
          <w:b/>
          <w:sz w:val="28"/>
        </w:rPr>
        <w:t>4.4争议处理规则</w:t>
      </w:r>
    </w:p>
    <w:p>
      <w:pPr>
        <w:pStyle w:val="null3"/>
        <w:ind w:firstLine="480"/>
      </w:pPr>
      <w:r>
        <w:rPr/>
        <w:t>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ind w:firstLine="480"/>
        <w:outlineLvl w:val="2"/>
      </w:pPr>
      <w:r>
        <w:rPr>
          <w:b/>
          <w:sz w:val="28"/>
        </w:rPr>
        <w:t>4.5终止采购活动</w:t>
      </w:r>
    </w:p>
    <w:p>
      <w:pPr>
        <w:pStyle w:val="null3"/>
        <w:ind w:firstLine="480"/>
      </w:pPr>
      <w:r>
        <w:rPr/>
        <w:t>出现下列情形之一的，终止询价采购活动：</w:t>
      </w:r>
    </w:p>
    <w:p>
      <w:pPr>
        <w:pStyle w:val="null3"/>
        <w:ind w:firstLine="480"/>
      </w:pPr>
      <w:r>
        <w:rPr/>
        <w:t>一、因情况变化，不再符合规定的询价采购方式适用情形的；</w:t>
      </w:r>
    </w:p>
    <w:p>
      <w:pPr>
        <w:pStyle w:val="null3"/>
        <w:ind w:firstLine="480"/>
      </w:pPr>
      <w:r>
        <w:rPr/>
        <w:t>二、出现影响采购公正的违法、违规行为的；</w:t>
      </w:r>
    </w:p>
    <w:p>
      <w:pPr>
        <w:pStyle w:val="null3"/>
        <w:ind w:firstLine="480"/>
      </w:pPr>
      <w:r>
        <w:rPr/>
        <w:t>三、在采购过程中符合竞争要求的供应商或者报价未超过采购预算的供应商不足3家的。</w:t>
      </w:r>
    </w:p>
    <w:p>
      <w:pPr>
        <w:pStyle w:val="null3"/>
        <w:ind w:firstLine="480"/>
        <w:outlineLvl w:val="2"/>
      </w:pPr>
      <w:r>
        <w:rPr>
          <w:b/>
          <w:sz w:val="28"/>
        </w:rPr>
        <w:t>4.6确定成交供应商</w:t>
      </w:r>
    </w:p>
    <w:p>
      <w:pPr>
        <w:pStyle w:val="null3"/>
      </w:pPr>
    </w:p>
    <w:p>
      <w:pPr>
        <w:pStyle w:val="null3"/>
      </w:pPr>
    </w:p>
    <w:p>
      <w:pPr>
        <w:pStyle w:val="null3"/>
      </w:pPr>
      <w:r>
        <w:rPr/>
        <w:t>一、代理机构在评审结束后2个工作日内将评审报告送采购人确认。</w:t>
      </w:r>
    </w:p>
    <w:p>
      <w:pPr>
        <w:pStyle w:val="null3"/>
      </w:pPr>
      <w:r>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t>三、成交候选供应商并列的，由采购人、询价小组随机抽取确定成交供应商。</w:t>
      </w:r>
    </w:p>
    <w:p>
      <w:pPr>
        <w:pStyle w:val="null3"/>
      </w:pPr>
      <w:r>
        <w:rPr/>
        <w:t>四、采购人逾期未确定成交供应商且不提出异议的，视为确定评审报告提出的报价最低的供应商为成交供应商。</w:t>
      </w:r>
    </w:p>
    <w:p>
      <w:pPr>
        <w:pStyle w:val="null3"/>
        <w:ind w:firstLine="480"/>
        <w:outlineLvl w:val="2"/>
      </w:pPr>
      <w:r>
        <w:rPr>
          <w:b/>
          <w:sz w:val="28"/>
        </w:rPr>
        <w:t>4.7询价小组成员义务</w:t>
      </w:r>
    </w:p>
    <w:p>
      <w:pPr>
        <w:pStyle w:val="null3"/>
        <w:ind w:firstLine="480"/>
      </w:pPr>
      <w:r>
        <w:rPr/>
        <w:t>询价小组成员在政府采购活动中承担以下义务：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4.8询价采购活动纪律</w:t>
      </w:r>
    </w:p>
    <w:p>
      <w:pPr>
        <w:pStyle w:val="null3"/>
        <w:ind w:firstLine="480"/>
      </w:pPr>
      <w:r>
        <w:rPr/>
        <w:t>询价小组成员在政府采购活动中应当遵守以下工作纪律：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outlineLvl w:val="1"/>
      </w:pPr>
      <w:r>
        <w:rPr>
          <w:b/>
          <w:sz w:val="36"/>
        </w:rPr>
        <w:t>第五章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详见附件：供应商认为应提交的相关资料</w:t>
      </w:r>
    </w:p>
    <w:p>
      <w:pPr>
        <w:pStyle w:val="null3"/>
      </w:pPr>
    </w:p>
    <w:p>
      <w:pPr>
        <w:pStyle w:val="null3"/>
        <w:ind w:firstLine="480"/>
      </w:pPr>
      <w:r>
        <w:rPr/>
        <w:t xml:space="preserve"> </w:t>
      </w:r>
    </w:p>
    <w:p>
      <w:pPr>
        <w:pStyle w:val="null3"/>
        <w:ind w:firstLine="480"/>
        <w:outlineLvl w:val="1"/>
      </w:pPr>
      <w:r>
        <w:rPr>
          <w:b/>
          <w:sz w:val="36"/>
        </w:rPr>
        <w:t>第六章 拟签订的合同文本</w:t>
      </w:r>
    </w:p>
    <w:p>
      <w:pPr>
        <w:pStyle w:val="null3"/>
      </w:pPr>
    </w:p>
    <w:p>
      <w:pPr>
        <w:pStyle w:val="null3"/>
      </w:pPr>
    </w:p>
    <w:p>
      <w:pPr>
        <w:pStyle w:val="null3"/>
      </w:pPr>
      <w:r>
        <w:rPr/>
        <w:t>详见附件：采购合同（草案）（货物）.docx</w:t>
      </w:r>
    </w:p>
    <w:p>
      <w:pPr>
        <w:pStyle w:val="null3"/>
      </w:pPr>
    </w:p>
    <w:p>
      <w:pPr>
        <w:pStyle w:val="null3"/>
        <w:ind w:firstLine="480"/>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numbering.xml" Type="http://schemas.openxmlformats.org/officeDocument/2006/relationships/numbering"/><Relationship Id="rId16" Target="media/image10.png" Type="http://schemas.openxmlformats.org/officeDocument/2006/relationships/image"/><Relationship Id="rId17" Target="media/image11.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