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firstLine="0" w:firstLineChars="0"/>
        <w:jc w:val="center"/>
        <w:rPr>
          <w:rFonts w:ascii="Times New Roman" w:hAnsi="Times New Roman" w:cs="Times New Roman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>年部门预算编制说明</w:t>
      </w: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720"/>
        <w:jc w:val="center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80" w:lineRule="atLeast"/>
        <w:ind w:firstLine="0" w:firstLineChars="0"/>
        <w:jc w:val="center"/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巴中市巴州区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南阳国有林场</w:t>
      </w:r>
    </w:p>
    <w:p>
      <w:pPr>
        <w:widowControl/>
        <w:wordWrap w:val="0"/>
        <w:spacing w:line="480" w:lineRule="atLeast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435" w:charSpace="0"/>
        </w:sect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</w:p>
    <w:sdt>
      <w:sdtPr>
        <w:rPr>
          <w:rFonts w:ascii="Times New Roman" w:hAnsi="Times New Roman" w:cs="Times New Roman"/>
          <w:lang w:val="zh-CN"/>
        </w:rPr>
        <w:id w:val="1077172335"/>
        <w:docPartObj>
          <w:docPartGallery w:val="Table of Contents"/>
          <w:docPartUnique/>
        </w:docPartObj>
      </w:sdtPr>
      <w:sdtEndPr>
        <w:rPr>
          <w:rFonts w:ascii="Times New Roman" w:hAnsi="Times New Roman" w:eastAsia="仿宋_GB2312" w:cs="Times New Roman"/>
          <w:b/>
          <w:bCs/>
          <w:color w:val="auto"/>
          <w:kern w:val="2"/>
          <w:szCs w:val="22"/>
          <w:lang w:val="zh-CN"/>
        </w:rPr>
      </w:sdtEndPr>
      <w:sdtContent>
        <w:p>
          <w:pPr>
            <w:pStyle w:val="11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Autospacing="0" w:afterAutospacing="0" w:line="560" w:lineRule="exact"/>
            <w:ind w:firstLine="720" w:firstLineChars="300"/>
            <w:jc w:val="center"/>
            <w:textAlignment w:val="auto"/>
            <w:rPr>
              <w:rFonts w:hint="eastAsia" w:ascii="方正小标宋_GBK" w:hAnsi="方正小标宋_GBK" w:eastAsia="方正小标宋_GBK" w:cs="方正小标宋_GBK"/>
              <w:b/>
              <w:bCs/>
              <w:color w:val="000000"/>
              <w:sz w:val="44"/>
              <w:szCs w:val="44"/>
            </w:rPr>
          </w:pPr>
          <w:r>
            <w:rPr>
              <w:rFonts w:hint="eastAsia" w:ascii="方正小标宋_GBK" w:hAnsi="方正小标宋_GBK" w:eastAsia="方正小标宋_GBK" w:cs="方正小标宋_GBK"/>
              <w:b/>
              <w:bCs/>
              <w:color w:val="000000"/>
              <w:sz w:val="44"/>
              <w:szCs w:val="44"/>
            </w:rPr>
            <w:t xml:space="preserve">目  </w:t>
          </w:r>
          <w:r>
            <w:rPr>
              <w:rFonts w:hint="eastAsia" w:ascii="方正小标宋_GBK" w:hAnsi="方正小标宋_GBK" w:eastAsia="方正小标宋_GBK" w:cs="方正小标宋_GBK"/>
              <w:b/>
              <w:bCs/>
              <w:color w:val="000000"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方正小标宋_GBK" w:hAnsi="方正小标宋_GBK" w:eastAsia="方正小标宋_GBK" w:cs="方正小标宋_GBK"/>
              <w:b/>
              <w:bCs/>
              <w:color w:val="000000"/>
              <w:sz w:val="44"/>
              <w:szCs w:val="44"/>
            </w:rPr>
            <w:t>录</w:t>
          </w:r>
        </w:p>
        <w:p>
          <w:pPr>
            <w:pStyle w:val="11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Autospacing="0" w:afterAutospacing="0" w:line="560" w:lineRule="exact"/>
            <w:ind w:firstLine="1325" w:firstLineChars="300"/>
            <w:jc w:val="center"/>
            <w:textAlignment w:val="auto"/>
            <w:rPr>
              <w:rFonts w:hint="eastAsia" w:ascii="方正小标宋_GBK" w:hAnsi="方正小标宋_GBK" w:eastAsia="方正小标宋_GBK" w:cs="方正小标宋_GBK"/>
              <w:b/>
              <w:bCs/>
              <w:color w:val="000000"/>
              <w:sz w:val="44"/>
              <w:szCs w:val="44"/>
            </w:rPr>
          </w:pPr>
        </w:p>
        <w:p>
          <w:pPr>
            <w:pStyle w:val="11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Autospacing="0" w:afterAutospacing="0" w:line="560" w:lineRule="exact"/>
            <w:ind w:left="0" w:leftChars="0" w:firstLine="0" w:firstLineChars="0"/>
            <w:jc w:val="both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rPr>
              <w:rFonts w:ascii="Times New Roman" w:hAnsi="Times New Roman" w:cs="Times New Roman"/>
              <w:sz w:val="28"/>
              <w:szCs w:val="21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1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separate"/>
          </w:r>
          <w:r>
            <w:fldChar w:fldCharType="begin"/>
          </w:r>
          <w:r>
            <w:instrText xml:space="preserve"> HYPERLINK \l "_Toc78468494"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一、基本职能及主要工作</w:t>
          </w:r>
          <w:r>
            <w:rPr>
              <w:rStyle w:val="13"/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......................................................</w:t>
          </w:r>
          <w:r>
            <w:rPr>
              <w:rStyle w:val="13"/>
              <w:rFonts w:hint="eastAsia" w:ascii="Times New Roman" w:hAnsi="Times New Roman" w:eastAsia="宋体" w:cs="Times New Roman"/>
              <w:kern w:val="2"/>
              <w:sz w:val="28"/>
              <w:szCs w:val="21"/>
              <w:lang w:val="en-US" w:eastAsia="zh-CN" w:bidi="ar-SA"/>
            </w:rPr>
            <w:t>.........</w:t>
          </w:r>
          <w:r>
            <w:rPr>
              <w:rStyle w:val="13"/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...........1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"_Toc78468495"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（一）区</w:t>
          </w:r>
          <w:r>
            <w:rPr>
              <w:rStyle w:val="13"/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林业局</w:t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职能简介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2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"_Toc78468496"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（二）区</w:t>
          </w:r>
          <w:r>
            <w:rPr>
              <w:rStyle w:val="13"/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林业局</w:t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202</w:t>
          </w:r>
          <w:r>
            <w:rPr>
              <w:rStyle w:val="13"/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4</w:t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年重点工作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"_Toc78468497"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二、部门预算单位构成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"_Toc78468498"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三、收支预算情况说明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"_Toc78468499"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（一）收入预算情况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"_Toc78468500"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（二）支出预算情况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"_Toc78468498" </w:instrText>
          </w:r>
          <w:r>
            <w:fldChar w:fldCharType="separate"/>
          </w:r>
          <w:r>
            <w:rPr>
              <w:rStyle w:val="13"/>
              <w:rFonts w:hint="eastAsia" w:ascii="Times New Roman" w:hAnsi="Times New Roman" w:eastAsia="宋体" w:cs="Times New Roman"/>
              <w:sz w:val="28"/>
              <w:szCs w:val="21"/>
              <w:lang w:val="en-US" w:eastAsia="zh-CN"/>
            </w:rPr>
            <w:t>四</w:t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、</w:t>
          </w:r>
          <w:r>
            <w:rPr>
              <w:rStyle w:val="13"/>
              <w:rFonts w:hint="eastAsia" w:ascii="Times New Roman" w:hAnsi="Times New Roman" w:eastAsia="宋体" w:cs="Times New Roman"/>
              <w:kern w:val="2"/>
              <w:sz w:val="28"/>
              <w:szCs w:val="21"/>
              <w:lang w:val="en-US" w:eastAsia="zh-CN" w:bidi="ar-SA"/>
            </w:rPr>
            <w:t>财政拨款收支预算情况说明....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"_Toc78468498" </w:instrText>
          </w:r>
          <w:r>
            <w:fldChar w:fldCharType="separate"/>
          </w:r>
          <w:r>
            <w:rPr>
              <w:rStyle w:val="13"/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五</w:t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、</w:t>
          </w:r>
          <w:r>
            <w:rPr>
              <w:rStyle w:val="13"/>
              <w:rFonts w:hint="eastAsia" w:ascii="Times New Roman" w:hAnsi="Times New Roman" w:eastAsia="宋体" w:cs="Times New Roman"/>
              <w:kern w:val="2"/>
              <w:sz w:val="28"/>
              <w:szCs w:val="21"/>
              <w:lang w:val="en-US" w:eastAsia="zh-CN" w:bidi="ar-SA"/>
            </w:rPr>
            <w:t>一般公共预算当年拨款情况说明......................................................3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"_Toc78468501"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（一）一般公共预算当年拨款规模变化情况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3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"_Toc78468502"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（二）一般公共预算当年拨款结构情况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4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  <w:r>
            <w:fldChar w:fldCharType="begin"/>
          </w:r>
          <w:r>
            <w:instrText xml:space="preserve"> HYPERLINK \l "_Toc78468503"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（三）一般公共预算当年拨款具体使用情况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4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/>
              <w:sz w:val="28"/>
              <w:szCs w:val="21"/>
            </w:rPr>
          </w:pPr>
          <w:r>
            <w:fldChar w:fldCharType="begin"/>
          </w:r>
          <w:r>
            <w:instrText xml:space="preserve"> HYPERLINK \l "_Toc78468498" </w:instrText>
          </w:r>
          <w:r>
            <w:fldChar w:fldCharType="separate"/>
          </w:r>
          <w:r>
            <w:rPr>
              <w:rStyle w:val="13"/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六</w:t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、</w:t>
          </w:r>
          <w:r>
            <w:rPr>
              <w:rStyle w:val="13"/>
              <w:rFonts w:hint="eastAsia" w:ascii="Times New Roman" w:hAnsi="Times New Roman" w:eastAsia="宋体" w:cs="Times New Roman"/>
              <w:sz w:val="28"/>
              <w:szCs w:val="21"/>
            </w:rPr>
            <w:t>一般公共预算基本支出情况说明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4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"_Toc78468505"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七、“三公”经费财政拨款预算安排情况说明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5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"_Toc78468506"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八、政府性基金预算支出情况说明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6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"_Toc78468507"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九、其他重要事项的情况说明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6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"_Toc78468508"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（一）机关运行经费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..6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"_Toc78468509"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（二）政府采购情况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6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"_Toc78468510"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（三）国有资产占有使用情况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6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  <w:rPr>
              <w:rFonts w:ascii="Times New Roman" w:hAnsi="Times New Roman" w:cs="Times New Roman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\l "_Toc78468511"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（四）绩效目标设置情况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6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Times New Roman" w:hAnsi="Times New Roman" w:eastAsia="仿宋_GB2312" w:cs="Times New Roman"/>
              <w:sz w:val="20"/>
              <w:szCs w:val="21"/>
              <w:lang w:val="en-US" w:eastAsia="zh-CN"/>
            </w:rPr>
          </w:pPr>
          <w:r>
            <w:fldChar w:fldCharType="begin"/>
          </w:r>
          <w:r>
            <w:instrText xml:space="preserve"> HYPERLINK \l "_Toc78468512"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/>
              <w:sz w:val="28"/>
              <w:szCs w:val="21"/>
            </w:rPr>
            <w:t>十、名词解释</w:t>
          </w:r>
          <w:r>
            <w:rPr>
              <w:rFonts w:ascii="Times New Roman" w:hAnsi="Times New Roman" w:cs="Times New Roman"/>
              <w:sz w:val="28"/>
              <w:szCs w:val="21"/>
            </w:rPr>
            <w:tab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.....</w:t>
          </w:r>
          <w:r>
            <w:rPr>
              <w:rFonts w:ascii="Times New Roman" w:hAnsi="Times New Roman" w:cs="Times New Roman"/>
              <w:sz w:val="28"/>
              <w:szCs w:val="21"/>
            </w:rPr>
            <w:fldChar w:fldCharType="end"/>
          </w:r>
          <w:r>
            <w:rPr>
              <w:rFonts w:hint="eastAsia" w:ascii="Times New Roman" w:hAnsi="Times New Roman" w:cs="Times New Roman"/>
              <w:sz w:val="28"/>
              <w:szCs w:val="21"/>
              <w:lang w:val="en-US" w:eastAsia="zh-CN"/>
            </w:rPr>
            <w:t>6</w:t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paperSrc/>
              <w:pgNumType w:start="1"/>
              <w:cols w:space="0" w:num="1"/>
              <w:rtlGutter w:val="0"/>
              <w:docGrid w:type="lines" w:linePitch="312" w:charSpace="0"/>
            </w:sectPr>
          </w:pPr>
          <w:r>
            <w:rPr>
              <w:rFonts w:ascii="Times New Roman" w:hAnsi="Times New Roman" w:cs="Times New Roman"/>
              <w:b/>
              <w:bCs/>
              <w:sz w:val="28"/>
              <w:szCs w:val="21"/>
              <w:lang w:val="zh-CN"/>
            </w:rPr>
            <w:fldChar w:fldCharType="end"/>
          </w:r>
        </w:p>
      </w:sdtContent>
    </w:sdt>
    <w:p>
      <w:pPr>
        <w:widowControl/>
        <w:spacing w:line="480" w:lineRule="atLeas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巴中市巴州区</w:t>
      </w: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南阳国有林场</w:t>
      </w:r>
      <w:r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年部门预算</w:t>
      </w:r>
    </w:p>
    <w:p>
      <w:pPr>
        <w:widowControl/>
        <w:spacing w:line="480" w:lineRule="atLeas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编制说明</w:t>
      </w:r>
    </w:p>
    <w:p>
      <w:pPr>
        <w:widowControl/>
        <w:wordWrap w:val="0"/>
        <w:spacing w:line="480" w:lineRule="atLeast"/>
        <w:ind w:firstLine="0" w:firstLineChars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3"/>
        <w:rPr>
          <w:rFonts w:ascii="Times New Roman" w:hAnsi="Times New Roman" w:eastAsia="仿宋_GB2312" w:cs="Times New Roman"/>
        </w:rPr>
      </w:pPr>
      <w:bookmarkStart w:id="0" w:name="_Toc78468494"/>
      <w:r>
        <w:rPr>
          <w:rFonts w:ascii="Times New Roman" w:hAnsi="Times New Roman" w:cs="Times New Roman"/>
        </w:rPr>
        <w:t>一、基本职能及主要工作</w:t>
      </w:r>
      <w:bookmarkEnd w:id="0"/>
    </w:p>
    <w:p>
      <w:pPr>
        <w:pStyle w:val="3"/>
        <w:ind w:firstLine="643"/>
        <w:rPr>
          <w:rFonts w:ascii="Times New Roman" w:hAnsi="Times New Roman" w:cs="Times New Roman"/>
        </w:rPr>
      </w:pPr>
      <w:bookmarkStart w:id="1" w:name="_Toc78468495"/>
      <w:r>
        <w:rPr>
          <w:rFonts w:ascii="Times New Roman" w:hAnsi="Times New Roman" w:cs="Times New Roman"/>
        </w:rPr>
        <w:t>（一）区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职能简介</w:t>
      </w:r>
      <w:bookmarkEnd w:id="1"/>
    </w:p>
    <w:p>
      <w:pPr>
        <w:snapToGrid w:val="0"/>
        <w:spacing w:line="520" w:lineRule="exact"/>
        <w:ind w:firstLine="643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1．主要职能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南阳国有林场始建于1958年12月，是巴州区唯一的国有林场，是全市距巴中城区最近的国家森林公园。属中型林场，2022年10月与原巴中市巴州区国有林管理所合并，成立新的巴中市巴州区南阳国有林场。现下辖7个工区、28个森林管护站，总面积2.39万亩（其中公益林1.9995万亩），森林蓄积18万立方米，森林覆盖率98%。辖区内海拔345-1430米，与2个县（区）、9个乡镇、23个行政村接壤。其主要职能职责：</w:t>
      </w:r>
    </w:p>
    <w:p>
      <w:pPr>
        <w:pStyle w:val="7"/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（1）负责贯彻执行国家、省、市、区有关林业政策方针和国家法律、法规、地方各级人民政府制定的规范性文件精神，研究拟订林场中长期发展规划。</w:t>
      </w:r>
    </w:p>
    <w:p>
      <w:pPr>
        <w:pStyle w:val="7"/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（2）以国有森林资源管理保护为核心，负责森林资源监管和管护、培育森林资源、森林抚育工作，承担造林、科学护林、严格保护工作，禁止公益林和天然林商业性采伐。</w:t>
      </w:r>
    </w:p>
    <w:p>
      <w:pPr>
        <w:pStyle w:val="7"/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（3）负责林场管护区域内的森林防火及扑救，病虫害防治工作。</w:t>
      </w:r>
    </w:p>
    <w:p>
      <w:pPr>
        <w:pStyle w:val="7"/>
        <w:numPr>
          <w:ilvl w:val="0"/>
          <w:numId w:val="0"/>
        </w:numPr>
        <w:ind w:firstLine="320" w:firstLineChars="100"/>
        <w:rPr>
          <w:rFonts w:ascii="Times New Roman" w:hAnsi="Times New Roman" w:cs="Times New Roma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（4）负责林场内陆生野生动植物资源的保护，组织开展林场森林资源、优质林木质资源和陆生野生动植物资源的调查研究、动态监测和科学评估工作。</w:t>
      </w:r>
    </w:p>
    <w:p>
      <w:pPr>
        <w:snapToGrid w:val="0"/>
        <w:spacing w:line="520" w:lineRule="exact"/>
        <w:ind w:firstLine="643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2．人员情况</w:t>
      </w:r>
      <w:bookmarkStart w:id="22" w:name="_GoBack"/>
      <w:bookmarkEnd w:id="22"/>
    </w:p>
    <w:p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本单位为全额拨款的事业单位，共有全额事业财拨编制数</w:t>
      </w:r>
      <w:r>
        <w:rPr>
          <w:rFonts w:hint="eastAsia" w:ascii="Times New Roman" w:hAnsi="Times New Roman" w:cs="Times New Roman"/>
          <w:szCs w:val="32"/>
          <w:lang w:val="en-US" w:eastAsia="zh-CN"/>
        </w:rPr>
        <w:t>22</w:t>
      </w:r>
      <w:r>
        <w:rPr>
          <w:rFonts w:ascii="Times New Roman" w:hAnsi="Times New Roman" w:cs="Times New Roman"/>
          <w:szCs w:val="32"/>
        </w:rPr>
        <w:t>人。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目前我场有在职职工20人（其中场部管理人员8人、一线护林人员12人），临聘森林管护人员23人，临聘炊事员1人，临聘驾驭员1人，退休人员49人。</w:t>
      </w:r>
    </w:p>
    <w:p>
      <w:pPr>
        <w:pStyle w:val="3"/>
        <w:numPr>
          <w:ilvl w:val="0"/>
          <w:numId w:val="1"/>
        </w:numPr>
        <w:ind w:firstLine="643"/>
        <w:rPr>
          <w:rFonts w:ascii="Times New Roman" w:hAnsi="Times New Roman" w:cs="Times New Roman"/>
        </w:rPr>
      </w:pPr>
      <w:bookmarkStart w:id="2" w:name="_Toc78468496"/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年重点工作</w:t>
      </w:r>
      <w:bookmarkEnd w:id="2"/>
    </w:p>
    <w:p>
      <w:pPr>
        <w:ind w:firstLine="64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一是加强防火设施建设。维修改造酢坊沟工区泥碎防火道2.2公里；</w:t>
      </w:r>
      <w:r>
        <w:rPr>
          <w:rFonts w:hint="eastAsia" w:ascii="Times New Roman" w:hAnsi="Times New Roman" w:cs="Times New Roman"/>
          <w:szCs w:val="32"/>
          <w:lang w:val="en-US" w:eastAsia="zh-CN"/>
        </w:rPr>
        <w:t>推进</w:t>
      </w:r>
      <w:r>
        <w:rPr>
          <w:rFonts w:hint="eastAsia" w:ascii="Times New Roman" w:hAnsi="Times New Roman" w:cs="Times New Roman"/>
          <w:szCs w:val="32"/>
        </w:rPr>
        <w:t>古楼山工区600平方米森林消防水池</w:t>
      </w:r>
      <w:r>
        <w:rPr>
          <w:rFonts w:hint="eastAsia" w:ascii="Times New Roman" w:hAnsi="Times New Roman" w:cs="Times New Roman"/>
          <w:szCs w:val="32"/>
          <w:lang w:val="en-US" w:eastAsia="zh-CN"/>
        </w:rPr>
        <w:t>建设</w:t>
      </w:r>
      <w:r>
        <w:rPr>
          <w:rFonts w:hint="eastAsia" w:ascii="Times New Roman" w:hAnsi="Times New Roman" w:cs="Times New Roman"/>
          <w:szCs w:val="32"/>
        </w:rPr>
        <w:t>；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</w:t>
      </w:r>
      <w:r>
        <w:rPr>
          <w:rFonts w:hint="eastAsia" w:ascii="Times New Roman" w:hAnsi="Times New Roman" w:cs="Times New Roman"/>
          <w:szCs w:val="32"/>
        </w:rPr>
        <w:t>古楼山工区和天马山工区及五马槽工区部分区域</w:t>
      </w:r>
      <w:r>
        <w:rPr>
          <w:rFonts w:hint="eastAsia" w:ascii="Times New Roman" w:hAnsi="Times New Roman" w:cs="Times New Roman"/>
          <w:szCs w:val="32"/>
          <w:lang w:val="en-US" w:eastAsia="zh-CN"/>
        </w:rPr>
        <w:t>林下可</w:t>
      </w:r>
      <w:r>
        <w:rPr>
          <w:rFonts w:hint="eastAsia" w:ascii="Times New Roman" w:hAnsi="Times New Roman" w:cs="Times New Roman"/>
          <w:szCs w:val="32"/>
        </w:rPr>
        <w:t>燃物清理；新建</w:t>
      </w:r>
      <w:r>
        <w:rPr>
          <w:rFonts w:hint="eastAsia" w:ascii="Times New Roman" w:hAnsi="Times New Roman" w:cs="Times New Roman"/>
          <w:szCs w:val="32"/>
          <w:lang w:val="en-US" w:eastAsia="zh-CN"/>
        </w:rPr>
        <w:t>26</w:t>
      </w:r>
      <w:r>
        <w:rPr>
          <w:rFonts w:hint="eastAsia" w:ascii="Times New Roman" w:hAnsi="Times New Roman" w:cs="Times New Roman"/>
          <w:szCs w:val="32"/>
        </w:rPr>
        <w:t>公里森林草原防火</w:t>
      </w:r>
      <w:bookmarkStart w:id="3" w:name="_Hlk157767556"/>
      <w:r>
        <w:rPr>
          <w:rFonts w:hint="eastAsia" w:ascii="Times New Roman" w:hAnsi="Times New Roman" w:cs="Times New Roman"/>
          <w:szCs w:val="32"/>
        </w:rPr>
        <w:t>道路建设。</w:t>
      </w:r>
      <w:bookmarkEnd w:id="3"/>
    </w:p>
    <w:p>
      <w:pPr>
        <w:ind w:firstLine="640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二是加强场容场貌改善。</w:t>
      </w:r>
      <w:r>
        <w:rPr>
          <w:rFonts w:hint="eastAsia" w:ascii="Times New Roman" w:hAnsi="Times New Roman" w:cs="Times New Roman"/>
          <w:szCs w:val="32"/>
        </w:rPr>
        <w:t>新建猫儿嘴、官家沟、王家坪、温家坟4个管护站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Cs w:val="32"/>
        </w:rPr>
        <w:t>维修加固钟家湾、五马槽、四方碑、酢坊沟、蒿枝坪、金仓库6个管护站</w:t>
      </w:r>
      <w:r>
        <w:rPr>
          <w:rFonts w:hint="eastAsia" w:ascii="Times New Roman" w:hAnsi="Times New Roman" w:cs="Times New Roman"/>
          <w:szCs w:val="32"/>
          <w:lang w:val="en-US" w:eastAsia="zh-CN"/>
        </w:rPr>
        <w:t>；</w:t>
      </w:r>
    </w:p>
    <w:p>
      <w:pPr>
        <w:ind w:firstLine="64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三</w:t>
      </w:r>
      <w:r>
        <w:rPr>
          <w:rFonts w:hint="eastAsia" w:ascii="Times New Roman" w:hAnsi="Times New Roman" w:cs="Times New Roman"/>
          <w:szCs w:val="32"/>
        </w:rPr>
        <w:t>是</w:t>
      </w:r>
      <w:r>
        <w:rPr>
          <w:rFonts w:hint="eastAsia" w:ascii="Times New Roman" w:hAnsi="Times New Roman" w:cs="Times New Roman"/>
          <w:szCs w:val="32"/>
          <w:lang w:val="en-US" w:eastAsia="zh-CN"/>
        </w:rPr>
        <w:t>加强</w:t>
      </w:r>
      <w:r>
        <w:rPr>
          <w:rFonts w:hint="eastAsia" w:ascii="Times New Roman" w:hAnsi="Times New Roman" w:cs="Times New Roman"/>
          <w:szCs w:val="32"/>
        </w:rPr>
        <w:t>防火物资</w:t>
      </w:r>
      <w:r>
        <w:rPr>
          <w:rFonts w:hint="eastAsia" w:ascii="Times New Roman" w:hAnsi="Times New Roman" w:cs="Times New Roman"/>
          <w:szCs w:val="32"/>
          <w:lang w:val="en-US" w:eastAsia="zh-CN"/>
        </w:rPr>
        <w:t>储备</w:t>
      </w:r>
      <w:r>
        <w:rPr>
          <w:rFonts w:hint="eastAsia" w:ascii="Times New Roman" w:hAnsi="Times New Roman" w:cs="Times New Roman"/>
          <w:szCs w:val="32"/>
        </w:rPr>
        <w:t>。对防火器材库进行及时维护，保证正常使用，对防火物资进行及时更换、充实，保证防火救火需要。</w:t>
      </w:r>
    </w:p>
    <w:p>
      <w:pPr>
        <w:ind w:firstLine="640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四是加强党支部建设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在</w:t>
      </w:r>
      <w:r>
        <w:rPr>
          <w:rFonts w:hint="eastAsia" w:ascii="Times New Roman" w:hAnsi="Times New Roman" w:cs="Times New Roman"/>
          <w:szCs w:val="32"/>
        </w:rPr>
        <w:t>主题教育</w:t>
      </w:r>
      <w:r>
        <w:rPr>
          <w:rFonts w:hint="eastAsia" w:ascii="Times New Roman" w:hAnsi="Times New Roman" w:cs="Times New Roman"/>
          <w:szCs w:val="32"/>
          <w:lang w:val="en-US" w:eastAsia="zh-CN"/>
        </w:rPr>
        <w:t>工作基础上认真落实好“三会一课”和党员主题活动日等一系列政治理论学习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ind w:firstLine="640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五</w:t>
      </w:r>
      <w:r>
        <w:rPr>
          <w:rFonts w:hint="eastAsia" w:ascii="Times New Roman" w:hAnsi="Times New Roman" w:cs="Times New Roman"/>
          <w:szCs w:val="32"/>
        </w:rPr>
        <w:t>是</w:t>
      </w:r>
      <w:r>
        <w:rPr>
          <w:rFonts w:hint="eastAsia" w:ascii="Times New Roman" w:hAnsi="Times New Roman" w:cs="Times New Roman"/>
          <w:szCs w:val="32"/>
          <w:lang w:val="en-US" w:eastAsia="zh-CN"/>
        </w:rPr>
        <w:t>加强护林队伍建设。</w:t>
      </w:r>
      <w:r>
        <w:rPr>
          <w:rFonts w:hint="eastAsia" w:ascii="Times New Roman" w:hAnsi="Times New Roman" w:cs="Times New Roman"/>
          <w:szCs w:val="32"/>
        </w:rPr>
        <w:t>按空缺编制职数计划招录森林资源管护技术人员2名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pStyle w:val="2"/>
        <w:ind w:firstLine="643"/>
        <w:rPr>
          <w:rFonts w:ascii="Times New Roman" w:hAnsi="Times New Roman" w:cs="Times New Roman"/>
        </w:rPr>
      </w:pPr>
      <w:bookmarkStart w:id="4" w:name="_Toc78468497"/>
      <w:r>
        <w:rPr>
          <w:rFonts w:ascii="Times New Roman" w:hAnsi="Times New Roman" w:cs="Times New Roman"/>
        </w:rPr>
        <w:t>二、部门预算单位构成</w:t>
      </w:r>
      <w:bookmarkEnd w:id="4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巴州区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是巴中市巴州区</w:t>
      </w:r>
      <w:r>
        <w:rPr>
          <w:rFonts w:hint="eastAsia" w:ascii="Times New Roman" w:hAnsi="Times New Roman" w:cs="Times New Roman"/>
          <w:lang w:val="en-US" w:eastAsia="zh-CN"/>
        </w:rPr>
        <w:t>林业局</w:t>
      </w:r>
      <w:r>
        <w:rPr>
          <w:rFonts w:ascii="Times New Roman" w:hAnsi="Times New Roman" w:cs="Times New Roman"/>
        </w:rPr>
        <w:t>属的二级预算单位，属独立核算、全额拨款、二级预算的事业单位。</w:t>
      </w:r>
    </w:p>
    <w:p>
      <w:pPr>
        <w:pStyle w:val="2"/>
        <w:ind w:firstLine="643"/>
        <w:rPr>
          <w:rFonts w:ascii="Times New Roman" w:hAnsi="Times New Roman" w:cs="Times New Roman"/>
        </w:rPr>
      </w:pPr>
      <w:bookmarkStart w:id="5" w:name="_Toc78468498"/>
      <w:r>
        <w:rPr>
          <w:rFonts w:ascii="Times New Roman" w:hAnsi="Times New Roman" w:cs="Times New Roman"/>
        </w:rPr>
        <w:t>三、收支预算情况说明</w:t>
      </w:r>
      <w:bookmarkEnd w:id="5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按照综合预算的原则，</w:t>
      </w:r>
      <w:r>
        <w:rPr>
          <w:rFonts w:ascii="Times New Roman" w:hAnsi="Times New Roman" w:cs="Times New Roman"/>
          <w:szCs w:val="32"/>
        </w:rPr>
        <w:t>区</w:t>
      </w:r>
      <w:r>
        <w:rPr>
          <w:rFonts w:hint="eastAsia" w:ascii="Times New Roman" w:hAnsi="Times New Roman" w:cs="Times New Roman"/>
          <w:szCs w:val="32"/>
          <w:lang w:eastAsia="zh-CN"/>
        </w:rPr>
        <w:t>南阳国有林场</w:t>
      </w:r>
      <w:r>
        <w:rPr>
          <w:rFonts w:ascii="Times New Roman" w:hAnsi="Times New Roman" w:cs="Times New Roman"/>
        </w:rPr>
        <w:t>所有收入和支出均纳入部门预算管理。收入包括：一般公共预算拨款收入、上年结转；支出包括：（一般公共服务支出、教育支出）、社会保障和就业支出、医疗卫生与计划生育支出、住房保障支出。</w:t>
      </w:r>
      <w:r>
        <w:rPr>
          <w:rFonts w:ascii="Times New Roman" w:hAnsi="Times New Roman" w:cs="Times New Roman"/>
          <w:szCs w:val="32"/>
        </w:rPr>
        <w:t>区</w:t>
      </w:r>
      <w:r>
        <w:rPr>
          <w:rFonts w:hint="eastAsia" w:ascii="Times New Roman" w:hAnsi="Times New Roman" w:cs="Times New Roman"/>
          <w:szCs w:val="32"/>
          <w:lang w:eastAsia="zh-CN"/>
        </w:rPr>
        <w:t>南阳国有林场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年收支总预算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万元。</w:t>
      </w:r>
    </w:p>
    <w:p>
      <w:pPr>
        <w:pStyle w:val="3"/>
        <w:ind w:firstLine="643"/>
        <w:rPr>
          <w:rFonts w:ascii="Times New Roman" w:hAnsi="Times New Roman" w:cs="Times New Roman"/>
        </w:rPr>
      </w:pPr>
      <w:bookmarkStart w:id="6" w:name="_Toc78468499"/>
      <w:r>
        <w:rPr>
          <w:rFonts w:ascii="Times New Roman" w:hAnsi="Times New Roman" w:cs="Times New Roman"/>
        </w:rPr>
        <w:t>（一）收入预算情况</w:t>
      </w:r>
      <w:bookmarkEnd w:id="6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ascii="Times New Roman" w:hAnsi="Times New Roman" w:cs="Times New Roman"/>
        </w:rPr>
        <w:t>年收入预算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万元，其中：一般公共预算拨款收入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万元，占</w:t>
      </w:r>
      <w:r>
        <w:rPr>
          <w:rFonts w:hint="eastAsia" w:ascii="Times New Roman" w:hAnsi="Times New Roman" w:cs="Times New Roman"/>
          <w:lang w:val="en-US" w:eastAsia="zh-CN"/>
        </w:rPr>
        <w:t>100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00</w:t>
      </w:r>
      <w:r>
        <w:rPr>
          <w:rFonts w:ascii="Times New Roman" w:hAnsi="Times New Roman" w:cs="Times New Roman"/>
        </w:rPr>
        <w:t>%。</w:t>
      </w:r>
    </w:p>
    <w:p>
      <w:pPr>
        <w:pStyle w:val="3"/>
        <w:ind w:firstLine="643"/>
        <w:rPr>
          <w:rFonts w:ascii="Times New Roman" w:hAnsi="Times New Roman" w:cs="Times New Roman"/>
        </w:rPr>
      </w:pPr>
      <w:bookmarkStart w:id="7" w:name="_Toc78468500"/>
      <w:r>
        <w:rPr>
          <w:rFonts w:ascii="Times New Roman" w:hAnsi="Times New Roman" w:cs="Times New Roman"/>
        </w:rPr>
        <w:t>（二）支出预算情况</w:t>
      </w:r>
      <w:bookmarkEnd w:id="7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年支出预算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万元，其中：基本支出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万元，占</w:t>
      </w:r>
      <w:r>
        <w:rPr>
          <w:rFonts w:hint="eastAsia" w:ascii="Times New Roman" w:hAnsi="Times New Roman" w:cs="Times New Roman"/>
          <w:lang w:val="en-US" w:eastAsia="zh-CN"/>
        </w:rPr>
        <w:t>100</w:t>
      </w:r>
      <w:r>
        <w:rPr>
          <w:rFonts w:ascii="Times New Roman" w:hAnsi="Times New Roman" w:cs="Times New Roman"/>
        </w:rPr>
        <w:t>%。</w:t>
      </w:r>
    </w:p>
    <w:p>
      <w:pPr>
        <w:ind w:firstLine="64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四、财政拨款收支预算情况说明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年财政拨款收支总预算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万元。收入包括：本年一般公共预算拨款收入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万元。</w:t>
      </w:r>
    </w:p>
    <w:p>
      <w:pPr>
        <w:ind w:firstLine="64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五、一般公共预算当年拨款情况说明</w:t>
      </w:r>
    </w:p>
    <w:p>
      <w:pPr>
        <w:pStyle w:val="3"/>
        <w:ind w:firstLine="643"/>
        <w:rPr>
          <w:rFonts w:ascii="Times New Roman" w:hAnsi="Times New Roman" w:cs="Times New Roman"/>
        </w:rPr>
      </w:pPr>
      <w:bookmarkStart w:id="8" w:name="_Toc78468501"/>
      <w:r>
        <w:rPr>
          <w:rFonts w:ascii="Times New Roman" w:hAnsi="Times New Roman" w:cs="Times New Roman"/>
        </w:rPr>
        <w:t>（一）一般公共预算当年拨款规模变化情况</w:t>
      </w:r>
      <w:bookmarkEnd w:id="8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ascii="Times New Roman" w:hAnsi="Times New Roman" w:cs="Times New Roman"/>
        </w:rPr>
        <w:t xml:space="preserve">年一般公共预算当年拨款 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万元，比202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年预算数</w:t>
      </w:r>
      <w:r>
        <w:rPr>
          <w:rFonts w:hint="eastAsia" w:ascii="Times New Roman" w:hAnsi="Times New Roman" w:cs="Times New Roman"/>
          <w:lang w:val="en-US" w:eastAsia="zh-CN"/>
        </w:rPr>
        <w:t>减少17.88</w:t>
      </w:r>
      <w:r>
        <w:rPr>
          <w:rFonts w:ascii="Times New Roman" w:hAnsi="Times New Roman" w:cs="Times New Roman"/>
        </w:rPr>
        <w:t>万元。主要是</w:t>
      </w:r>
      <w:r>
        <w:rPr>
          <w:rFonts w:hint="eastAsia" w:ascii="Times New Roman" w:hAnsi="Times New Roman" w:cs="Times New Roman"/>
          <w:lang w:val="en-US" w:eastAsia="zh-CN"/>
        </w:rPr>
        <w:t>因为在职人员退休预算经费减少所致</w:t>
      </w:r>
      <w:r>
        <w:rPr>
          <w:rFonts w:ascii="Times New Roman" w:hAnsi="Times New Roman" w:cs="Times New Roman"/>
        </w:rPr>
        <w:t>。</w:t>
      </w:r>
    </w:p>
    <w:p>
      <w:pPr>
        <w:pStyle w:val="3"/>
        <w:ind w:firstLine="643"/>
        <w:rPr>
          <w:rFonts w:ascii="Times New Roman" w:hAnsi="Times New Roman" w:cs="Times New Roman"/>
        </w:rPr>
      </w:pPr>
      <w:bookmarkStart w:id="9" w:name="_Toc78468502"/>
      <w:r>
        <w:rPr>
          <w:rFonts w:ascii="Times New Roman" w:hAnsi="Times New Roman" w:cs="Times New Roman"/>
        </w:rPr>
        <w:t>（二）一般公共预算当年拨款结构情况</w:t>
      </w:r>
      <w:bookmarkEnd w:id="9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支出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万元，占100%；基本支出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万元，占</w:t>
      </w:r>
      <w:r>
        <w:rPr>
          <w:rFonts w:hint="eastAsia" w:ascii="Times New Roman" w:hAnsi="Times New Roman" w:cs="Times New Roman"/>
          <w:lang w:val="en-US" w:eastAsia="zh-CN"/>
        </w:rPr>
        <w:t>100</w:t>
      </w:r>
      <w:r>
        <w:rPr>
          <w:rFonts w:ascii="Times New Roman" w:hAnsi="Times New Roman" w:cs="Times New Roman"/>
        </w:rPr>
        <w:t>%。</w:t>
      </w:r>
    </w:p>
    <w:p>
      <w:pPr>
        <w:pStyle w:val="3"/>
        <w:ind w:firstLine="643"/>
        <w:rPr>
          <w:rFonts w:ascii="Times New Roman" w:hAnsi="Times New Roman" w:cs="Times New Roman"/>
        </w:rPr>
      </w:pPr>
      <w:bookmarkStart w:id="10" w:name="_Toc78468503"/>
      <w:r>
        <w:rPr>
          <w:rFonts w:ascii="Times New Roman" w:hAnsi="Times New Roman" w:cs="Times New Roman"/>
        </w:rPr>
        <w:t>（三）一般公共预算当年拨款具体使用情况</w:t>
      </w:r>
      <w:bookmarkEnd w:id="10"/>
    </w:p>
    <w:p>
      <w:pPr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1.农林水（类）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林业</w:t>
      </w:r>
      <w:r>
        <w:rPr>
          <w:rFonts w:ascii="Times New Roman" w:hAnsi="Times New Roman" w:cs="Times New Roman"/>
          <w:b/>
          <w:bCs/>
        </w:rPr>
        <w:t>（款）事业运行（项）: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年预算数为</w:t>
      </w:r>
      <w:r>
        <w:rPr>
          <w:rFonts w:hint="eastAsia" w:ascii="Times New Roman" w:hAnsi="Times New Roman" w:cs="Times New Roman"/>
          <w:lang w:val="en-US" w:eastAsia="zh-CN"/>
        </w:rPr>
        <w:t>293.51</w:t>
      </w:r>
      <w:r>
        <w:rPr>
          <w:rFonts w:ascii="Times New Roman" w:hAnsi="Times New Roman" w:cs="Times New Roman"/>
        </w:rPr>
        <w:t>万元，主要用于：本单位正常运转的基本支出，包括基本工资、津贴补贴等人员经费以及办公费、印刷费、水电费等日常公用经费。</w:t>
      </w:r>
    </w:p>
    <w:p>
      <w:pPr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2.社会保障和就业（类）事业单位离退休（款）机关事业单位基本养老保险缴费支出（项）</w:t>
      </w:r>
      <w:r>
        <w:rPr>
          <w:rFonts w:ascii="Times New Roman" w:hAnsi="Times New Roman" w:cs="Times New Roman"/>
        </w:rPr>
        <w:t>:202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年预算数为</w:t>
      </w:r>
      <w:r>
        <w:rPr>
          <w:rFonts w:hint="eastAsia" w:ascii="Times New Roman" w:hAnsi="Times New Roman" w:cs="Times New Roman"/>
          <w:lang w:val="en-US" w:eastAsia="zh-CN"/>
        </w:rPr>
        <w:t>32.52</w:t>
      </w:r>
      <w:r>
        <w:rPr>
          <w:rFonts w:ascii="Times New Roman" w:hAnsi="Times New Roman" w:cs="Times New Roman"/>
        </w:rPr>
        <w:t>万元，主要用于：本单位缴纳的基本养老保险费支出。</w:t>
      </w:r>
    </w:p>
    <w:p>
      <w:pPr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4.医疗卫生与计划生育（类）事业单位医疗（款）事业单位医疗（项）: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年预算数为</w:t>
      </w:r>
      <w:r>
        <w:rPr>
          <w:rFonts w:hint="eastAsia" w:ascii="Times New Roman" w:hAnsi="Times New Roman" w:cs="Times New Roman"/>
          <w:lang w:val="en-US" w:eastAsia="zh-CN"/>
        </w:rPr>
        <w:t>20.72</w:t>
      </w:r>
      <w:r>
        <w:rPr>
          <w:rFonts w:ascii="Times New Roman" w:hAnsi="Times New Roman" w:cs="Times New Roman"/>
        </w:rPr>
        <w:t>万元，主要用于：本单位基本医疗保险缴费支出。</w:t>
      </w:r>
    </w:p>
    <w:p>
      <w:pPr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5.住房保障（类）住房改革支出（款）住房公积金（项）: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年预算数为</w:t>
      </w:r>
      <w:r>
        <w:rPr>
          <w:rFonts w:hint="eastAsia" w:ascii="Times New Roman" w:hAnsi="Times New Roman" w:cs="Times New Roman"/>
          <w:lang w:val="en-US" w:eastAsia="zh-CN"/>
        </w:rPr>
        <w:t>26.6</w:t>
      </w:r>
      <w:r>
        <w:rPr>
          <w:rFonts w:ascii="Times New Roman" w:hAnsi="Times New Roman" w:cs="Times New Roman"/>
        </w:rPr>
        <w:t>万元，主要用于：本单位职工缴纳的住房公积金支出。</w:t>
      </w:r>
    </w:p>
    <w:p>
      <w:pPr>
        <w:pStyle w:val="2"/>
        <w:ind w:firstLine="643"/>
        <w:rPr>
          <w:rFonts w:ascii="Times New Roman" w:hAnsi="Times New Roman" w:cs="Times New Roman"/>
        </w:rPr>
      </w:pPr>
      <w:bookmarkStart w:id="11" w:name="_Toc78468504"/>
      <w:r>
        <w:rPr>
          <w:rFonts w:ascii="Times New Roman" w:hAnsi="Times New Roman" w:cs="Times New Roman"/>
        </w:rPr>
        <w:t>六、一般公共预算基本支出情况说明</w:t>
      </w:r>
      <w:bookmarkEnd w:id="11"/>
    </w:p>
    <w:p>
      <w:pPr>
        <w:ind w:firstLine="64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年一般公共预算基本支出</w:t>
      </w:r>
      <w:r>
        <w:rPr>
          <w:rFonts w:hint="eastAsia" w:ascii="Times New Roman" w:hAnsi="Times New Roman" w:cs="Times New Roman"/>
          <w:lang w:val="en-US" w:eastAsia="zh-CN"/>
        </w:rPr>
        <w:t>373.35</w:t>
      </w:r>
      <w:r>
        <w:rPr>
          <w:rFonts w:ascii="Times New Roman" w:hAnsi="Times New Roman" w:cs="Times New Roman"/>
        </w:rPr>
        <w:t>万元，其中：人员经费</w:t>
      </w:r>
      <w:r>
        <w:rPr>
          <w:rFonts w:hint="eastAsia" w:ascii="Times New Roman" w:hAnsi="Times New Roman" w:cs="Times New Roman"/>
          <w:lang w:val="en-US" w:eastAsia="zh-CN"/>
        </w:rPr>
        <w:t>344.96</w:t>
      </w:r>
      <w:r>
        <w:rPr>
          <w:rFonts w:ascii="Times New Roman" w:hAnsi="Times New Roman" w:cs="Times New Roman"/>
        </w:rPr>
        <w:t>万元，主要包括：基本工资</w:t>
      </w:r>
      <w:r>
        <w:rPr>
          <w:rFonts w:hint="eastAsia" w:ascii="Times New Roman" w:hAnsi="Times New Roman" w:cs="Times New Roman"/>
          <w:lang w:val="en-US" w:eastAsia="zh-CN"/>
        </w:rPr>
        <w:t>88.38</w:t>
      </w:r>
      <w:r>
        <w:rPr>
          <w:rFonts w:ascii="Times New Roman" w:hAnsi="Times New Roman" w:cs="Times New Roman"/>
        </w:rPr>
        <w:t>万元、津贴补贴</w:t>
      </w:r>
      <w:r>
        <w:rPr>
          <w:rFonts w:hint="eastAsia" w:ascii="Times New Roman" w:hAnsi="Times New Roman" w:cs="Times New Roman"/>
          <w:lang w:val="en-US" w:eastAsia="zh-CN"/>
        </w:rPr>
        <w:t>3.39</w:t>
      </w:r>
      <w:r>
        <w:rPr>
          <w:rFonts w:ascii="Times New Roman" w:hAnsi="Times New Roman" w:cs="Times New Roman"/>
        </w:rPr>
        <w:t>万元、</w:t>
      </w:r>
      <w:r>
        <w:rPr>
          <w:rFonts w:hint="eastAsia" w:ascii="Times New Roman" w:hAnsi="Times New Roman" w:cs="Times New Roman"/>
          <w:lang w:val="en-US" w:eastAsia="zh-CN"/>
        </w:rPr>
        <w:t>奖金77.24元，</w:t>
      </w:r>
      <w:r>
        <w:rPr>
          <w:rFonts w:ascii="Times New Roman" w:hAnsi="Times New Roman" w:cs="Times New Roman"/>
        </w:rPr>
        <w:t>社会保险缴费</w:t>
      </w:r>
      <w:r>
        <w:rPr>
          <w:rFonts w:hint="eastAsia" w:ascii="Times New Roman" w:hAnsi="Times New Roman" w:cs="Times New Roman"/>
          <w:lang w:val="en-US" w:eastAsia="zh-CN"/>
        </w:rPr>
        <w:t>1.33</w:t>
      </w:r>
      <w:r>
        <w:rPr>
          <w:rFonts w:ascii="Times New Roman" w:hAnsi="Times New Roman" w:cs="Times New Roman"/>
        </w:rPr>
        <w:t>万元、绩效工资</w:t>
      </w:r>
      <w:r>
        <w:rPr>
          <w:rFonts w:hint="eastAsia" w:ascii="Times New Roman" w:hAnsi="Times New Roman" w:cs="Times New Roman"/>
          <w:lang w:val="en-US" w:eastAsia="zh-CN"/>
        </w:rPr>
        <w:t>52.65</w:t>
      </w:r>
      <w:r>
        <w:rPr>
          <w:rFonts w:ascii="Times New Roman" w:hAnsi="Times New Roman" w:cs="Times New Roman"/>
        </w:rPr>
        <w:t>万元、机关事业单位基本养老保险缴费</w:t>
      </w:r>
      <w:r>
        <w:rPr>
          <w:rFonts w:hint="eastAsia" w:ascii="Times New Roman" w:hAnsi="Times New Roman" w:cs="Times New Roman"/>
          <w:lang w:val="en-US" w:eastAsia="zh-CN"/>
        </w:rPr>
        <w:t>32.52</w:t>
      </w:r>
      <w:r>
        <w:rPr>
          <w:rFonts w:ascii="Times New Roman" w:hAnsi="Times New Roman" w:cs="Times New Roman"/>
        </w:rPr>
        <w:t>万元、</w:t>
      </w:r>
      <w:r>
        <w:rPr>
          <w:rFonts w:hint="eastAsia" w:ascii="Times New Roman" w:hAnsi="Times New Roman" w:cs="Times New Roman"/>
        </w:rPr>
        <w:t>职工基本医疗保险缴费</w:t>
      </w:r>
      <w:r>
        <w:rPr>
          <w:rFonts w:hint="eastAsia" w:ascii="Times New Roman" w:hAnsi="Times New Roman" w:cs="Times New Roman"/>
          <w:lang w:val="en-US" w:eastAsia="zh-CN"/>
        </w:rPr>
        <w:t>20.72万元，</w:t>
      </w:r>
    </w:p>
    <w:p>
      <w:pPr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住房公积金</w:t>
      </w:r>
      <w:r>
        <w:rPr>
          <w:rFonts w:hint="eastAsia" w:ascii="Times New Roman" w:hAnsi="Times New Roman" w:cs="Times New Roman"/>
          <w:lang w:val="en-US" w:eastAsia="zh-CN"/>
        </w:rPr>
        <w:t>26.6</w:t>
      </w:r>
      <w:r>
        <w:rPr>
          <w:rFonts w:ascii="Times New Roman" w:hAnsi="Times New Roman" w:cs="Times New Roman"/>
        </w:rPr>
        <w:t>万元、其他对个人和家庭的补助支出</w:t>
      </w:r>
      <w:r>
        <w:rPr>
          <w:rFonts w:hint="eastAsia" w:ascii="Times New Roman" w:hAnsi="Times New Roman" w:cs="Times New Roman"/>
          <w:lang w:val="en-US" w:eastAsia="zh-CN"/>
        </w:rPr>
        <w:t>42.13</w:t>
      </w:r>
      <w:r>
        <w:rPr>
          <w:rFonts w:ascii="Times New Roman" w:hAnsi="Times New Roman" w:cs="Times New Roman"/>
        </w:rPr>
        <w:t>万元。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公用经费</w:t>
      </w:r>
      <w:r>
        <w:rPr>
          <w:rFonts w:hint="eastAsia" w:ascii="Times New Roman" w:hAnsi="Times New Roman" w:cs="Times New Roman"/>
          <w:lang w:val="en-US" w:eastAsia="zh-CN"/>
        </w:rPr>
        <w:t>28.39</w:t>
      </w:r>
      <w:r>
        <w:rPr>
          <w:rFonts w:ascii="Times New Roman" w:hAnsi="Times New Roman" w:cs="Times New Roman"/>
        </w:rPr>
        <w:t>万元，主要包括：办公费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万元、差旅费</w:t>
      </w:r>
      <w:r>
        <w:rPr>
          <w:rFonts w:hint="eastAsia" w:ascii="Times New Roman" w:hAnsi="Times New Roman" w:cs="Times New Roman"/>
          <w:lang w:val="en-US" w:eastAsia="zh-CN"/>
        </w:rPr>
        <w:t>10.62</w:t>
      </w:r>
      <w:r>
        <w:rPr>
          <w:rFonts w:ascii="Times New Roman" w:hAnsi="Times New Roman" w:cs="Times New Roman"/>
        </w:rPr>
        <w:t>万元、工会经费</w:t>
      </w:r>
      <w:r>
        <w:rPr>
          <w:rFonts w:hint="eastAsia" w:ascii="Times New Roman" w:hAnsi="Times New Roman" w:cs="Times New Roman"/>
          <w:lang w:val="en-US" w:eastAsia="zh-CN"/>
        </w:rPr>
        <w:t>2.89</w:t>
      </w:r>
      <w:r>
        <w:rPr>
          <w:rFonts w:ascii="Times New Roman" w:hAnsi="Times New Roman" w:cs="Times New Roman"/>
        </w:rPr>
        <w:t>万元、</w:t>
      </w:r>
      <w:r>
        <w:rPr>
          <w:rFonts w:hint="eastAsia" w:ascii="Times New Roman" w:hAnsi="Times New Roman" w:cs="Times New Roman"/>
          <w:lang w:val="en-US" w:eastAsia="zh-CN"/>
        </w:rPr>
        <w:t>公务车运行费3</w:t>
      </w:r>
      <w:r>
        <w:rPr>
          <w:rFonts w:ascii="Times New Roman" w:hAnsi="Times New Roman" w:cs="Times New Roman"/>
        </w:rPr>
        <w:t>万元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其他商品服务支出4.58万元</w:t>
      </w:r>
      <w:r>
        <w:rPr>
          <w:rFonts w:ascii="Times New Roman" w:hAnsi="Times New Roman" w:cs="Times New Roman"/>
        </w:rPr>
        <w:t>。</w:t>
      </w:r>
    </w:p>
    <w:p>
      <w:pPr>
        <w:pStyle w:val="2"/>
        <w:ind w:firstLine="643"/>
        <w:rPr>
          <w:rFonts w:ascii="Times New Roman" w:hAnsi="Times New Roman" w:cs="Times New Roman"/>
        </w:rPr>
      </w:pPr>
      <w:bookmarkStart w:id="12" w:name="_Toc78468505"/>
      <w:r>
        <w:rPr>
          <w:rFonts w:ascii="Times New Roman" w:hAnsi="Times New Roman" w:cs="Times New Roman"/>
        </w:rPr>
        <w:t>七、“三公”经费财政拨款预算安排情况说明</w:t>
      </w:r>
      <w:bookmarkEnd w:id="12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年“三公”经费财政拨款预算数</w:t>
      </w:r>
      <w:r>
        <w:rPr>
          <w:rFonts w:hint="eastAsia" w:ascii="Times New Roman" w:hAnsi="Times New Roman" w:cs="Times New Roman"/>
          <w:lang w:val="en-US" w:eastAsia="zh-CN"/>
        </w:rPr>
        <w:t>3.3</w:t>
      </w:r>
      <w:r>
        <w:rPr>
          <w:rFonts w:ascii="Times New Roman" w:hAnsi="Times New Roman" w:cs="Times New Roman"/>
        </w:rPr>
        <w:t>万元，其中：因公出国（境）经费0万元，公务接待费</w:t>
      </w:r>
      <w:r>
        <w:rPr>
          <w:rFonts w:hint="eastAsia" w:ascii="Times New Roman" w:hAnsi="Times New Roman" w:cs="Times New Roman"/>
          <w:lang w:val="en-US" w:eastAsia="zh-CN"/>
        </w:rPr>
        <w:t>0.3</w:t>
      </w:r>
      <w:r>
        <w:rPr>
          <w:rFonts w:ascii="Times New Roman" w:hAnsi="Times New Roman" w:cs="Times New Roman"/>
        </w:rPr>
        <w:t>万元，公务用车购置及运行维护费</w:t>
      </w:r>
      <w:r>
        <w:rPr>
          <w:rFonts w:hint="eastAsia" w:ascii="Times New Roman" w:hAnsi="Times New Roman" w:cs="Times New Roman"/>
          <w:lang w:val="en-US" w:eastAsia="zh-CN"/>
        </w:rPr>
        <w:t>3.0</w:t>
      </w:r>
      <w:r>
        <w:rPr>
          <w:rFonts w:ascii="Times New Roman" w:hAnsi="Times New Roman" w:cs="Times New Roman"/>
        </w:rPr>
        <w:t>万元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主要用于单位接待及辖区内森林资源安全的保护、管护与巡查宣传等</w:t>
      </w:r>
      <w:r>
        <w:rPr>
          <w:rFonts w:ascii="Times New Roman" w:hAnsi="Times New Roman" w:cs="Times New Roman"/>
        </w:rPr>
        <w:t>。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（一）因公出国（境）经费</w:t>
      </w:r>
      <w:r>
        <w:rPr>
          <w:rFonts w:hint="eastAsia" w:ascii="Times New Roman" w:hAnsi="Times New Roman" w:eastAsia="楷体_GB2312" w:cs="Times New Roman"/>
          <w:lang w:val="en-US" w:eastAsia="zh-CN"/>
        </w:rPr>
        <w:t>2024年初预算未做计划安排。</w:t>
      </w:r>
    </w:p>
    <w:p>
      <w:p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楷体_GB2312" w:cs="Times New Roman"/>
        </w:rPr>
        <w:t>二）公务接待</w:t>
      </w:r>
      <w:r>
        <w:rPr>
          <w:rFonts w:hint="eastAsia" w:ascii="Times New Roman" w:hAnsi="Times New Roman" w:eastAsia="楷体_GB2312" w:cs="Times New Roman"/>
          <w:lang w:val="en-US" w:eastAsia="zh-CN"/>
        </w:rPr>
        <w:t>费：</w:t>
      </w:r>
      <w:r>
        <w:rPr>
          <w:rFonts w:hint="eastAsia" w:ascii="Times New Roman" w:hAnsi="Times New Roman" w:cs="Times New Roman"/>
          <w:lang w:val="en-US" w:eastAsia="zh-CN"/>
        </w:rPr>
        <w:t>2024年预算安排公务接待费0.3万元，主要用于接待上级各部门督导、检查森林防火安全工作等。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（三）公务用车购置及运行维护费</w:t>
      </w:r>
      <w:r>
        <w:rPr>
          <w:rFonts w:hint="eastAsia" w:ascii="Times New Roman" w:hAnsi="Times New Roman" w:eastAsia="楷体_GB2312" w:cs="Times New Roman"/>
          <w:lang w:eastAsia="zh-CN"/>
        </w:rPr>
        <w:t>：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预算</w:t>
      </w:r>
      <w:r>
        <w:rPr>
          <w:rFonts w:ascii="Times New Roman" w:hAnsi="Times New Roman" w:cs="Times New Roman"/>
        </w:rPr>
        <w:t>安排公务用车运行维护费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万元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主要用于辖区内森林资源安全的保护、管护与巡护等</w:t>
      </w:r>
      <w:r>
        <w:rPr>
          <w:rFonts w:ascii="Times New Roman" w:hAnsi="Times New Roman" w:cs="Times New Roman"/>
        </w:rPr>
        <w:t>。</w:t>
      </w:r>
    </w:p>
    <w:p>
      <w:pPr>
        <w:pStyle w:val="2"/>
        <w:ind w:firstLine="643"/>
        <w:rPr>
          <w:rFonts w:ascii="Times New Roman" w:hAnsi="Times New Roman" w:cs="Times New Roman"/>
        </w:rPr>
      </w:pPr>
      <w:bookmarkStart w:id="13" w:name="_Toc78468506"/>
      <w:r>
        <w:rPr>
          <w:rFonts w:ascii="Times New Roman" w:hAnsi="Times New Roman" w:cs="Times New Roman"/>
        </w:rPr>
        <w:t>八、政府性基金预算支出情况说明</w:t>
      </w:r>
      <w:bookmarkEnd w:id="13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年没有使用政府性基金预算拨款安排的支出。</w:t>
      </w:r>
    </w:p>
    <w:p>
      <w:pPr>
        <w:pStyle w:val="2"/>
        <w:ind w:firstLine="643"/>
        <w:rPr>
          <w:rFonts w:ascii="Times New Roman" w:hAnsi="Times New Roman" w:cs="Times New Roman"/>
        </w:rPr>
      </w:pPr>
      <w:bookmarkStart w:id="14" w:name="_Toc78468507"/>
      <w:r>
        <w:rPr>
          <w:rFonts w:ascii="Times New Roman" w:hAnsi="Times New Roman" w:cs="Times New Roman"/>
        </w:rPr>
        <w:t>九、其他重要事项的情况说明</w:t>
      </w:r>
      <w:bookmarkEnd w:id="14"/>
    </w:p>
    <w:p>
      <w:pPr>
        <w:pStyle w:val="3"/>
        <w:ind w:firstLine="643"/>
        <w:rPr>
          <w:rFonts w:ascii="Times New Roman" w:hAnsi="Times New Roman" w:cs="Times New Roman"/>
        </w:rPr>
      </w:pPr>
      <w:bookmarkStart w:id="15" w:name="_Toc78468508"/>
      <w:r>
        <w:rPr>
          <w:rFonts w:ascii="Times New Roman" w:hAnsi="Times New Roman" w:cs="Times New Roman"/>
        </w:rPr>
        <w:t>（一）机关运行经费</w:t>
      </w:r>
      <w:bookmarkEnd w:id="15"/>
    </w:p>
    <w:p>
      <w:pPr>
        <w:ind w:firstLine="64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年，区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下属单位运行经费财政拨款预算为</w:t>
      </w:r>
      <w:r>
        <w:rPr>
          <w:rFonts w:hint="eastAsia" w:ascii="Times New Roman" w:hAnsi="Times New Roman" w:cs="Times New Roman"/>
          <w:lang w:val="en-US" w:eastAsia="zh-CN"/>
        </w:rPr>
        <w:t>28.39</w:t>
      </w:r>
      <w:r>
        <w:rPr>
          <w:rFonts w:ascii="Times New Roman" w:hAnsi="Times New Roman" w:cs="Times New Roman"/>
        </w:rPr>
        <w:t>万元</w:t>
      </w:r>
      <w:bookmarkStart w:id="16" w:name="_Toc78468509"/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（二）政府采购情况</w:t>
      </w:r>
      <w:bookmarkEnd w:id="16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年，区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hint="eastAsia" w:ascii="Times New Roman" w:hAnsi="Times New Roman" w:cs="Times New Roman"/>
          <w:lang w:val="en-US" w:eastAsia="zh-CN"/>
        </w:rPr>
        <w:t>未</w:t>
      </w:r>
      <w:r>
        <w:rPr>
          <w:rFonts w:ascii="Times New Roman" w:hAnsi="Times New Roman" w:cs="Times New Roman"/>
        </w:rPr>
        <w:t>安排政府采购预算</w:t>
      </w:r>
      <w:r>
        <w:rPr>
          <w:rFonts w:hint="eastAsia" w:ascii="Times New Roman" w:hAnsi="Times New Roman" w:cs="Times New Roman"/>
          <w:lang w:val="en-US" w:eastAsia="zh-CN"/>
        </w:rPr>
        <w:t>支出</w:t>
      </w:r>
      <w:r>
        <w:rPr>
          <w:rFonts w:ascii="Times New Roman" w:hAnsi="Times New Roman" w:cs="Times New Roman"/>
        </w:rPr>
        <w:t>。</w:t>
      </w:r>
    </w:p>
    <w:p>
      <w:pPr>
        <w:pStyle w:val="3"/>
        <w:ind w:firstLine="643"/>
        <w:rPr>
          <w:rFonts w:ascii="Times New Roman" w:hAnsi="Times New Roman" w:cs="Times New Roman"/>
        </w:rPr>
      </w:pPr>
      <w:bookmarkStart w:id="17" w:name="_Toc78468510"/>
      <w:r>
        <w:rPr>
          <w:rFonts w:ascii="Times New Roman" w:hAnsi="Times New Roman" w:cs="Times New Roman"/>
        </w:rPr>
        <w:t>（三）国有资产占有使用情况</w:t>
      </w:r>
      <w:bookmarkEnd w:id="17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截至202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年底，区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所共有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辆</w:t>
      </w:r>
      <w:r>
        <w:rPr>
          <w:rFonts w:hint="eastAsia" w:ascii="Times New Roman" w:hAnsi="Times New Roman" w:cs="Times New Roman"/>
          <w:lang w:val="en-US" w:eastAsia="zh-CN"/>
        </w:rPr>
        <w:t>公务</w:t>
      </w:r>
      <w:r>
        <w:rPr>
          <w:rFonts w:ascii="Times New Roman" w:hAnsi="Times New Roman" w:cs="Times New Roman"/>
        </w:rPr>
        <w:t>车辆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是因为原国有林管理所与南阳国有林场合并所致</w:t>
      </w:r>
      <w:r>
        <w:rPr>
          <w:rFonts w:hint="eastAsia" w:ascii="Times New Roman" w:hAnsi="Times New Roman" w:cs="Times New Roman"/>
          <w:lang w:eastAsia="zh-CN"/>
        </w:rPr>
        <w:t>），</w:t>
      </w:r>
      <w:r>
        <w:rPr>
          <w:rFonts w:hint="eastAsia" w:ascii="Times New Roman" w:hAnsi="Times New Roman" w:cs="Times New Roman"/>
          <w:lang w:val="en-US" w:eastAsia="zh-CN"/>
        </w:rPr>
        <w:t>该车辆属森林防火特种用车</w:t>
      </w:r>
      <w:r>
        <w:rPr>
          <w:rFonts w:ascii="Times New Roman" w:hAnsi="Times New Roman" w:cs="Times New Roman"/>
        </w:rPr>
        <w:t>。</w:t>
      </w:r>
    </w:p>
    <w:p>
      <w:pPr>
        <w:pStyle w:val="3"/>
        <w:ind w:firstLine="643"/>
        <w:rPr>
          <w:rFonts w:ascii="Times New Roman" w:hAnsi="Times New Roman" w:cs="Times New Roman"/>
        </w:rPr>
      </w:pPr>
      <w:bookmarkStart w:id="18" w:name="_Toc78468511"/>
      <w:r>
        <w:rPr>
          <w:rFonts w:ascii="Times New Roman" w:hAnsi="Times New Roman" w:cs="Times New Roman"/>
        </w:rPr>
        <w:t>（四）绩效目标设置情况</w:t>
      </w:r>
      <w:bookmarkEnd w:id="18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年区</w:t>
      </w:r>
      <w:r>
        <w:rPr>
          <w:rFonts w:hint="eastAsia" w:ascii="Times New Roman" w:hAnsi="Times New Roman" w:cs="Times New Roman"/>
          <w:lang w:eastAsia="zh-CN"/>
        </w:rPr>
        <w:t>南阳国有林场</w:t>
      </w:r>
      <w:r>
        <w:rPr>
          <w:rFonts w:ascii="Times New Roman" w:hAnsi="Times New Roman" w:cs="Times New Roman"/>
        </w:rPr>
        <w:t>通用项目和专用项目均按要求实行绩效目标管理，涉及一般公共预算当年拨款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ascii="Times New Roman" w:hAnsi="Times New Roman" w:cs="Times New Roman"/>
        </w:rPr>
        <w:t>万元。</w:t>
      </w:r>
    </w:p>
    <w:p>
      <w:pPr>
        <w:pStyle w:val="2"/>
        <w:ind w:firstLine="643"/>
        <w:rPr>
          <w:rFonts w:ascii="Times New Roman" w:hAnsi="Times New Roman" w:eastAsia="仿宋_GB2312" w:cs="Times New Roman"/>
        </w:rPr>
      </w:pPr>
      <w:bookmarkStart w:id="19" w:name="_Toc78468512"/>
      <w:r>
        <w:rPr>
          <w:rFonts w:ascii="Times New Roman" w:hAnsi="Times New Roman" w:cs="Times New Roman"/>
        </w:rPr>
        <w:t>十、</w:t>
      </w:r>
      <w:bookmarkStart w:id="20" w:name="_Toc15396613"/>
      <w:bookmarkStart w:id="21" w:name="_Toc15377225"/>
      <w:r>
        <w:rPr>
          <w:rFonts w:ascii="Times New Roman" w:hAnsi="Times New Roman" w:cs="Times New Roman"/>
        </w:rPr>
        <w:t>名词解释</w:t>
      </w:r>
      <w:bookmarkEnd w:id="19"/>
      <w:bookmarkEnd w:id="20"/>
      <w:bookmarkEnd w:id="21"/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1.财政拨款收入：指单位从同级财政部门取得的财政预算资金。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2.事业收入：指事业单位开展专业业务活动及辅助活动取得的收入。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3.年初结转和结余：指以前年度尚未完成、结转到本年按有关规定继续使用的资金。 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4.社会保障和就业（类）事业单位离退休（款）事业单位基本养老保险缴费支出（项）：指单位用于缴纳职工基本养老保险支出。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5.医疗卫生与计划生育（类）事业单位医疗（款）事业单位医疗（项）：指缴纳行政及参公单位职工医疗保险。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6.医疗卫生与计划生育（类）事业单位医疗（款）事业单位医疗（项）：指缴纳事业单位职工医疗保险支出。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7.住房保障（类）住房改革支出（款）住房公积金（项）：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指按规定比例为单位职工缴纳住房公积金支出。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8.农林水（类）</w:t>
      </w:r>
      <w:r>
        <w:rPr>
          <w:rFonts w:hint="eastAsia" w:ascii="Times New Roman" w:hAnsi="Times New Roman" w:cs="Times New Roman"/>
          <w:lang w:val="en-US" w:eastAsia="zh-CN"/>
        </w:rPr>
        <w:t>林</w:t>
      </w:r>
      <w:r>
        <w:rPr>
          <w:rFonts w:ascii="Times New Roman" w:hAnsi="Times New Roman" w:cs="Times New Roman"/>
        </w:rPr>
        <w:t>业（款）事业运行（项）：指用于事业单位的基本支出。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9.农林水（类）</w:t>
      </w:r>
      <w:r>
        <w:rPr>
          <w:rFonts w:hint="eastAsia" w:ascii="Times New Roman" w:hAnsi="Times New Roman" w:cs="Times New Roman"/>
          <w:lang w:val="en-US" w:eastAsia="zh-CN"/>
        </w:rPr>
        <w:t>林</w:t>
      </w:r>
      <w:r>
        <w:rPr>
          <w:rFonts w:ascii="Times New Roman" w:hAnsi="Times New Roman" w:cs="Times New Roman"/>
        </w:rPr>
        <w:t>业（款）农技推广（项）:指用于单位开展新技术推广应用、高标准农田建设管理与认定、面源污染治理与农业环境保护、耕地质量建设，监测与评价、肥料肥效监测、秸秆综合还田利用等工作支出。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10.基本支出：指为保障机构正常运转、完成日常工作任务而发生的人员支出和公用支出。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11.项目支出：指在基本支出之外为完成特定任务和事业发展目标所发生的支出。 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附件：202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巴中市巴州区南阳国有林场</w:t>
      </w:r>
      <w:r>
        <w:rPr>
          <w:rFonts w:ascii="Times New Roman" w:hAnsi="Times New Roman" w:cs="Times New Roman"/>
        </w:rPr>
        <w:t>部门预算公开报表</w:t>
      </w:r>
    </w:p>
    <w:sectPr>
      <w:footerReference r:id="rId8" w:type="default"/>
      <w:pgSz w:w="11906" w:h="16838"/>
      <w:pgMar w:top="1440" w:right="1800" w:bottom="1440" w:left="1800" w:header="851" w:footer="992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4662344"/>
      <w:docPartObj>
        <w:docPartGallery w:val="autotext"/>
      </w:docPartObj>
    </w:sdtPr>
    <w:sdtEndPr>
      <w:rPr>
        <w:rFonts w:hint="eastAsia" w:ascii="宋体" w:hAnsi="宋体" w:eastAsia="宋体" w:cs="宋体"/>
        <w:sz w:val="30"/>
        <w:szCs w:val="30"/>
      </w:rPr>
    </w:sdtEndPr>
    <w:sdtContent>
      <w:p>
        <w:pPr>
          <w:pStyle w:val="6"/>
          <w:ind w:firstLine="360"/>
          <w:jc w:val="right"/>
          <w:rPr>
            <w:rFonts w:hint="eastAsia" w:ascii="宋体" w:hAnsi="宋体" w:eastAsia="宋体" w:cs="宋体"/>
            <w:sz w:val="30"/>
            <w:szCs w:val="30"/>
          </w:rPr>
        </w:pPr>
        <w:r>
          <w:rPr>
            <w:rFonts w:hint="eastAsia" w:ascii="宋体" w:hAnsi="宋体" w:eastAsia="宋体" w:cs="宋体"/>
            <w:sz w:val="30"/>
            <w:szCs w:val="30"/>
          </w:rPr>
          <w:fldChar w:fldCharType="begin"/>
        </w:r>
        <w:r>
          <w:rPr>
            <w:rFonts w:hint="eastAsia" w:ascii="宋体" w:hAnsi="宋体" w:eastAsia="宋体" w:cs="宋体"/>
            <w:sz w:val="30"/>
            <w:szCs w:val="30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30"/>
            <w:szCs w:val="30"/>
          </w:rPr>
          <w:fldChar w:fldCharType="separate"/>
        </w:r>
        <w:r>
          <w:rPr>
            <w:rFonts w:hint="eastAsia" w:ascii="宋体" w:hAnsi="宋体" w:eastAsia="宋体" w:cs="宋体"/>
            <w:sz w:val="30"/>
            <w:szCs w:val="30"/>
            <w:lang w:val="zh-CN"/>
          </w:rPr>
          <w:t>2</w:t>
        </w:r>
        <w:r>
          <w:rPr>
            <w:rFonts w:hint="eastAsia" w:ascii="宋体" w:hAnsi="宋体" w:eastAsia="宋体" w:cs="宋体"/>
            <w:sz w:val="30"/>
            <w:szCs w:val="30"/>
          </w:rPr>
          <w:fldChar w:fldCharType="end"/>
        </w:r>
      </w:p>
    </w:sdtContent>
  </w:sdt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4662344"/>
      <w:docPartObj>
        <w:docPartGallery w:val="autotext"/>
      </w:docPartObj>
    </w:sdtPr>
    <w:sdtEndPr>
      <w:rPr>
        <w:rFonts w:hint="eastAsia" w:ascii="宋体" w:hAnsi="宋体" w:eastAsia="宋体" w:cs="宋体"/>
        <w:sz w:val="30"/>
        <w:szCs w:val="30"/>
      </w:rPr>
    </w:sdtEndPr>
    <w:sdtContent>
      <w:p>
        <w:pPr>
          <w:pStyle w:val="6"/>
          <w:ind w:firstLine="360"/>
          <w:jc w:val="right"/>
          <w:rPr>
            <w:rFonts w:hint="eastAsia" w:ascii="宋体" w:hAnsi="宋体" w:eastAsia="宋体" w:cs="宋体"/>
            <w:sz w:val="30"/>
            <w:szCs w:val="30"/>
          </w:rPr>
        </w:pPr>
        <w:r>
          <w:rPr>
            <w:rFonts w:hint="eastAsia" w:ascii="宋体" w:hAnsi="宋体" w:eastAsia="宋体" w:cs="宋体"/>
            <w:sz w:val="30"/>
            <w:szCs w:val="30"/>
          </w:rPr>
          <w:fldChar w:fldCharType="begin"/>
        </w:r>
        <w:r>
          <w:rPr>
            <w:rFonts w:hint="eastAsia" w:ascii="宋体" w:hAnsi="宋体" w:eastAsia="宋体" w:cs="宋体"/>
            <w:sz w:val="30"/>
            <w:szCs w:val="30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30"/>
            <w:szCs w:val="30"/>
          </w:rPr>
          <w:fldChar w:fldCharType="separate"/>
        </w:r>
        <w:r>
          <w:rPr>
            <w:rFonts w:hint="eastAsia" w:ascii="宋体" w:hAnsi="宋体" w:eastAsia="宋体" w:cs="宋体"/>
            <w:sz w:val="30"/>
            <w:szCs w:val="30"/>
            <w:lang w:val="zh-CN"/>
          </w:rPr>
          <w:t>2</w:t>
        </w:r>
        <w:r>
          <w:rPr>
            <w:rFonts w:hint="eastAsia" w:ascii="宋体" w:hAnsi="宋体" w:eastAsia="宋体" w:cs="宋体"/>
            <w:sz w:val="30"/>
            <w:szCs w:val="3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CC4BE"/>
    <w:multiLevelType w:val="singleLevel"/>
    <w:tmpl w:val="FD6CC4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lhMDk0NDMyMGNkZjMwNTllYmZjOWNhZTRiYzIifQ=="/>
  </w:docVars>
  <w:rsids>
    <w:rsidRoot w:val="006452C1"/>
    <w:rsid w:val="0009310D"/>
    <w:rsid w:val="000A2DE7"/>
    <w:rsid w:val="001A3647"/>
    <w:rsid w:val="001C1203"/>
    <w:rsid w:val="001C1D21"/>
    <w:rsid w:val="002F5B42"/>
    <w:rsid w:val="003170D7"/>
    <w:rsid w:val="003B7B64"/>
    <w:rsid w:val="00430A67"/>
    <w:rsid w:val="00474DE5"/>
    <w:rsid w:val="004B058D"/>
    <w:rsid w:val="00532C45"/>
    <w:rsid w:val="006452C1"/>
    <w:rsid w:val="00687D24"/>
    <w:rsid w:val="006E7785"/>
    <w:rsid w:val="006F69EE"/>
    <w:rsid w:val="008640E2"/>
    <w:rsid w:val="008E69D9"/>
    <w:rsid w:val="00924BB2"/>
    <w:rsid w:val="009354DF"/>
    <w:rsid w:val="00AD2F67"/>
    <w:rsid w:val="00C40F78"/>
    <w:rsid w:val="00CA0122"/>
    <w:rsid w:val="00CA720C"/>
    <w:rsid w:val="00CF41BA"/>
    <w:rsid w:val="00CF5987"/>
    <w:rsid w:val="00D26D77"/>
    <w:rsid w:val="00D34013"/>
    <w:rsid w:val="00D63EB5"/>
    <w:rsid w:val="00E371D8"/>
    <w:rsid w:val="00E802F4"/>
    <w:rsid w:val="00EB0203"/>
    <w:rsid w:val="00FC7AAF"/>
    <w:rsid w:val="06013839"/>
    <w:rsid w:val="071F6233"/>
    <w:rsid w:val="080F4D5F"/>
    <w:rsid w:val="0B6C5D5C"/>
    <w:rsid w:val="0C2C7FB4"/>
    <w:rsid w:val="0CEC49B2"/>
    <w:rsid w:val="0E5314F6"/>
    <w:rsid w:val="0EBE2F36"/>
    <w:rsid w:val="0FF931B0"/>
    <w:rsid w:val="12C7751B"/>
    <w:rsid w:val="1545590D"/>
    <w:rsid w:val="17397A23"/>
    <w:rsid w:val="18303078"/>
    <w:rsid w:val="1BA2394E"/>
    <w:rsid w:val="1C2E0650"/>
    <w:rsid w:val="1DF416E3"/>
    <w:rsid w:val="1F011614"/>
    <w:rsid w:val="2058231D"/>
    <w:rsid w:val="224437AA"/>
    <w:rsid w:val="225557B7"/>
    <w:rsid w:val="22AA39C5"/>
    <w:rsid w:val="23DD61B7"/>
    <w:rsid w:val="2546316C"/>
    <w:rsid w:val="268428AA"/>
    <w:rsid w:val="280979A9"/>
    <w:rsid w:val="2A9833F6"/>
    <w:rsid w:val="2A9F7923"/>
    <w:rsid w:val="2B690EAE"/>
    <w:rsid w:val="2E251FBD"/>
    <w:rsid w:val="321504E4"/>
    <w:rsid w:val="332C0B47"/>
    <w:rsid w:val="344B53D8"/>
    <w:rsid w:val="34EC5A2A"/>
    <w:rsid w:val="358857A8"/>
    <w:rsid w:val="37B7525C"/>
    <w:rsid w:val="394711D7"/>
    <w:rsid w:val="39881234"/>
    <w:rsid w:val="39A763EA"/>
    <w:rsid w:val="3A6A7A6C"/>
    <w:rsid w:val="3B8C1F66"/>
    <w:rsid w:val="3C6B7ACC"/>
    <w:rsid w:val="3C71537E"/>
    <w:rsid w:val="3F734D82"/>
    <w:rsid w:val="42D1093B"/>
    <w:rsid w:val="45357305"/>
    <w:rsid w:val="45392D17"/>
    <w:rsid w:val="46941384"/>
    <w:rsid w:val="477F37A0"/>
    <w:rsid w:val="48F33682"/>
    <w:rsid w:val="4A6418FC"/>
    <w:rsid w:val="4C9E677B"/>
    <w:rsid w:val="4D3C0787"/>
    <w:rsid w:val="509F72FB"/>
    <w:rsid w:val="534E683D"/>
    <w:rsid w:val="59C94E4B"/>
    <w:rsid w:val="5A3D6946"/>
    <w:rsid w:val="5B500BE9"/>
    <w:rsid w:val="5CF52D6E"/>
    <w:rsid w:val="5DE119F3"/>
    <w:rsid w:val="5E7C1460"/>
    <w:rsid w:val="62B8299B"/>
    <w:rsid w:val="638A41F6"/>
    <w:rsid w:val="678D1D9C"/>
    <w:rsid w:val="6A486207"/>
    <w:rsid w:val="6DD81DF5"/>
    <w:rsid w:val="6E582260"/>
    <w:rsid w:val="6EAB3DCF"/>
    <w:rsid w:val="6F177ADC"/>
    <w:rsid w:val="6FF308DA"/>
    <w:rsid w:val="716F0571"/>
    <w:rsid w:val="71882502"/>
    <w:rsid w:val="735A4944"/>
    <w:rsid w:val="7394744E"/>
    <w:rsid w:val="7475067A"/>
    <w:rsid w:val="751A1D16"/>
    <w:rsid w:val="764C0E28"/>
    <w:rsid w:val="764C3148"/>
    <w:rsid w:val="768F2F60"/>
    <w:rsid w:val="7BB626CB"/>
    <w:rsid w:val="7D5802E1"/>
    <w:rsid w:val="7EB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640" w:firstLineChars="200"/>
    </w:p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1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2"/>
    <w:link w:val="2"/>
    <w:qFormat/>
    <w:uiPriority w:val="9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19">
    <w:name w:val="标题 2 字符"/>
    <w:basedOn w:val="12"/>
    <w:link w:val="3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35979-0924-4D52-9CFE-1DF125A7ED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3403</Words>
  <Characters>3702</Characters>
  <Lines>41</Lines>
  <Paragraphs>11</Paragraphs>
  <TotalTime>1</TotalTime>
  <ScaleCrop>false</ScaleCrop>
  <LinksUpToDate>false</LinksUpToDate>
  <CharactersWithSpaces>3799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2017-03-21T07:10:00Z</dcterms:created>
  <dc:creator>程凯</dc:creator>
  <cp:lastModifiedBy>罗雪梅</cp:lastModifiedBy>
  <cp:lastPrinted>2023-07-14T07:10:00Z</cp:lastPrinted>
  <dcterms:modified xsi:type="dcterms:W3CDTF">2024-06-05T01:22:07Z</dcterms:modified>
  <dc:title>2024年部门预算编制说明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6C44F395B5C24ACE934A72D7FD8B7848</vt:lpwstr>
  </property>
</Properties>
</file>