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keepNext w:val="0"/>
        <w:keepLines w:val="0"/>
        <w:pageBreakBefore w:val="0"/>
        <w:widowControl/>
        <w:kinsoku w:val="0"/>
        <w:wordWrap/>
        <w:overflowPunct/>
        <w:topLinePunct w:val="0"/>
        <w:autoSpaceDE w:val="0"/>
        <w:autoSpaceDN w:val="0"/>
        <w:bidi w:val="0"/>
        <w:adjustRightInd w:val="0"/>
        <w:snapToGrid w:val="0"/>
        <w:spacing w:before="278" w:line="214" w:lineRule="auto"/>
        <w:ind w:firstLine="1144" w:firstLineChars="200"/>
        <w:jc w:val="both"/>
        <w:textAlignment w:val="baseline"/>
        <w:outlineLvl w:val="0"/>
        <w:rPr>
          <w:rFonts w:hint="eastAsia" w:ascii="方正小标宋简体" w:hAnsi="方正小标宋简体" w:eastAsia="方正小标宋简体" w:cs="方正小标宋简体"/>
          <w:spacing w:val="6"/>
          <w:sz w:val="56"/>
          <w:szCs w:val="56"/>
        </w:rPr>
      </w:pPr>
      <w:r>
        <w:rPr>
          <w:rFonts w:hint="eastAsia" w:ascii="方正小标宋简体" w:hAnsi="方正小标宋简体" w:eastAsia="方正小标宋简体" w:cs="方正小标宋简体"/>
          <w:spacing w:val="6"/>
          <w:sz w:val="56"/>
          <w:szCs w:val="56"/>
        </w:rPr>
        <w:t>巴中市巴州区应急管理局</w:t>
      </w:r>
    </w:p>
    <w:p>
      <w:pPr>
        <w:keepNext w:val="0"/>
        <w:keepLines w:val="0"/>
        <w:pageBreakBefore w:val="0"/>
        <w:widowControl/>
        <w:kinsoku w:val="0"/>
        <w:wordWrap/>
        <w:overflowPunct/>
        <w:topLinePunct w:val="0"/>
        <w:autoSpaceDE w:val="0"/>
        <w:autoSpaceDN w:val="0"/>
        <w:bidi w:val="0"/>
        <w:adjustRightInd w:val="0"/>
        <w:snapToGrid w:val="0"/>
        <w:spacing w:before="304" w:line="183" w:lineRule="auto"/>
        <w:ind w:firstLine="1124" w:firstLineChars="200"/>
        <w:jc w:val="both"/>
        <w:textAlignment w:val="baseline"/>
        <w:outlineLvl w:val="0"/>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pacing w:val="1"/>
          <w:sz w:val="56"/>
          <w:szCs w:val="56"/>
          <w:lang w:eastAsia="zh-CN"/>
        </w:rPr>
        <w:t>2024年</w:t>
      </w:r>
      <w:r>
        <w:rPr>
          <w:rFonts w:hint="eastAsia" w:ascii="方正小标宋简体" w:hAnsi="方正小标宋简体" w:eastAsia="方正小标宋简体" w:cs="方正小标宋简体"/>
          <w:spacing w:val="6"/>
          <w:sz w:val="56"/>
          <w:szCs w:val="56"/>
        </w:rPr>
        <w:t>部门预</w:t>
      </w:r>
      <w:r>
        <w:rPr>
          <w:rFonts w:hint="eastAsia" w:ascii="方正小标宋简体" w:hAnsi="方正小标宋简体" w:eastAsia="方正小标宋简体" w:cs="方正小标宋简体"/>
          <w:spacing w:val="5"/>
          <w:sz w:val="56"/>
          <w:szCs w:val="56"/>
        </w:rPr>
        <w:t>算</w:t>
      </w:r>
      <w:r>
        <w:rPr>
          <w:rFonts w:hint="eastAsia" w:ascii="方正小标宋简体" w:hAnsi="方正小标宋简体" w:eastAsia="方正小标宋简体" w:cs="方正小标宋简体"/>
          <w:spacing w:val="5"/>
          <w:sz w:val="56"/>
          <w:szCs w:val="56"/>
          <w:lang w:eastAsia="zh-CN"/>
        </w:rPr>
        <w:t>编制说明</w:t>
      </w: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jc w:val="center"/>
        <w:outlineLvl w:val="0"/>
        <w:rPr>
          <w:rFonts w:ascii="微软雅黑" w:hAnsi="微软雅黑" w:eastAsia="微软雅黑" w:cs="微软雅黑"/>
          <w:spacing w:val="5"/>
          <w:sz w:val="71"/>
          <w:szCs w:val="71"/>
        </w:rPr>
      </w:pPr>
    </w:p>
    <w:p>
      <w:pPr>
        <w:spacing w:before="278" w:line="214" w:lineRule="auto"/>
        <w:jc w:val="center"/>
        <w:outlineLvl w:val="0"/>
        <w:rPr>
          <w:rFonts w:ascii="微软雅黑" w:hAnsi="微软雅黑" w:eastAsia="微软雅黑" w:cs="微软雅黑"/>
          <w:spacing w:val="5"/>
          <w:sz w:val="71"/>
          <w:szCs w:val="71"/>
        </w:rPr>
      </w:pPr>
    </w:p>
    <w:p>
      <w:pPr>
        <w:spacing w:before="278" w:line="214" w:lineRule="auto"/>
        <w:jc w:val="center"/>
        <w:outlineLvl w:val="0"/>
        <w:rPr>
          <w:rFonts w:ascii="微软雅黑" w:hAnsi="微软雅黑" w:eastAsia="微软雅黑" w:cs="微软雅黑"/>
          <w:spacing w:val="-21"/>
          <w:sz w:val="35"/>
          <w:szCs w:val="35"/>
        </w:rPr>
        <w:sectPr>
          <w:footerReference r:id="rId3" w:type="default"/>
          <w:pgSz w:w="11906" w:h="16839"/>
          <w:pgMar w:top="1431" w:right="1785" w:bottom="855" w:left="1785" w:header="0" w:footer="575" w:gutter="0"/>
          <w:pgBorders>
            <w:top w:val="none" w:sz="0" w:space="0"/>
            <w:left w:val="none" w:sz="0" w:space="0"/>
            <w:bottom w:val="none" w:sz="0" w:space="0"/>
            <w:right w:val="none" w:sz="0" w:space="0"/>
          </w:pgBorders>
          <w:cols w:space="720" w:num="1"/>
        </w:sectPr>
      </w:pPr>
    </w:p>
    <w:p>
      <w:pPr>
        <w:spacing w:before="278" w:line="214" w:lineRule="auto"/>
        <w:jc w:val="center"/>
        <w:outlineLvl w:val="0"/>
        <w:rPr>
          <w:rFonts w:ascii="微软雅黑" w:hAnsi="微软雅黑" w:eastAsia="微软雅黑" w:cs="微软雅黑"/>
          <w:sz w:val="35"/>
          <w:szCs w:val="35"/>
        </w:rPr>
      </w:pPr>
      <w:r>
        <w:rPr>
          <w:rFonts w:ascii="微软雅黑" w:hAnsi="微软雅黑" w:eastAsia="微软雅黑" w:cs="微软雅黑"/>
          <w:spacing w:val="-21"/>
          <w:sz w:val="35"/>
          <w:szCs w:val="35"/>
        </w:rPr>
        <w:t>目</w:t>
      </w:r>
      <w:r>
        <w:rPr>
          <w:rFonts w:hint="eastAsia" w:ascii="微软雅黑" w:hAnsi="微软雅黑" w:eastAsia="微软雅黑" w:cs="微软雅黑"/>
          <w:spacing w:val="-21"/>
          <w:sz w:val="35"/>
          <w:szCs w:val="35"/>
          <w:lang w:val="en-US" w:eastAsia="zh-CN"/>
        </w:rPr>
        <w:t xml:space="preserve">         </w:t>
      </w:r>
      <w:r>
        <w:rPr>
          <w:rFonts w:ascii="微软雅黑" w:hAnsi="微软雅黑" w:eastAsia="微软雅黑" w:cs="微软雅黑"/>
          <w:spacing w:val="-19"/>
          <w:sz w:val="35"/>
          <w:szCs w:val="35"/>
        </w:rPr>
        <w:t>录</w:t>
      </w:r>
    </w:p>
    <w:p>
      <w:pPr>
        <w:spacing w:line="312" w:lineRule="auto"/>
      </w:pPr>
    </w:p>
    <w:p>
      <w:pPr>
        <w:spacing w:line="313" w:lineRule="auto"/>
      </w:pPr>
    </w:p>
    <w:p>
      <w:pPr>
        <w:spacing w:before="101" w:line="226" w:lineRule="auto"/>
        <w:ind w:left="667"/>
        <w:outlineLvl w:val="0"/>
        <w:rPr>
          <w:rFonts w:ascii="黑体" w:hAnsi="黑体" w:eastAsia="黑体" w:cs="黑体"/>
          <w:sz w:val="31"/>
          <w:szCs w:val="31"/>
        </w:rPr>
      </w:pPr>
      <w:r>
        <w:rPr>
          <w:rFonts w:ascii="黑体" w:hAnsi="黑体" w:eastAsia="黑体" w:cs="黑体"/>
          <w:color w:val="333333"/>
          <w:spacing w:val="10"/>
          <w:sz w:val="31"/>
          <w:szCs w:val="31"/>
        </w:rPr>
        <w:t>第</w:t>
      </w:r>
      <w:r>
        <w:rPr>
          <w:rFonts w:ascii="黑体" w:hAnsi="黑体" w:eastAsia="黑体" w:cs="黑体"/>
          <w:color w:val="333333"/>
          <w:spacing w:val="8"/>
          <w:sz w:val="31"/>
          <w:szCs w:val="31"/>
        </w:rPr>
        <w:t xml:space="preserve">一部分  </w:t>
      </w:r>
      <w:r>
        <w:rPr>
          <w:rFonts w:hint="eastAsia" w:ascii="黑体" w:hAnsi="黑体" w:eastAsia="黑体" w:cs="黑体"/>
          <w:color w:val="333333"/>
          <w:spacing w:val="4"/>
          <w:sz w:val="31"/>
          <w:szCs w:val="31"/>
        </w:rPr>
        <w:t>巴州区应急管理局</w:t>
      </w:r>
      <w:r>
        <w:rPr>
          <w:rFonts w:hint="eastAsia" w:ascii="黑体" w:hAnsi="黑体" w:eastAsia="黑体" w:cs="黑体"/>
          <w:color w:val="333333"/>
          <w:spacing w:val="8"/>
          <w:sz w:val="31"/>
          <w:szCs w:val="31"/>
        </w:rPr>
        <w:t>部门</w:t>
      </w:r>
      <w:r>
        <w:rPr>
          <w:rFonts w:ascii="黑体" w:hAnsi="黑体" w:eastAsia="黑体" w:cs="黑体"/>
          <w:color w:val="333333"/>
          <w:spacing w:val="8"/>
          <w:sz w:val="31"/>
          <w:szCs w:val="31"/>
        </w:rPr>
        <w:t>概况</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11"/>
          <w:position w:val="3"/>
          <w:sz w:val="31"/>
          <w:szCs w:val="31"/>
        </w:rPr>
        <w:t>一</w:t>
      </w:r>
      <w:r>
        <w:rPr>
          <w:rFonts w:ascii="仿宋" w:hAnsi="仿宋" w:eastAsia="仿宋" w:cs="仿宋"/>
          <w:color w:val="333333"/>
          <w:spacing w:val="7"/>
          <w:position w:val="3"/>
          <w:sz w:val="31"/>
          <w:szCs w:val="31"/>
        </w:rPr>
        <w:t>、基本职能及主要工作</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12"/>
          <w:position w:val="2"/>
          <w:sz w:val="31"/>
          <w:szCs w:val="31"/>
        </w:rPr>
        <w:t>二</w:t>
      </w:r>
      <w:r>
        <w:rPr>
          <w:rFonts w:ascii="仿宋" w:hAnsi="仿宋" w:eastAsia="仿宋" w:cs="仿宋"/>
          <w:color w:val="333333"/>
          <w:spacing w:val="7"/>
          <w:position w:val="2"/>
          <w:sz w:val="31"/>
          <w:szCs w:val="31"/>
        </w:rPr>
        <w:t>、</w:t>
      </w:r>
      <w:r>
        <w:rPr>
          <w:rFonts w:ascii="仿宋" w:hAnsi="仿宋" w:eastAsia="仿宋" w:cs="仿宋"/>
          <w:color w:val="333333"/>
          <w:spacing w:val="6"/>
          <w:position w:val="2"/>
          <w:sz w:val="31"/>
          <w:szCs w:val="31"/>
        </w:rPr>
        <w:t>部门预算单位构成</w:t>
      </w:r>
    </w:p>
    <w:p>
      <w:pPr>
        <w:spacing w:before="143" w:line="227" w:lineRule="auto"/>
        <w:ind w:left="667"/>
        <w:outlineLvl w:val="0"/>
        <w:rPr>
          <w:rFonts w:ascii="黑体" w:hAnsi="黑体" w:eastAsia="黑体" w:cs="黑体"/>
          <w:sz w:val="31"/>
          <w:szCs w:val="31"/>
        </w:rPr>
      </w:pPr>
      <w:r>
        <w:rPr>
          <w:rFonts w:ascii="黑体" w:hAnsi="黑体" w:eastAsia="黑体" w:cs="黑体"/>
          <w:color w:val="333333"/>
          <w:spacing w:val="8"/>
          <w:sz w:val="31"/>
          <w:szCs w:val="31"/>
        </w:rPr>
        <w:t>第二</w:t>
      </w:r>
      <w:r>
        <w:rPr>
          <w:rFonts w:ascii="黑体" w:hAnsi="黑体" w:eastAsia="黑体" w:cs="黑体"/>
          <w:color w:val="333333"/>
          <w:spacing w:val="4"/>
          <w:sz w:val="31"/>
          <w:szCs w:val="31"/>
        </w:rPr>
        <w:t xml:space="preserve">部分  </w:t>
      </w:r>
      <w:r>
        <w:rPr>
          <w:rFonts w:hint="eastAsia" w:ascii="黑体" w:hAnsi="黑体" w:eastAsia="黑体" w:cs="黑体"/>
          <w:color w:val="333333"/>
          <w:spacing w:val="4"/>
          <w:sz w:val="31"/>
          <w:szCs w:val="31"/>
        </w:rPr>
        <w:t>巴州区应急管理局</w:t>
      </w:r>
      <w:r>
        <w:rPr>
          <w:rFonts w:hint="eastAsia" w:ascii="Times New Roman" w:hAnsi="Times New Roman" w:eastAsia="宋体" w:cs="Times New Roman"/>
          <w:color w:val="333333"/>
          <w:spacing w:val="4"/>
          <w:sz w:val="31"/>
          <w:szCs w:val="31"/>
          <w:lang w:eastAsia="zh-CN"/>
        </w:rPr>
        <w:t>2024年</w:t>
      </w:r>
      <w:r>
        <w:rPr>
          <w:rFonts w:ascii="黑体" w:hAnsi="黑体" w:eastAsia="黑体" w:cs="黑体"/>
          <w:color w:val="333333"/>
          <w:spacing w:val="4"/>
          <w:sz w:val="31"/>
          <w:szCs w:val="31"/>
        </w:rPr>
        <w:t>部门预算表</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9"/>
          <w:position w:val="3"/>
          <w:sz w:val="31"/>
          <w:szCs w:val="31"/>
        </w:rPr>
        <w:t>一</w:t>
      </w:r>
      <w:r>
        <w:rPr>
          <w:rFonts w:ascii="仿宋" w:hAnsi="仿宋" w:eastAsia="仿宋" w:cs="仿宋"/>
          <w:color w:val="333333"/>
          <w:spacing w:val="6"/>
          <w:position w:val="3"/>
          <w:sz w:val="31"/>
          <w:szCs w:val="31"/>
        </w:rPr>
        <w:t>、部门收支总表</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6"/>
          <w:position w:val="2"/>
          <w:sz w:val="31"/>
          <w:szCs w:val="31"/>
        </w:rPr>
        <w:t>二、部门收入总</w:t>
      </w:r>
      <w:r>
        <w:rPr>
          <w:rFonts w:ascii="仿宋" w:hAnsi="仿宋" w:eastAsia="仿宋" w:cs="仿宋"/>
          <w:color w:val="333333"/>
          <w:spacing w:val="4"/>
          <w:position w:val="2"/>
          <w:sz w:val="31"/>
          <w:szCs w:val="31"/>
        </w:rPr>
        <w:t>表</w:t>
      </w:r>
    </w:p>
    <w:p>
      <w:pPr>
        <w:spacing w:before="144" w:line="415" w:lineRule="exact"/>
        <w:ind w:left="684"/>
        <w:outlineLvl w:val="1"/>
        <w:rPr>
          <w:rFonts w:ascii="仿宋" w:hAnsi="仿宋" w:eastAsia="仿宋" w:cs="仿宋"/>
          <w:sz w:val="31"/>
          <w:szCs w:val="31"/>
        </w:rPr>
      </w:pPr>
      <w:r>
        <w:rPr>
          <w:rFonts w:ascii="仿宋" w:hAnsi="仿宋" w:eastAsia="仿宋" w:cs="仿宋"/>
          <w:color w:val="333333"/>
          <w:spacing w:val="6"/>
          <w:position w:val="1"/>
          <w:sz w:val="31"/>
          <w:szCs w:val="31"/>
        </w:rPr>
        <w:t>三、部门支出总表</w:t>
      </w:r>
    </w:p>
    <w:p>
      <w:pPr>
        <w:spacing w:before="164"/>
        <w:ind w:left="713"/>
        <w:outlineLvl w:val="1"/>
        <w:rPr>
          <w:rFonts w:ascii="仿宋" w:hAnsi="仿宋" w:eastAsia="仿宋" w:cs="仿宋"/>
          <w:sz w:val="31"/>
          <w:szCs w:val="31"/>
        </w:rPr>
      </w:pPr>
      <w:r>
        <w:rPr>
          <w:rFonts w:ascii="仿宋" w:hAnsi="仿宋" w:eastAsia="仿宋" w:cs="仿宋"/>
          <w:color w:val="333333"/>
          <w:spacing w:val="5"/>
          <w:sz w:val="31"/>
          <w:szCs w:val="31"/>
        </w:rPr>
        <w:t>四、财政拨款收支预算总</w:t>
      </w:r>
      <w:r>
        <w:rPr>
          <w:rFonts w:ascii="仿宋" w:hAnsi="仿宋" w:eastAsia="仿宋" w:cs="仿宋"/>
          <w:color w:val="333333"/>
          <w:spacing w:val="3"/>
          <w:sz w:val="31"/>
          <w:szCs w:val="31"/>
        </w:rPr>
        <w:t>表</w:t>
      </w:r>
    </w:p>
    <w:p>
      <w:pPr>
        <w:spacing w:before="178" w:line="226" w:lineRule="auto"/>
        <w:ind w:left="681"/>
        <w:outlineLvl w:val="1"/>
        <w:rPr>
          <w:rFonts w:ascii="仿宋" w:hAnsi="仿宋" w:eastAsia="仿宋" w:cs="仿宋"/>
          <w:sz w:val="31"/>
          <w:szCs w:val="31"/>
        </w:rPr>
      </w:pPr>
      <w:r>
        <w:rPr>
          <w:rFonts w:ascii="仿宋" w:hAnsi="仿宋" w:eastAsia="仿宋" w:cs="仿宋"/>
          <w:color w:val="333333"/>
          <w:spacing w:val="8"/>
          <w:sz w:val="31"/>
          <w:szCs w:val="31"/>
        </w:rPr>
        <w:t>五、财政拨款支出预算表 (部门经济分类科目</w:t>
      </w:r>
      <w:r>
        <w:rPr>
          <w:rFonts w:ascii="仿宋" w:hAnsi="仿宋" w:eastAsia="仿宋" w:cs="仿宋"/>
          <w:color w:val="333333"/>
          <w:spacing w:val="3"/>
          <w:sz w:val="31"/>
          <w:szCs w:val="31"/>
        </w:rPr>
        <w:t>)</w:t>
      </w:r>
    </w:p>
    <w:p>
      <w:pPr>
        <w:spacing w:before="201" w:line="236" w:lineRule="auto"/>
        <w:ind w:left="678"/>
        <w:outlineLvl w:val="1"/>
        <w:rPr>
          <w:rFonts w:ascii="仿宋" w:hAnsi="仿宋" w:eastAsia="仿宋" w:cs="仿宋"/>
          <w:sz w:val="31"/>
          <w:szCs w:val="31"/>
        </w:rPr>
      </w:pPr>
      <w:r>
        <w:rPr>
          <w:rFonts w:ascii="仿宋" w:hAnsi="仿宋" w:eastAsia="仿宋" w:cs="仿宋"/>
          <w:color w:val="333333"/>
          <w:spacing w:val="9"/>
          <w:sz w:val="31"/>
          <w:szCs w:val="31"/>
        </w:rPr>
        <w:t>六</w:t>
      </w:r>
      <w:r>
        <w:rPr>
          <w:rFonts w:ascii="仿宋" w:hAnsi="仿宋" w:eastAsia="仿宋" w:cs="仿宋"/>
          <w:color w:val="333333"/>
          <w:spacing w:val="8"/>
          <w:sz w:val="31"/>
          <w:szCs w:val="31"/>
        </w:rPr>
        <w:t>、一般公共预算支出预算表</w:t>
      </w:r>
    </w:p>
    <w:p>
      <w:pPr>
        <w:spacing w:before="182" w:line="239" w:lineRule="auto"/>
        <w:ind w:left="682"/>
        <w:outlineLvl w:val="1"/>
        <w:rPr>
          <w:rFonts w:ascii="仿宋" w:hAnsi="仿宋" w:eastAsia="仿宋" w:cs="仿宋"/>
          <w:sz w:val="31"/>
          <w:szCs w:val="31"/>
        </w:rPr>
      </w:pPr>
      <w:r>
        <w:rPr>
          <w:rFonts w:ascii="仿宋" w:hAnsi="仿宋" w:eastAsia="仿宋" w:cs="仿宋"/>
          <w:color w:val="333333"/>
          <w:spacing w:val="8"/>
          <w:sz w:val="31"/>
          <w:szCs w:val="31"/>
        </w:rPr>
        <w:t>七、一般公共预算基本支出预算</w:t>
      </w:r>
      <w:r>
        <w:rPr>
          <w:rFonts w:ascii="仿宋" w:hAnsi="仿宋" w:eastAsia="仿宋" w:cs="仿宋"/>
          <w:color w:val="333333"/>
          <w:spacing w:val="7"/>
          <w:sz w:val="31"/>
          <w:szCs w:val="31"/>
        </w:rPr>
        <w:t>表</w:t>
      </w:r>
    </w:p>
    <w:p>
      <w:pPr>
        <w:spacing w:before="179" w:line="239" w:lineRule="auto"/>
        <w:ind w:left="674"/>
        <w:outlineLvl w:val="1"/>
        <w:rPr>
          <w:rFonts w:ascii="仿宋" w:hAnsi="仿宋" w:eastAsia="仿宋" w:cs="仿宋"/>
          <w:sz w:val="31"/>
          <w:szCs w:val="31"/>
        </w:rPr>
      </w:pPr>
      <w:r>
        <w:rPr>
          <w:rFonts w:ascii="仿宋" w:hAnsi="仿宋" w:eastAsia="仿宋" w:cs="仿宋"/>
          <w:color w:val="333333"/>
          <w:spacing w:val="15"/>
          <w:sz w:val="31"/>
          <w:szCs w:val="31"/>
        </w:rPr>
        <w:t>八</w:t>
      </w:r>
      <w:r>
        <w:rPr>
          <w:rFonts w:ascii="仿宋" w:hAnsi="仿宋" w:eastAsia="仿宋" w:cs="仿宋"/>
          <w:color w:val="333333"/>
          <w:spacing w:val="8"/>
          <w:sz w:val="31"/>
          <w:szCs w:val="31"/>
        </w:rPr>
        <w:t>、一般公共预算项目支出预算表</w:t>
      </w:r>
    </w:p>
    <w:p>
      <w:pPr>
        <w:spacing w:before="180" w:line="230" w:lineRule="auto"/>
        <w:ind w:left="687"/>
        <w:outlineLvl w:val="1"/>
        <w:rPr>
          <w:rFonts w:ascii="仿宋" w:hAnsi="仿宋" w:eastAsia="仿宋" w:cs="仿宋"/>
          <w:sz w:val="31"/>
          <w:szCs w:val="31"/>
        </w:rPr>
      </w:pPr>
      <w:r>
        <w:rPr>
          <w:rFonts w:ascii="仿宋" w:hAnsi="仿宋" w:eastAsia="仿宋" w:cs="仿宋"/>
          <w:color w:val="333333"/>
          <w:spacing w:val="12"/>
          <w:sz w:val="31"/>
          <w:szCs w:val="31"/>
        </w:rPr>
        <w:t>九</w:t>
      </w:r>
      <w:r>
        <w:rPr>
          <w:rFonts w:ascii="仿宋" w:hAnsi="仿宋" w:eastAsia="仿宋" w:cs="仿宋"/>
          <w:color w:val="333333"/>
          <w:spacing w:val="8"/>
          <w:sz w:val="31"/>
          <w:szCs w:val="31"/>
        </w:rPr>
        <w:t>、一般公共预算“三公”经费支出预算表</w:t>
      </w:r>
    </w:p>
    <w:p>
      <w:pPr>
        <w:spacing w:before="192" w:line="228" w:lineRule="auto"/>
        <w:ind w:left="684"/>
        <w:outlineLvl w:val="1"/>
        <w:rPr>
          <w:rFonts w:ascii="仿宋" w:hAnsi="仿宋" w:eastAsia="仿宋" w:cs="仿宋"/>
          <w:sz w:val="31"/>
          <w:szCs w:val="31"/>
        </w:rPr>
      </w:pPr>
      <w:r>
        <w:rPr>
          <w:rFonts w:ascii="仿宋" w:hAnsi="仿宋" w:eastAsia="仿宋" w:cs="仿宋"/>
          <w:color w:val="333333"/>
          <w:spacing w:val="10"/>
          <w:sz w:val="31"/>
          <w:szCs w:val="31"/>
        </w:rPr>
        <w:t>十</w:t>
      </w:r>
      <w:r>
        <w:rPr>
          <w:rFonts w:ascii="仿宋" w:hAnsi="仿宋" w:eastAsia="仿宋" w:cs="仿宋"/>
          <w:color w:val="333333"/>
          <w:spacing w:val="7"/>
          <w:sz w:val="31"/>
          <w:szCs w:val="31"/>
        </w:rPr>
        <w:t>、政府性基金预算支出表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6"/>
          <w:sz w:val="31"/>
          <w:szCs w:val="31"/>
        </w:rPr>
        <w:t>十</w:t>
      </w:r>
      <w:r>
        <w:rPr>
          <w:rFonts w:ascii="仿宋" w:hAnsi="仿宋" w:eastAsia="仿宋" w:cs="仿宋"/>
          <w:color w:val="333333"/>
          <w:spacing w:val="9"/>
          <w:sz w:val="31"/>
          <w:szCs w:val="31"/>
        </w:rPr>
        <w:t>一</w:t>
      </w:r>
      <w:r>
        <w:rPr>
          <w:rFonts w:ascii="仿宋" w:hAnsi="仿宋" w:eastAsia="仿宋" w:cs="仿宋"/>
          <w:color w:val="333333"/>
          <w:spacing w:val="8"/>
          <w:sz w:val="31"/>
          <w:szCs w:val="31"/>
        </w:rPr>
        <w:t>、政府性基金预算“三公”经费支出预算表</w:t>
      </w:r>
    </w:p>
    <w:p>
      <w:pPr>
        <w:spacing w:before="198" w:line="227" w:lineRule="auto"/>
        <w:ind w:left="684"/>
        <w:outlineLvl w:val="1"/>
        <w:rPr>
          <w:rFonts w:ascii="仿宋" w:hAnsi="仿宋" w:eastAsia="仿宋" w:cs="仿宋"/>
          <w:sz w:val="31"/>
          <w:szCs w:val="31"/>
        </w:rPr>
      </w:pPr>
      <w:r>
        <w:rPr>
          <w:rFonts w:ascii="仿宋" w:hAnsi="仿宋" w:eastAsia="仿宋" w:cs="仿宋"/>
          <w:color w:val="333333"/>
          <w:spacing w:val="-5"/>
          <w:sz w:val="31"/>
          <w:szCs w:val="31"/>
        </w:rPr>
        <w:t>十</w:t>
      </w:r>
      <w:r>
        <w:rPr>
          <w:rFonts w:ascii="仿宋" w:hAnsi="仿宋" w:eastAsia="仿宋" w:cs="仿宋"/>
          <w:color w:val="333333"/>
          <w:spacing w:val="-3"/>
          <w:sz w:val="31"/>
          <w:szCs w:val="31"/>
        </w:rPr>
        <w:t>二、 国有资本经营预算支出表</w:t>
      </w:r>
    </w:p>
    <w:p>
      <w:pPr>
        <w:spacing w:before="197" w:line="228" w:lineRule="auto"/>
        <w:ind w:left="684"/>
        <w:outlineLvl w:val="1"/>
        <w:rPr>
          <w:rFonts w:ascii="仿宋" w:hAnsi="仿宋" w:eastAsia="仿宋" w:cs="仿宋"/>
          <w:sz w:val="31"/>
          <w:szCs w:val="31"/>
        </w:rPr>
      </w:pPr>
      <w:r>
        <w:rPr>
          <w:rFonts w:ascii="仿宋" w:hAnsi="仿宋" w:eastAsia="仿宋" w:cs="仿宋"/>
          <w:color w:val="333333"/>
          <w:spacing w:val="8"/>
          <w:sz w:val="31"/>
          <w:szCs w:val="31"/>
        </w:rPr>
        <w:t>十三、部门预算项目支出绩效目标表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4"/>
          <w:sz w:val="31"/>
          <w:szCs w:val="31"/>
        </w:rPr>
        <w:t>十</w:t>
      </w:r>
      <w:r>
        <w:rPr>
          <w:rFonts w:ascii="仿宋" w:hAnsi="仿宋" w:eastAsia="仿宋" w:cs="仿宋"/>
          <w:color w:val="333333"/>
          <w:spacing w:val="10"/>
          <w:sz w:val="31"/>
          <w:szCs w:val="31"/>
        </w:rPr>
        <w:t>四</w:t>
      </w:r>
      <w:r>
        <w:rPr>
          <w:rFonts w:ascii="仿宋" w:hAnsi="仿宋" w:eastAsia="仿宋" w:cs="仿宋"/>
          <w:color w:val="333333"/>
          <w:spacing w:val="7"/>
          <w:sz w:val="31"/>
          <w:szCs w:val="31"/>
        </w:rPr>
        <w:t>、部门整体支出绩效目标表</w:t>
      </w:r>
    </w:p>
    <w:p>
      <w:pPr>
        <w:spacing w:before="198" w:line="226" w:lineRule="auto"/>
        <w:ind w:left="667"/>
        <w:outlineLvl w:val="0"/>
        <w:rPr>
          <w:rFonts w:ascii="黑体" w:hAnsi="黑体" w:eastAsia="黑体" w:cs="黑体"/>
          <w:sz w:val="31"/>
          <w:szCs w:val="31"/>
        </w:rPr>
      </w:pPr>
      <w:r>
        <w:rPr>
          <w:rFonts w:ascii="黑体" w:hAnsi="黑体" w:eastAsia="黑体" w:cs="黑体"/>
          <w:color w:val="333333"/>
          <w:spacing w:val="5"/>
          <w:sz w:val="31"/>
          <w:szCs w:val="31"/>
        </w:rPr>
        <w:t xml:space="preserve">第三部分  </w:t>
      </w:r>
      <w:r>
        <w:rPr>
          <w:rFonts w:hint="eastAsia" w:ascii="黑体" w:hAnsi="黑体" w:eastAsia="黑体" w:cs="黑体"/>
          <w:color w:val="333333"/>
          <w:spacing w:val="4"/>
          <w:sz w:val="31"/>
          <w:szCs w:val="31"/>
        </w:rPr>
        <w:t>巴州区应急管理局</w:t>
      </w:r>
      <w:r>
        <w:rPr>
          <w:rFonts w:hint="eastAsia" w:ascii="Times New Roman" w:hAnsi="Times New Roman" w:eastAsia="宋体" w:cs="Times New Roman"/>
          <w:color w:val="333333"/>
          <w:spacing w:val="5"/>
          <w:sz w:val="31"/>
          <w:szCs w:val="31"/>
          <w:lang w:eastAsia="zh-CN"/>
        </w:rPr>
        <w:t>2024年</w:t>
      </w:r>
      <w:r>
        <w:rPr>
          <w:rFonts w:ascii="黑体" w:hAnsi="黑体" w:eastAsia="黑体" w:cs="黑体"/>
          <w:color w:val="333333"/>
          <w:spacing w:val="5"/>
          <w:sz w:val="31"/>
          <w:szCs w:val="31"/>
        </w:rPr>
        <w:t>部门预算情况说</w:t>
      </w:r>
      <w:r>
        <w:rPr>
          <w:rFonts w:ascii="黑体" w:hAnsi="黑体" w:eastAsia="黑体" w:cs="黑体"/>
          <w:color w:val="333333"/>
          <w:spacing w:val="4"/>
          <w:sz w:val="31"/>
          <w:szCs w:val="31"/>
        </w:rPr>
        <w:t>明</w:t>
      </w: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sectPr>
          <w:footerReference r:id="rId4" w:type="default"/>
          <w:pgSz w:w="11906" w:h="16839"/>
          <w:pgMar w:top="1431" w:right="1785" w:bottom="855" w:left="1785" w:header="0" w:footer="575" w:gutter="0"/>
          <w:pgBorders>
            <w:top w:val="none" w:sz="0" w:space="0"/>
            <w:left w:val="none" w:sz="0" w:space="0"/>
            <w:bottom w:val="none" w:sz="0" w:space="0"/>
            <w:right w:val="none" w:sz="0" w:space="0"/>
          </w:pgBorders>
          <w:pgNumType w:fmt="decimal" w:start="1"/>
          <w:cols w:space="720" w:num="1"/>
        </w:sectPr>
      </w:pPr>
    </w:p>
    <w:p>
      <w:pPr>
        <w:pStyle w:val="2"/>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223" w:line="181" w:lineRule="auto"/>
        <w:ind w:left="795" w:firstLine="2128" w:firstLineChars="400"/>
        <w:jc w:val="both"/>
        <w:outlineLvl w:val="0"/>
        <w:rPr>
          <w:rFonts w:ascii="微软雅黑" w:hAnsi="微软雅黑" w:eastAsia="微软雅黑" w:cs="微软雅黑"/>
          <w:spacing w:val="3"/>
          <w:sz w:val="52"/>
          <w:szCs w:val="52"/>
        </w:rPr>
      </w:pPr>
      <w:r>
        <w:rPr>
          <w:rFonts w:ascii="微软雅黑" w:hAnsi="微软雅黑" w:eastAsia="微软雅黑" w:cs="微软雅黑"/>
          <w:spacing w:val="6"/>
          <w:sz w:val="52"/>
          <w:szCs w:val="52"/>
        </w:rPr>
        <w:t>第一</w:t>
      </w:r>
      <w:r>
        <w:rPr>
          <w:rFonts w:ascii="微软雅黑" w:hAnsi="微软雅黑" w:eastAsia="微软雅黑" w:cs="微软雅黑"/>
          <w:spacing w:val="3"/>
          <w:sz w:val="52"/>
          <w:szCs w:val="52"/>
        </w:rPr>
        <w:t>部分</w:t>
      </w:r>
    </w:p>
    <w:p>
      <w:pPr>
        <w:spacing w:before="223" w:line="181" w:lineRule="auto"/>
        <w:ind w:left="795"/>
        <w:jc w:val="both"/>
        <w:outlineLvl w:val="0"/>
        <w:rPr>
          <w:rFonts w:ascii="微软雅黑" w:hAnsi="微软雅黑" w:eastAsia="微软雅黑" w:cs="微软雅黑"/>
          <w:sz w:val="52"/>
          <w:szCs w:val="52"/>
        </w:rPr>
      </w:pPr>
      <w:r>
        <w:rPr>
          <w:rFonts w:hint="eastAsia" w:ascii="微软雅黑" w:hAnsi="微软雅黑" w:eastAsia="微软雅黑" w:cs="微软雅黑"/>
          <w:spacing w:val="3"/>
          <w:sz w:val="52"/>
          <w:szCs w:val="52"/>
        </w:rPr>
        <w:t>巴州区应急管理局部门</w:t>
      </w:r>
      <w:r>
        <w:rPr>
          <w:rFonts w:ascii="微软雅黑" w:hAnsi="微软雅黑" w:eastAsia="微软雅黑" w:cs="微软雅黑"/>
          <w:spacing w:val="3"/>
          <w:sz w:val="52"/>
          <w:szCs w:val="52"/>
        </w:rPr>
        <w:t>概况</w:t>
      </w:r>
    </w:p>
    <w:p>
      <w:r>
        <w:br w:type="page"/>
      </w:r>
    </w:p>
    <w:p>
      <w:pPr>
        <w:sectPr>
          <w:footerReference r:id="rId5" w:type="default"/>
          <w:pgSz w:w="11906" w:h="16839"/>
          <w:pgMar w:top="1431" w:right="1785" w:bottom="855" w:left="1785" w:header="0" w:footer="575"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98" w:line="514" w:lineRule="exact"/>
        <w:ind w:firstLine="680" w:firstLineChars="200"/>
        <w:textAlignment w:val="baseline"/>
        <w:outlineLvl w:val="1"/>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pacing w:val="10"/>
          <w:position w:val="4"/>
          <w:sz w:val="32"/>
          <w:szCs w:val="32"/>
          <w14:textFill>
            <w14:solidFill>
              <w14:schemeClr w14:val="tx1"/>
            </w14:solidFill>
          </w14:textFill>
        </w:rPr>
        <w:t>一</w:t>
      </w:r>
      <w:r>
        <w:rPr>
          <w:rFonts w:hint="eastAsia" w:ascii="方正黑体_GBK" w:hAnsi="方正黑体_GBK" w:eastAsia="方正黑体_GBK" w:cs="方正黑体_GBK"/>
          <w:color w:val="000000" w:themeColor="text1"/>
          <w:spacing w:val="8"/>
          <w:position w:val="4"/>
          <w:sz w:val="32"/>
          <w:szCs w:val="32"/>
          <w14:textFill>
            <w14:solidFill>
              <w14:schemeClr w14:val="tx1"/>
            </w14:solidFill>
          </w14:textFill>
        </w:rPr>
        <w:t>、基本职能及主要工作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rPr>
        <w:t>(一) 区应急管理局职能简介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1.负责应急管理工作，组织和指导各地、各部门应对安全生产类、自然灾害类等突发事件和综合防灾减灾救灾工作。负责工矿商贸、煤炭行业安全生产监督管理和安全生产综合监督管理工作。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2.拟订应急管理、安全生产等政策措施，组织编制应急体系建设、安全生产和综合防灾减灾规划。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3.负责组织、指导应急预案体系建设，建立完善事故灾难和自然灾害分级应对制度，牵头组织编制综合应急防灾减灾预案和安全生产类、自然灾害类专项预案，综合协调应急预案衔接工作，组织开展预案演练并落实，推动应急避难设施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4.牵头建立统一的应急管理信息系统，负责信息传输渠道的规划和布局，建立监测预警和灾情报告制度，健全自然灾害信息资源获取和共享机制，依法统一发布灾情。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5.负责组织、指导、协调安全生产类、自然灾害类等突发事件应急救援，承担全区应对一般及以上灾害指挥部工作，综合研判突发事件发展态势并提出应对建议，负责组织一般及以上灾害应急处置工作。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sectPr>
          <w:headerReference r:id="rId6" w:type="default"/>
          <w:footerReference r:id="rId7" w:type="default"/>
          <w:type w:val="continuous"/>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方正仿宋_GBK" w:cs="Times New Roman"/>
          <w:spacing w:val="4"/>
          <w:sz w:val="32"/>
          <w:szCs w:val="32"/>
        </w:rPr>
        <w:t>6.统一协调指挥各类应急专业队伍，建立应急协调联动机制，推进指挥平台对接，提请衔接解放军和武警部队参与应急救援工作。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7.按照国家相关政策和规定负责消防、森林火灾扑救、抗洪抢险、地震和地质灾害救援、生产安全事故救援等专业应急救援力量建设，依法依规统筹指导各地各部门及社会应急救援力量和应急保障能力建设。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8.按照国家相关政策和省委省政府、市委市政府、区委区政府相关规定负责消防工作，组织和指导消防监督、火灾预防、火灾扑救等工作。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 xml:space="preserve">9.负责自然灾害综合监测预警工作，承担自然灾害综合风险评估工作，指导协调森林火灾、水旱灾害、地震和地质灾害等防治工作。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10.负责组织、协调灾害救助工作，组织和指导灾情核查、损失评估、救灾捐赠工作，管理、分配中央、省、市下拨及区级救灾款物并监督使用。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11.依法承担区政府安全生产综合监督管理责任，指导协调、监督检查区级有关部门和各乡镇（街道）安全生产工作，组织开展安全生产巡查、考核工作。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12.按照分级、属地原则，依法监督检查工矿商贸生产经营单位贯彻执行安全生产法律法规情况及其安全生产条件和有关设备（特种设备除外）、材料、劳动防护用品的安全生产管理工作。协助市应急管理局做好中央、省、市在巴州区工矿商贸企业安全生产监督管理工作。负责危险化学品安全监督管理综合工资和烟花爆竹安全生产监督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13.按权限承担非煤矿山、危险化学品、非药品类易制毒化学品和烟花爆竹等生产经营（批发）单位安全生产准入管理工作，承担烟花爆竹经营（零售）单位安全生产准入管理职责。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14.拟定煤炭产业发展计划并组织实施，按权限审核、上报煤炭项目并负责建设管理。负责煤炭生产协调和监督管理，煤炭行业结构调整和产业升级，负责辖区内煤矿瓦斯等级鉴定的监管监察工作。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15.承担煤矿安全生产监督管理责任，依法监督检查煤矿企业贯彻执行安全生产法律法规情况及其安全生产条件和有关设备（特种设备除外）、材料、劳动防护用品的安全生产管理工作，负责组织、指导煤矿企业安全专项整治、安全标准化、瓦斯和水害及相关安全科技发展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16.依法组织、指导生产安全事故调查处理，监督事故查处和责任追究落实情况。组织开展自然灾害类突发事件的调查评估工作。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17.开展应急管理和安全生产方面的交流与合作，组织参与安全生产类、自然灾害类等突发事件的跨区域救援工作。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18.制定应急物资储备和应急救援装备规划并组织实施，会同区发展和改革局等部门建立健全应急物资信息平台和调拨制度，在救灾时统一调度。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19.负责应急管理、安全生产宣传教育和培训工作，组织和指导应急管理、安全生产的科学技术研究、推广应用和信息化建设工作。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20.承担职责范围内的职业健康、生态环境保护、审批服务便民化工作。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21.完成区委和区政府交办的其他任务。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22.职能转变。加强、优化、统筹应急能力建设，构建统一领导、权责一致、权威高效的应急能力体系，推动形成统一指挥、专长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23.有关职责分工。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1</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在安全生产监督管理方面的职责分工。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按照“管行业必须管安全、管业务必须管安全、管生产经营必须管安全”的原则，区应急管理局承担安全生产综合监督管理职责；区应急管理局和其他负有安全生产监督管理职责的区级有关部门，依法依规承担相关行业领域安全生产监督管理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2</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在自然灾害防救方面的职责分工。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区应急管理局与市自然资源和规划局巴州分局、区水利局、区农业农村局（区林业局）等部门要做到各司其职、无缝对接。区应急管理局负责统一组织、统一指挥、统一协调自然灾害类突发事件应急救援救灾工作。市自然资源和规划局巴州分局、区水利局、区农业农村局（区林业局）依法依规承担相关行业领域的灾害监测、预警、防治工作及抢险救援的技术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eastAsia" w:ascii="Calibri" w:hAnsi="Calibri" w:eastAsia="方正仿宋_GBK" w:cs="Calibri"/>
          <w:spacing w:val="4"/>
          <w:sz w:val="32"/>
          <w:szCs w:val="32"/>
          <w:lang w:val="en-US" w:eastAsia="zh-CN"/>
        </w:rPr>
        <w:t>①</w:t>
      </w:r>
      <w:r>
        <w:rPr>
          <w:rFonts w:hint="default" w:ascii="Times New Roman" w:hAnsi="Times New Roman" w:eastAsia="方正仿宋_GBK" w:cs="Times New Roman"/>
          <w:spacing w:val="4"/>
          <w:sz w:val="32"/>
          <w:szCs w:val="32"/>
        </w:rPr>
        <w:t>区应急管理局负责牵头组织编制全区综合应急防灾减灾预案和安全生产类、自然灾害类专项预案，承担应急预案衔接工作，组织开展预案演练并落实。按照分级负责的原则，组织、指导自然灾害类应急救援救灾；组织、协调一般灾害应急救援工作，并按权限作出决定；承担全区应对一般及以上灾害指挥部工作，负责组织一般及以上灾害应急处置工作。组织编制全区综合防灾减灾规划，指导、协调有关部门森林火灾、水旱灾害、地震和地质灾害等防治工作；会同市自然资源和规划局巴州分局、区水利局、区农业农村局（区林业局）、区气象局等有关部门建立统一的应急管理信息平台，建立监测预警和灾情报告制度，健全自然灾害信息资源获取和共享机制，依法统一发布灾情、发布森林火险信息。组织开展多灾种和灾害链综合监测预警，承担自然灾害综合风险评估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eastAsia" w:ascii="Calibri" w:hAnsi="Calibri" w:eastAsia="方正仿宋_GBK" w:cs="Calibri"/>
          <w:spacing w:val="4"/>
          <w:sz w:val="32"/>
          <w:szCs w:val="32"/>
          <w:lang w:val="en-US" w:eastAsia="zh-CN"/>
        </w:rPr>
        <w:t>②</w:t>
      </w:r>
      <w:r>
        <w:rPr>
          <w:rFonts w:hint="default" w:ascii="Times New Roman" w:hAnsi="Times New Roman" w:eastAsia="方正仿宋_GBK" w:cs="Times New Roman"/>
          <w:spacing w:val="4"/>
          <w:sz w:val="32"/>
          <w:szCs w:val="32"/>
        </w:rPr>
        <w:t>市自然资源和规划局巴州分局负责落实综合防灾减灾规划相关要求，组织编制并实施地质灾害防治规划和防护标准；组织、指导、协调和监督地质灾害调查评价及隐患的普查、详查、排查；组织、指导开展群测群防、专业监测和预报预警等工作，组织、指导开展地质灾害工程治理工作；承担地质灾害应急救援的技术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eastAsia" w:ascii="Calibri" w:hAnsi="Calibri" w:eastAsia="方正仿宋_GBK" w:cs="Calibri"/>
          <w:spacing w:val="4"/>
          <w:sz w:val="32"/>
          <w:szCs w:val="32"/>
          <w:lang w:val="en-US" w:eastAsia="zh-CN"/>
        </w:rPr>
        <w:t>③</w:t>
      </w:r>
      <w:r>
        <w:rPr>
          <w:rFonts w:hint="default" w:ascii="Times New Roman" w:hAnsi="Times New Roman" w:eastAsia="方正仿宋_GBK" w:cs="Times New Roman"/>
          <w:spacing w:val="4"/>
          <w:sz w:val="32"/>
          <w:szCs w:val="32"/>
        </w:rPr>
        <w:t>区水利局负责落实综合防灾减灾规划相关要求，组织编制并实施洪水干旱灾害防治规划和防护标准；承担水情旱情监测预警工作；组织编制区内河流、湖泊、塘库堰和水工程的防御洪水、抗御旱灾调度和应急水量调度方案，按程序报批并组织实施；承担防御洪水应急抢险的技术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val="en-US" w:eastAsia="zh-CN"/>
        </w:rPr>
        <w:t>④</w:t>
      </w:r>
      <w:r>
        <w:rPr>
          <w:rFonts w:hint="default" w:ascii="Times New Roman" w:hAnsi="Times New Roman" w:eastAsia="方正仿宋_GBK" w:cs="Times New Roman"/>
          <w:spacing w:val="4"/>
          <w:sz w:val="32"/>
          <w:szCs w:val="32"/>
        </w:rPr>
        <w:t>区农业农村局（区林业局）负责落实综合防灾减灾规划相关要求，组织编制并实施森林火灾防治规划和防护标准；组织和指导开展防火巡护、火源管理、防火设施建设等工作；负责森林火情监测预警、火灾预防工作，发送森林火险信息；组织和指导全区开展防火宣传教育、督促检查等森林防火工作；负责森林专业防火队伍组建管理；负责未达到森林火灾应急预案中启动应急响应条件的初期火情火灾处置；牵头组织森林火灾损失评估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val="en-US" w:eastAsia="zh-CN"/>
        </w:rPr>
        <w:t>⑤</w:t>
      </w:r>
      <w:r>
        <w:rPr>
          <w:rFonts w:hint="default" w:ascii="Times New Roman" w:hAnsi="Times New Roman" w:eastAsia="方正仿宋_GBK" w:cs="Times New Roman"/>
          <w:spacing w:val="4"/>
          <w:sz w:val="32"/>
          <w:szCs w:val="32"/>
        </w:rPr>
        <w:t>必要时，市自然资源和规划局巴州分局、区水利局、区农业农村局（区林业局）等部门可以提请区应急管理局，以区应急指挥机构名义部署相关防治工作。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w:t>
      </w:r>
      <w:r>
        <w:rPr>
          <w:rFonts w:hint="default" w:ascii="方正楷体_GBK" w:hAnsi="方正楷体_GBK" w:eastAsia="方正楷体_GBK" w:cs="方正楷体_GBK"/>
          <w:spacing w:val="4"/>
          <w:sz w:val="32"/>
          <w:szCs w:val="32"/>
        </w:rPr>
        <w:t>二</w:t>
      </w:r>
      <w:r>
        <w:rPr>
          <w:rFonts w:hint="eastAsia" w:ascii="方正楷体_GBK" w:hAnsi="方正楷体_GBK" w:eastAsia="方正楷体_GBK" w:cs="方正楷体_GBK"/>
          <w:spacing w:val="4"/>
          <w:sz w:val="32"/>
          <w:szCs w:val="32"/>
          <w:lang w:eastAsia="zh-CN"/>
        </w:rPr>
        <w:t>）</w:t>
      </w:r>
      <w:r>
        <w:rPr>
          <w:rFonts w:hint="default" w:ascii="方正楷体_GBK" w:hAnsi="方正楷体_GBK" w:eastAsia="方正楷体_GBK" w:cs="方正楷体_GBK"/>
          <w:spacing w:val="4"/>
          <w:sz w:val="32"/>
          <w:szCs w:val="32"/>
        </w:rPr>
        <w:t>区应急管理局</w:t>
      </w:r>
      <w:r>
        <w:rPr>
          <w:rFonts w:hint="eastAsia" w:ascii="方正楷体_GBK" w:hAnsi="方正楷体_GBK" w:eastAsia="方正楷体_GBK" w:cs="方正楷体_GBK"/>
          <w:spacing w:val="4"/>
          <w:sz w:val="32"/>
          <w:szCs w:val="32"/>
          <w:lang w:eastAsia="zh-CN"/>
        </w:rPr>
        <w:t>2024年</w:t>
      </w:r>
      <w:r>
        <w:rPr>
          <w:rFonts w:hint="default" w:ascii="方正楷体_GBK" w:hAnsi="方正楷体_GBK" w:eastAsia="方正楷体_GBK" w:cs="方正楷体_GBK"/>
          <w:spacing w:val="4"/>
          <w:sz w:val="32"/>
          <w:szCs w:val="32"/>
        </w:rPr>
        <w:t>重点工作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left"/>
        <w:textAlignment w:val="baseline"/>
        <w:rPr>
          <w:rFonts w:hint="eastAsia" w:ascii="Times New Roman" w:hAnsi="Times New Roman" w:eastAsia="方正仿宋_GBK" w:cs="Times New Roman"/>
          <w:b/>
          <w:bCs/>
          <w:spacing w:val="4"/>
          <w:sz w:val="32"/>
          <w:szCs w:val="32"/>
        </w:rPr>
      </w:pPr>
      <w:r>
        <w:rPr>
          <w:rFonts w:hint="eastAsia" w:ascii="Times New Roman" w:hAnsi="Times New Roman" w:eastAsia="方正仿宋_GBK" w:cs="Times New Roman"/>
          <w:b/>
          <w:bCs/>
          <w:spacing w:val="4"/>
          <w:sz w:val="32"/>
          <w:szCs w:val="32"/>
          <w:lang w:val="en-US" w:eastAsia="zh-CN"/>
        </w:rPr>
        <w:t>1.</w:t>
      </w:r>
      <w:r>
        <w:rPr>
          <w:rFonts w:hint="eastAsia" w:ascii="Times New Roman" w:hAnsi="Times New Roman" w:eastAsia="方正仿宋_GBK" w:cs="Times New Roman"/>
          <w:b/>
          <w:bCs/>
          <w:spacing w:val="4"/>
          <w:sz w:val="32"/>
          <w:szCs w:val="32"/>
        </w:rPr>
        <w:t>坚持党建引领，锤炼应急队伍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全面加强政治建设。坚持深学悟透习近平总书记关于安全生产、应急管理、防灾减灾系列重要论述、所作的重要指示批示以及提出的新思想、新战略，紧扣队伍特点，创新党建形式、丰富党建载体、提高党建质效，不断增强局党委的凝聚力、组织力、战斗力，切实把党建工作成效转化为防风险、遏事故、减灾害、保安全、护稳定、促发展的生动实践。坚持把党建工作与巩固深化主题教育成果同步推进，与应急管理中心工作深度融合，全面谋划，统筹部署，固本强基、提质增效，严格落实“三会一课”等党内生活制度，不断探索“党建+应急”融合新模式，把党的领导贯穿应急管理全过程和各方面；坚持把思想政治工作摆在首位，找准党建要求与党员需求、理论学习与业务工作的结合点，筑牢信仰之基、补足精神之钙、把稳思想之舵，以坚定的使命感、责任感，全力防范化解重大安全风险，应对新发展格局下应急管理工作面临的新机遇和新挑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2</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不断完善组织建设。规范做好干部双重管理工作，配合区委选优配强局领导班子。推动机关党支部换届选举工作，配齐配强支部班子。积极搭建“党建+应急管理”主题党日学习活动，开展与帮扶村党支部结队共建，推进党支部建设标准化、规范化。认真落实机关党建“三级五岗”责任清单。持续做好党员发展和党员教育，培育评选一批党员示范岗、优秀党员代表，突出模范带动，建强壮大应急先锋队伍，切实发挥党员先锋模范作用。认真组织开展理论宣讲、谈心谈话、党性教育、关怀帮扶等活动，在森林防灭火、防汛抗旱关键时期集体重温习近平总书记重要训词精神，让党性教育接地气、有生气。</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3</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探索实施规范化建设。实施推进应急管理规范化建设年活动，严格按规定和程序办事，落实“一件事一次办”，去繁冗，提效率。建立完善《干部监督管理制度》，用制度管人管事，确保有章法、有统数。重点工作拟制规范清单，挂图作战，确保有条不紊、按期推进。局领导干部每周一拟制一张工作清单，明任务；周二进行一次工作提醒，教方法；周三进行一次工作调度，催进度；周四剖析一个典型案例，看效果；周五撰写一份工作小结，要结果。局机关各股室参照执行，向分管领导交账，并在每周一班子成员碰头会上随机抽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4</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狠抓干部队伍作风建设。常态化落实中央《八项规定》精神，认真贯彻新修订的纪律处分条例。严格落实党风廉政建设一岗双责，持续开展不作为、慢作为、乱作为专项整治；强化反腐倡廉警示教育，确保全体干部职工从思想上不敢腐、不能腐、不想腐。严格落实“三重一大”、项目资金管理、公车管理、固定资产管理等制度，认真摸排重点岗位、关键岗位的廉政风险点，建立廉政风险台账，常态化开展作风问题专项整治。坚定不移守好应急管理部门意识形态阵地，打造政治素质过硬、作风建设优良的准军事化队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left"/>
        <w:textAlignment w:val="baseline"/>
        <w:rPr>
          <w:rFonts w:hint="eastAsia" w:ascii="Times New Roman" w:hAnsi="Times New Roman" w:eastAsia="方正仿宋_GBK" w:cs="Times New Roman"/>
          <w:b/>
          <w:bCs/>
          <w:spacing w:val="4"/>
          <w:sz w:val="32"/>
          <w:szCs w:val="32"/>
        </w:rPr>
      </w:pPr>
      <w:r>
        <w:rPr>
          <w:rFonts w:hint="eastAsia" w:ascii="Times New Roman" w:hAnsi="Times New Roman" w:eastAsia="方正仿宋_GBK" w:cs="Times New Roman"/>
          <w:b/>
          <w:bCs/>
          <w:spacing w:val="4"/>
          <w:sz w:val="32"/>
          <w:szCs w:val="32"/>
          <w:lang w:val="en-US" w:eastAsia="zh-CN"/>
        </w:rPr>
        <w:t>2.</w:t>
      </w:r>
      <w:r>
        <w:rPr>
          <w:rFonts w:hint="eastAsia" w:ascii="Times New Roman" w:hAnsi="Times New Roman" w:eastAsia="方正仿宋_GBK" w:cs="Times New Roman"/>
          <w:b/>
          <w:bCs/>
          <w:spacing w:val="4"/>
          <w:sz w:val="32"/>
          <w:szCs w:val="32"/>
        </w:rPr>
        <w:t>坚持固本强基，守牢安全生产底线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5</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全覆盖实施安全生产治本攻坚三年行动。拟定巴州区安全生产治本攻坚三年行动实施方案，明确工作任务、标准、步骤、责任及完成时限，健全安全生产管理体系，严格落实企业安全生产诚信承诺公告、举报奖励和教育培训等制度。推进实施安全生产责任保险，强化双重预防机制。健全完善重大事故隐患台账，落实整改销号闭环管理，加强重大事故隐患治理挂牌督办。督促企业按规定比例提取安全生产费用，保障重大事故隐患和突出问题排查整改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val="en-US" w:eastAsia="zh-CN"/>
        </w:rPr>
        <w:t>（6）</w:t>
      </w:r>
      <w:r>
        <w:rPr>
          <w:rFonts w:hint="eastAsia" w:ascii="Times New Roman" w:hAnsi="Times New Roman" w:eastAsia="方正仿宋_GBK" w:cs="Times New Roman"/>
          <w:spacing w:val="4"/>
          <w:sz w:val="32"/>
          <w:szCs w:val="32"/>
        </w:rPr>
        <w:t>扎实抓好危险化学品和工贸行业安全生产。一是严格化工园区安全准入，落实曾口化工园区整体性安全风险评价。持续开展高危细分领域、重大危险源、油气储存企业、烟花爆竹等专项整治。推进危险化学品企业和烟花爆竹企业标准化建设，厘清安全管理责任，开展“三类人员”轮训，不断提升从业人员技能素质，大力推进企业双重预防机制数字化建设。二是持续开展工贸领域安全生产隐患大排查大整治。对全区15家工贸行业重点检查企业采用“进驻式”、“清单式”检查方式进行全覆盖执法检查；对70家工贸企业通过随机抽取方式进行抽查，建立安全联络员制度，推动“两个专项整治”走深走实。组织开展重大事故隐患专项排查整治“回头看”，开展全方位无死角全面排查治理。完成全区单班涉粉作业10人以上粉尘涉爆企业的项目企业端建设工作，形成“线上”风险监测预警和“线下”监管执法结合的监管模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7</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深入推进安全生产清单制管理信息化建设。督促指导区安委会成员单位、各乡镇（街道）制定完善安全生产责任清单，全面推广“四川安全码”暨四川省安全生产清单制管理系统，以“责任”落实为关键，“风险”管控为重点，“清单”建立为载体，“科技”手段为支撑，加快推进“四川安全码”应用，发挥“一处一码、一码呈现、码里明责、码上履责”作用，推动企业主体责任、党委政府领导责任、行业部门监管责任和应急管理部门综合督办责任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8</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强化安全生产考核巡查和督促检查。发挥区安办牵头揽总作用，及时制发《巴州区2024年安全生产工作要点》，健全完善安全生产考核巡查机制，抓好《安全生产考核巡查工作规定》贯彻落实。开展2024年度安全生产党政同责目标考评和2024年安全生产工作巡查。始终坚持把“防在先”作为首要目标，定期发布安全生产风险预警，督促各地各行业主管部门聚焦重点领域、重要部位、重点时段存在的安全隐患，紧盯不放、强化督导、及时治理，实现隐患动态清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9</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刚性落实事故调查“四不放过”要求。按照“四不放过”和“依法依规、实事求是、注重实效”原则，开展生产安全事故调查，查明事故发生原因、分清事故责任、按时结案、按要求公开，不断提高事故调查水平。落实全口径事故灾难统计制度，健全三级双渠道统计报送机制，强化督导检查，开展宣传培训，全面贯彻《生产安全事故统计调查制度》及《安全生产行政执法统计调查制度》。健全生产安全事故举报机制，按照《安全生产举报奖励办法》，全面推广运用“安全生产举报系统”和微信小程序，使安全生产举报奖励方便高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10</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保持安全生产“打非治违”高压态势。科学制定年度执法监察计划，认真开展2024年监管执法专项行动和岁末年初“打非治违”行动，抓好案件行政处罚工作，以强有力措施推动安全隐患真查真改。严厉打击安全生产各类违法行为，严格执行安全生产重点行业（领域）执法情况月通报制度，依法精准实施停产整顿、关闭取缔、上限处罚等措施。全覆盖使用“互联网＋执法”平台开展执法监察计划、工贸行业专项执法等检查行动，持续推进执法活动全程线上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11</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调整充实安全生产专业委员会和专家委员会。健全完善19个专业委员会及对应的专家委员会，充分发挥19个专委会的职能作用和专业优势，排查各行各业各类风险隐患，建立台账，明确措施，限时整改，销号闭环。定期组织开展安全风险会商研判，研究制定务实管用的措施办法，开展重要时间节点风险预警提示。深入一线开展调查研究，对有关重大决策、重要部署、规划计划等方面进行分析论证，提出意见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left"/>
        <w:textAlignment w:val="baseline"/>
        <w:rPr>
          <w:rFonts w:hint="eastAsia" w:ascii="Times New Roman" w:hAnsi="Times New Roman" w:eastAsia="方正仿宋_GBK" w:cs="Times New Roman"/>
          <w:b/>
          <w:bCs/>
          <w:spacing w:val="4"/>
          <w:sz w:val="32"/>
          <w:szCs w:val="32"/>
        </w:rPr>
      </w:pPr>
      <w:r>
        <w:rPr>
          <w:rFonts w:hint="eastAsia" w:ascii="Times New Roman" w:hAnsi="Times New Roman" w:eastAsia="方正仿宋_GBK" w:cs="Times New Roman"/>
          <w:b/>
          <w:bCs/>
          <w:spacing w:val="4"/>
          <w:sz w:val="32"/>
          <w:szCs w:val="32"/>
          <w:lang w:val="en-US" w:eastAsia="zh-CN"/>
        </w:rPr>
        <w:t>3.</w:t>
      </w:r>
      <w:r>
        <w:rPr>
          <w:rFonts w:hint="eastAsia" w:ascii="Times New Roman" w:hAnsi="Times New Roman" w:eastAsia="方正仿宋_GBK" w:cs="Times New Roman"/>
          <w:b/>
          <w:bCs/>
          <w:spacing w:val="4"/>
          <w:sz w:val="32"/>
          <w:szCs w:val="32"/>
        </w:rPr>
        <w:t>坚持防治结合，抓实防灾减灾救灾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12</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做好大震巨灾应对准备。完善防灾减灾救灾工作体系，各地各相关部门要全面完善抗震救灾工作机构，健全“三网一员”队伍。加强地震台站维护管理及地震灾情速报队伍建设，开展地震灾害评估与区划。修订防震减灾救灾应急预案，宣讲防震知识，开展逃生演练，提升基层防震避险和自救互救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13</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做好森林防灭火工作。贯彻落实新形势下森林防灭火工作若干措施，着力推进森林防灭火工作“五个纵深拓展”。严格执行区人民政府2024年森林防火命令，实施常态化隐患排查整治、野外违规用火行为查处，严格落实“群防群治、末端发力、终端见效”四级包保责任制和“十户联保”、村民轮流挂牌值班等责任机制，强化排查、整改、销号全过程责任链条管理，健全落实基层群众参与防火的保障政策和奖惩机制。持续推进森林防灭火基础设施建设，做好队伍前置、装备保养、设施维护等工作。严格执行灭火组织指挥工作规范，科学组织指挥扑火行动，坚决做到“火扑灭、零伤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14</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做好防汛抗旱工作。深刻汲取各地洪涝灾害教训，强力推动责任落实、隐患排查、监测预警、避险转移等各项防范应对措施。持续巩固完善联防联控机制，落实直达基层责任人的临灾预警“叫应喊醒”和预警响应联动机制。修订完善年度防汛抗旱专项预案，组织开展防汛抢险应急演练，全面开展汛期排查整治，组织各地紧盯重点区域、重点部位，提前做好防范应对各项准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15</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做好受灾群众救援救助。加强应急资源管理平台、“一卡通”审批系统等应用，依法依规落实救灾专项资金管理、使用、监督等工作。夯实灾情管理基础，加强灾害信息员队伍建设，定期更新灾情信息员信息，开展专项培训，做好灾情系统启用准备，提升灾情统计报送能力，持续完善灾情统计、报送、核查、评估档案资料管理，及时补充防汛抗旱抢险救灾物资，提升精准救助水平，确保受灾群众基本生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left"/>
        <w:textAlignment w:val="baseline"/>
        <w:rPr>
          <w:rFonts w:hint="eastAsia" w:ascii="Times New Roman" w:hAnsi="Times New Roman" w:eastAsia="方正仿宋_GBK" w:cs="Times New Roman"/>
          <w:b/>
          <w:bCs/>
          <w:spacing w:val="4"/>
          <w:sz w:val="32"/>
          <w:szCs w:val="32"/>
        </w:rPr>
      </w:pPr>
      <w:r>
        <w:rPr>
          <w:rFonts w:hint="eastAsia" w:ascii="Times New Roman" w:hAnsi="Times New Roman" w:eastAsia="方正仿宋_GBK" w:cs="Times New Roman"/>
          <w:b/>
          <w:bCs/>
          <w:spacing w:val="4"/>
          <w:sz w:val="32"/>
          <w:szCs w:val="32"/>
          <w:lang w:val="en-US" w:eastAsia="zh-CN"/>
        </w:rPr>
        <w:t>4.</w:t>
      </w:r>
      <w:r>
        <w:rPr>
          <w:rFonts w:hint="eastAsia" w:ascii="Times New Roman" w:hAnsi="Times New Roman" w:eastAsia="方正仿宋_GBK" w:cs="Times New Roman"/>
          <w:b/>
          <w:bCs/>
          <w:spacing w:val="4"/>
          <w:sz w:val="32"/>
          <w:szCs w:val="32"/>
        </w:rPr>
        <w:t>坚持强基补短，提升综合应急能力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16</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加强应急指挥部建设。指导各地因地制宜建设完善应急指挥部，以实战标准建强指挥场所、配齐设施设备、用好应急指挥信息化系统和各类支撑信息数据库。加强专业指挥能力建设，充实专家和技术保障团队，分类编织完善应急指挥参考手册，不断提升调度指挥、会商研判、响应联动、业务保障等工作效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17</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 xml:space="preserve">加强预案完善演练。推进基层预案体系建设，健全完善突发事件应急预案管理实施办法，强化预案数字化管理。按照《突发事件应急预案管理办法》，组织启动新一轮应急预案修订及备案工作。围绕多灾叠加、巨灾应对等极端情况，组织开展各类灾害沙盘推演，指导各部门、乡镇（街道）和企业常态化开展实兵推演，推动各级领导干部熟悉预案和处置流程，亲自组织参与演练，切实提升一线指挥长组织指挥能力。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18</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加强救援力量建设。建强各类应急救援队伍，举办全区应急救援队伍业务知识和应急救援能力提升专题培训，提升队伍实战能力，引导社会应急力量有序发展，建立专业应急救援队伍、社会应急力量共训共练、救援协作等机制，推动形成各司其职、互为补充、协同作战、共同发展的多元化应急救援体系，打造全灾种大应急专业尖兵力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19</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加强物资装备建设。加强救灾物资储备，完成2024年度区级救灾物资采购。参照中央、省、市救灾物资品种要求，结合灾害事故特点，合理扩大规模，储备能够满足启动二级响应需求的救灾物资，并留有安全冗余。优化物资储备布局，逐级前置救灾物资，持续提升高风险区域救灾物资保障水平。指导各乡镇实施一批物资储备、实战实训、战勤保障等基础设施改造升级项目，进一步提升应急救援保障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20</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加强科技应用支撑。贯彻落实《关于进一步提升基层应急管理能力的意见》，高质量推进自然灾害应急能力提升工程，持续深化应急管理体系“网格化”建设。加大人财物投入，积极创建综合减灾示范县和示范社区。编发自然灾害风险研判报告，组织相关部门开展全区自然灾害风险研判，健全常态化自然灾害综合风险普查评估机制，深化普查成果应用，强化数据资源汇聚和共享交换，加强基础数据库建设，推进数据动态更新和共享。落实网络安全和数据安全要求，加强应急通信保障，切实做好应急指挥系统的维护管理和测试升级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left"/>
        <w:textAlignment w:val="baseline"/>
        <w:rPr>
          <w:rFonts w:hint="eastAsia" w:ascii="Times New Roman" w:hAnsi="Times New Roman" w:eastAsia="方正仿宋_GBK" w:cs="Times New Roman"/>
          <w:b/>
          <w:bCs/>
          <w:spacing w:val="4"/>
          <w:sz w:val="32"/>
          <w:szCs w:val="32"/>
        </w:rPr>
      </w:pPr>
      <w:r>
        <w:rPr>
          <w:rFonts w:hint="eastAsia" w:ascii="Times New Roman" w:hAnsi="Times New Roman" w:eastAsia="方正仿宋_GBK" w:cs="Times New Roman"/>
          <w:b/>
          <w:bCs/>
          <w:spacing w:val="4"/>
          <w:sz w:val="32"/>
          <w:szCs w:val="32"/>
          <w:lang w:val="en-US" w:eastAsia="zh-CN"/>
        </w:rPr>
        <w:t>5.</w:t>
      </w:r>
      <w:r>
        <w:rPr>
          <w:rFonts w:hint="eastAsia" w:ascii="Times New Roman" w:hAnsi="Times New Roman" w:eastAsia="方正仿宋_GBK" w:cs="Times New Roman"/>
          <w:b/>
          <w:bCs/>
          <w:spacing w:val="4"/>
          <w:sz w:val="32"/>
          <w:szCs w:val="32"/>
        </w:rPr>
        <w:t>坚持多措并举，夯实各项基础保障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21</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提升应急管理法治化水平。常态化开展会前学法、以案释法，送法上门（进企）等活动，不断提升应急系统干部运用法治思维和法治方式防范化解重大安全风险的能力，做到依法履职、依法决策、依法办事。严格贯彻落实行政执法“三项制度”，健全执法制度、创新执法方式、加强执法监督、提高执法效能。组织开展法律法规、业务知识等内容的学习考试，全面提升执法人员法律素养及业务能力。强化行政执法内部监督和社会公众监督，严格执行安全生产行政执法与刑事司法衔接工作办法，强化“行刑衔接”，提高法律威慑力。按规定呈报应急管理典型执法案例，宣传推广典型经验，做到精准执法、严格执法、规范执法。</w:t>
      </w: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22</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弘扬应急文化和安全意识。推动习近平总书记重要训词精神入脑入心，进一步加强宣传舆论阵地建设，强化“救民于水火、助民于危难、给人民以力量”的职业精神教育，弘扬极端认真负责、甘于牺牲奉献、敢于善于斗争的优良作风，推出一批反映应急管理的文学、视频、摄影等作品，用先进文化展现当代应急人职业风采。深化应急知识科普教育，以安全宣传“五进”、安全生产月、防灾减灾日、消防安全月、“3·30”警示日等活动为载体，深入推进应急管理“八五”普法，组织好集中宣传活动，推动落实“谁执法谁普法”责任制，大力宣传普及应急管理政策法规知识。加强安全生产典型事故</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洪涝、地震、地灾成功避险等典型案例宣传，强化森林防灭火违法案件警示教育，引导广大群众提升灾害防范应对意识和自救互救能力。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二、部门预算单位构成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lang w:val="en-US" w:eastAsia="zh-CN"/>
        </w:rPr>
        <w:t>巴中市巴州</w:t>
      </w:r>
      <w:r>
        <w:rPr>
          <w:rFonts w:hint="default" w:ascii="Times New Roman" w:hAnsi="Times New Roman" w:eastAsia="方正仿宋_GBK" w:cs="Times New Roman"/>
          <w:spacing w:val="4"/>
          <w:sz w:val="32"/>
          <w:szCs w:val="32"/>
        </w:rPr>
        <w:t>区应急管理局</w:t>
      </w:r>
      <w:r>
        <w:rPr>
          <w:rFonts w:hint="default" w:ascii="Times New Roman" w:hAnsi="Times New Roman" w:eastAsia="方正仿宋_GBK" w:cs="Times New Roman"/>
          <w:spacing w:val="4"/>
          <w:sz w:val="32"/>
          <w:szCs w:val="32"/>
          <w:lang w:val="en-US" w:eastAsia="zh-CN"/>
        </w:rPr>
        <w:t>属于行政单位，</w:t>
      </w:r>
      <w:r>
        <w:rPr>
          <w:rFonts w:hint="default" w:ascii="Times New Roman" w:hAnsi="Times New Roman" w:eastAsia="方正仿宋_GBK" w:cs="Times New Roman"/>
          <w:spacing w:val="4"/>
          <w:sz w:val="32"/>
          <w:szCs w:val="32"/>
        </w:rPr>
        <w:t>下属二级预算单位3个，其中参照公务员法管理的事业单位1个，其他事业单位2个。主要包括：巴中市巴州区</w:t>
      </w:r>
      <w:r>
        <w:rPr>
          <w:rFonts w:hint="eastAsia" w:ascii="Times New Roman" w:hAnsi="Times New Roman" w:eastAsia="方正仿宋_GBK" w:cs="Times New Roman"/>
          <w:spacing w:val="4"/>
          <w:sz w:val="32"/>
          <w:szCs w:val="32"/>
          <w:lang w:val="en-US" w:eastAsia="zh-CN"/>
        </w:rPr>
        <w:t>应急管理综合行政执法</w:t>
      </w:r>
      <w:r>
        <w:rPr>
          <w:rFonts w:hint="default" w:ascii="Times New Roman" w:hAnsi="Times New Roman" w:eastAsia="方正仿宋_GBK" w:cs="Times New Roman"/>
          <w:spacing w:val="4"/>
          <w:sz w:val="32"/>
          <w:szCs w:val="32"/>
        </w:rPr>
        <w:t>大队、巴中市巴州区安全生产应急指挥保障中心、巴中市巴州区减灾中心。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sectPr>
          <w:footerReference r:id="rId8" w:type="default"/>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223" w:line="551" w:lineRule="exact"/>
        <w:ind w:left="1316"/>
        <w:outlineLvl w:val="0"/>
        <w:rPr>
          <w:rFonts w:ascii="微软雅黑" w:hAnsi="微软雅黑" w:eastAsia="微软雅黑" w:cs="微软雅黑"/>
          <w:sz w:val="52"/>
          <w:szCs w:val="52"/>
        </w:rPr>
      </w:pPr>
      <w:r>
        <w:rPr>
          <w:rFonts w:ascii="微软雅黑" w:hAnsi="微软雅黑" w:eastAsia="微软雅黑" w:cs="微软雅黑"/>
          <w:spacing w:val="4"/>
          <w:position w:val="-2"/>
          <w:sz w:val="52"/>
          <w:szCs w:val="52"/>
        </w:rPr>
        <w:t xml:space="preserve">第二部分   </w:t>
      </w:r>
      <w:r>
        <w:rPr>
          <w:rFonts w:hint="eastAsia" w:ascii="微软雅黑" w:hAnsi="微软雅黑" w:eastAsia="微软雅黑" w:cs="微软雅黑"/>
          <w:spacing w:val="4"/>
          <w:position w:val="-2"/>
          <w:sz w:val="52"/>
          <w:szCs w:val="52"/>
        </w:rPr>
        <w:t>巴州区应急管理局</w:t>
      </w:r>
    </w:p>
    <w:p>
      <w:pPr>
        <w:spacing w:before="2" w:line="211" w:lineRule="auto"/>
        <w:ind w:left="2033"/>
        <w:outlineLvl w:val="1"/>
        <w:rPr>
          <w:rFonts w:ascii="微软雅黑" w:hAnsi="微软雅黑" w:eastAsia="微软雅黑" w:cs="微软雅黑"/>
          <w:sz w:val="52"/>
          <w:szCs w:val="52"/>
        </w:rPr>
      </w:pPr>
      <w:r>
        <w:rPr>
          <w:rFonts w:hint="eastAsia" w:ascii="Times New Roman" w:hAnsi="Times New Roman" w:eastAsia="宋体" w:cs="Times New Roman"/>
          <w:spacing w:val="-1"/>
          <w:sz w:val="52"/>
          <w:szCs w:val="52"/>
          <w:lang w:eastAsia="zh-CN"/>
        </w:rPr>
        <w:t>2024年</w:t>
      </w:r>
      <w:r>
        <w:rPr>
          <w:rFonts w:ascii="微软雅黑" w:hAnsi="微软雅黑" w:eastAsia="微软雅黑" w:cs="微软雅黑"/>
          <w:spacing w:val="-1"/>
          <w:sz w:val="52"/>
          <w:szCs w:val="52"/>
        </w:rPr>
        <w:t>部门预算表</w:t>
      </w:r>
    </w:p>
    <w:p>
      <w:pPr>
        <w:sectPr>
          <w:headerReference r:id="rId9" w:type="default"/>
          <w:footerReference r:id="rId10" w:type="default"/>
          <w:pgSz w:w="11906" w:h="16839"/>
          <w:pgMar w:top="2098" w:right="1474" w:bottom="1984" w:left="1587" w:header="0" w:footer="587" w:gutter="0"/>
          <w:pgBorders>
            <w:top w:val="none" w:sz="0" w:space="0"/>
            <w:left w:val="none" w:sz="0" w:space="0"/>
            <w:bottom w:val="none" w:sz="0" w:space="0"/>
            <w:right w:val="none" w:sz="0" w:space="0"/>
          </w:pgBorders>
          <w:pgNumType w:fmt="decimal"/>
          <w:cols w:space="720" w:num="1"/>
        </w:sectPr>
      </w:pPr>
    </w:p>
    <w:p>
      <w:pPr>
        <w:spacing w:line="91" w:lineRule="auto"/>
        <w:rPr>
          <w:sz w:val="2"/>
        </w:rPr>
      </w:pPr>
    </w:p>
    <w:p>
      <w:pPr>
        <w:pStyle w:val="3"/>
        <w:rPr>
          <w:sz w:val="2"/>
        </w:rPr>
      </w:pPr>
    </w:p>
    <w:p>
      <w:pPr>
        <w:jc w:val="center"/>
        <w:rPr>
          <w:rFonts w:hint="eastAsia" w:eastAsia="宋体"/>
          <w:sz w:val="2"/>
          <w:lang w:eastAsia="zh-CN"/>
        </w:rPr>
      </w:pPr>
      <w:r>
        <w:rPr>
          <w:rFonts w:hint="eastAsia" w:eastAsia="宋体"/>
          <w:sz w:val="2"/>
          <w:lang w:eastAsia="zh-CN"/>
        </w:rPr>
        <w:object>
          <v:shape id="_x0000_i1025" o:spt="75" type="#_x0000_t75" style="height:650.35pt;width:459.1pt;" o:ole="t" filled="f" o:preferrelative="t" stroked="f" coordsize="21600,21600">
            <v:path/>
            <v:fill on="f" focussize="0,0"/>
            <v:stroke on="f"/>
            <v:imagedata r:id="rId20" o:title=""/>
            <o:lock v:ext="edit" aspectratio="t"/>
            <w10:wrap type="none"/>
            <w10:anchorlock/>
          </v:shape>
          <o:OLEObject Type="Embed" ProgID="Excel.Sheet.8" ShapeID="_x0000_i1025" DrawAspect="Content" ObjectID="_1468075725" r:id="rId19">
            <o:LockedField>false</o:LockedField>
          </o:OLEObject>
        </w:object>
      </w:r>
    </w:p>
    <w:p>
      <w:pPr>
        <w:pStyle w:val="3"/>
        <w:rPr>
          <w:sz w:val="2"/>
        </w:rPr>
      </w:pPr>
    </w:p>
    <w:p>
      <w:pPr>
        <w:rPr>
          <w:sz w:val="2"/>
        </w:rPr>
      </w:pPr>
    </w:p>
    <w:p>
      <w:pPr>
        <w:pStyle w:val="3"/>
        <w:rPr>
          <w:sz w:val="2"/>
        </w:rPr>
      </w:pPr>
    </w:p>
    <w:p>
      <w:pPr>
        <w:rPr>
          <w:sz w:val="2"/>
        </w:rPr>
      </w:pPr>
    </w:p>
    <w:p>
      <w:pPr>
        <w:rPr>
          <w:sz w:val="2"/>
        </w:rPr>
      </w:pPr>
    </w:p>
    <w:p>
      <w:pPr>
        <w:pStyle w:val="3"/>
        <w:rPr>
          <w:sz w:val="2"/>
        </w:rPr>
      </w:pPr>
    </w:p>
    <w:p>
      <w:pPr>
        <w:rPr>
          <w:sz w:val="2"/>
        </w:rPr>
      </w:pPr>
    </w:p>
    <w:p>
      <w:pPr>
        <w:pStyle w:val="3"/>
        <w:rPr>
          <w:sz w:val="2"/>
        </w:rPr>
        <w:sectPr>
          <w:footerReference r:id="rId11" w:type="default"/>
          <w:pgSz w:w="11906" w:h="16839"/>
          <w:pgMar w:top="1431" w:right="1780" w:bottom="855" w:left="1780" w:header="0" w:footer="575" w:gutter="0"/>
          <w:pgBorders>
            <w:top w:val="none" w:sz="0" w:space="0"/>
            <w:left w:val="none" w:sz="0" w:space="0"/>
            <w:bottom w:val="none" w:sz="0" w:space="0"/>
            <w:right w:val="none" w:sz="0" w:space="0"/>
          </w:pgBorders>
          <w:pgNumType w:fmt="decimal"/>
          <w:cols w:space="720" w:num="1"/>
        </w:sectPr>
      </w:pPr>
    </w:p>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jc w:val="center"/>
        <w:rPr>
          <w:rFonts w:hint="eastAsia" w:eastAsia="宋体"/>
          <w:sz w:val="2"/>
          <w:lang w:eastAsia="zh-CN"/>
        </w:rPr>
      </w:pPr>
      <w:r>
        <w:rPr>
          <w:rFonts w:hint="eastAsia" w:eastAsia="宋体"/>
          <w:sz w:val="2"/>
          <w:lang w:eastAsia="zh-CN"/>
        </w:rPr>
        <w:object>
          <v:shape id="_x0000_i1026" o:spt="75" type="#_x0000_t75" style="height:148.4pt;width:705.4pt;" o:ole="t" filled="f" o:preferrelative="t" stroked="f" coordsize="21600,21600">
            <v:path/>
            <v:fill on="f" focussize="0,0"/>
            <v:stroke on="f"/>
            <v:imagedata r:id="rId22" o:title=""/>
            <o:lock v:ext="edit" aspectratio="t"/>
            <w10:wrap type="none"/>
            <w10:anchorlock/>
          </v:shape>
          <o:OLEObject Type="Embed" ProgID="Excel.Sheet.8" ShapeID="_x0000_i1026" DrawAspect="Content" ObjectID="_1468075726" r:id="rId21">
            <o:LockedField>false</o:LockedField>
          </o:OLEObject>
        </w:object>
      </w: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2"/>
        </w:rPr>
      </w:pPr>
    </w:p>
    <w:p>
      <w:pPr>
        <w:pStyle w:val="3"/>
        <w:rPr>
          <w:sz w:val="2"/>
        </w:rPr>
      </w:pPr>
    </w:p>
    <w:p>
      <w:pPr>
        <w:rPr>
          <w:sz w:val="48"/>
          <w:szCs w:val="48"/>
        </w:rPr>
      </w:pPr>
    </w:p>
    <w:p>
      <w:pPr>
        <w:pStyle w:val="3"/>
        <w:rPr>
          <w:sz w:val="48"/>
          <w:szCs w:val="48"/>
        </w:rPr>
      </w:pPr>
    </w:p>
    <w:p>
      <w:pPr>
        <w:rPr>
          <w:sz w:val="48"/>
          <w:szCs w:val="48"/>
        </w:rPr>
      </w:pPr>
    </w:p>
    <w:p>
      <w:pPr>
        <w:rPr>
          <w:sz w:val="48"/>
          <w:szCs w:val="48"/>
        </w:rPr>
      </w:pPr>
    </w:p>
    <w:p>
      <w:pPr>
        <w:pStyle w:val="3"/>
        <w:jc w:val="center"/>
        <w:rPr>
          <w:rFonts w:hint="eastAsia" w:eastAsia="宋体"/>
          <w:sz w:val="48"/>
          <w:szCs w:val="48"/>
          <w:lang w:eastAsia="zh-CN"/>
        </w:rPr>
      </w:pPr>
      <w:r>
        <w:rPr>
          <w:rFonts w:hint="eastAsia" w:eastAsia="宋体"/>
          <w:sz w:val="48"/>
          <w:szCs w:val="48"/>
          <w:lang w:eastAsia="zh-CN"/>
        </w:rPr>
        <w:object>
          <v:shape id="_x0000_i1027" o:spt="75" type="#_x0000_t75" style="height:301.55pt;width:691.05pt;" o:ole="t" filled="f" o:preferrelative="t" stroked="f" coordsize="21600,21600">
            <v:path/>
            <v:fill on="f" focussize="0,0"/>
            <v:stroke on="f"/>
            <v:imagedata r:id="rId24" o:title=""/>
            <o:lock v:ext="edit" aspectratio="t"/>
            <w10:wrap type="none"/>
            <w10:anchorlock/>
          </v:shape>
          <o:OLEObject Type="Embed" ProgID="Excel.Sheet.8" ShapeID="_x0000_i1027" DrawAspect="Content" ObjectID="_1468075727" r:id="rId23">
            <o:LockedField>false</o:LockedField>
          </o:OLEObject>
        </w:object>
      </w:r>
    </w:p>
    <w:p>
      <w:pPr>
        <w:rPr>
          <w:sz w:val="48"/>
          <w:szCs w:val="48"/>
        </w:rPr>
      </w:pPr>
    </w:p>
    <w:p>
      <w:pPr>
        <w:pStyle w:val="2"/>
        <w:jc w:val="center"/>
        <w:rPr>
          <w:rFonts w:hint="eastAsia" w:eastAsia="宋体"/>
          <w:sz w:val="48"/>
          <w:szCs w:val="48"/>
          <w:lang w:eastAsia="zh-CN"/>
        </w:rPr>
      </w:pPr>
      <w:r>
        <w:rPr>
          <w:rFonts w:hint="eastAsia" w:eastAsia="宋体"/>
          <w:sz w:val="48"/>
          <w:szCs w:val="48"/>
          <w:lang w:eastAsia="zh-CN"/>
        </w:rPr>
        <w:object>
          <v:shape id="_x0000_i1028" o:spt="75" type="#_x0000_t75" style="height:422.05pt;width:702.45pt;" o:ole="t" filled="f" o:preferrelative="t" stroked="f" coordsize="21600,21600">
            <v:path/>
            <v:fill on="f" focussize="0,0"/>
            <v:stroke on="f"/>
            <v:imagedata r:id="rId26" o:title=""/>
            <o:lock v:ext="edit" aspectratio="t"/>
            <w10:wrap type="none"/>
            <w10:anchorlock/>
          </v:shape>
          <o:OLEObject Type="Embed" ProgID="Excel.Sheet.8" ShapeID="_x0000_i1028" DrawAspect="Content" ObjectID="_1468075728" r:id="rId25">
            <o:LockedField>false</o:LockedField>
          </o:OLEObject>
        </w:object>
      </w:r>
      <w:r>
        <w:rPr>
          <w:rFonts w:hint="eastAsia" w:eastAsia="宋体"/>
          <w:sz w:val="48"/>
          <w:szCs w:val="48"/>
          <w:lang w:eastAsia="zh-CN"/>
        </w:rPr>
        <w:object>
          <v:shape id="_x0000_i1029" o:spt="75" type="#_x0000_t75" style="height:433.3pt;width:683.95pt;" o:ole="t" filled="f" o:preferrelative="t" stroked="f" coordsize="21600,21600">
            <v:path/>
            <v:fill on="f" focussize="0,0"/>
            <v:stroke on="f"/>
            <v:imagedata r:id="rId28" o:title=""/>
            <o:lock v:ext="edit" aspectratio="t"/>
            <w10:wrap type="none"/>
            <w10:anchorlock/>
          </v:shape>
          <o:OLEObject Type="Embed" ProgID="Excel.Sheet.8" ShapeID="_x0000_i1029" DrawAspect="Content" ObjectID="_1468075729" r:id="rId27">
            <o:LockedField>false</o:LockedField>
          </o:OLEObject>
        </w:object>
      </w:r>
    </w:p>
    <w:p>
      <w:pPr>
        <w:jc w:val="center"/>
        <w:rPr>
          <w:rFonts w:hint="eastAsia" w:eastAsia="宋体"/>
          <w:sz w:val="48"/>
          <w:szCs w:val="48"/>
          <w:lang w:eastAsia="zh-CN"/>
        </w:rPr>
      </w:pPr>
      <w:r>
        <w:rPr>
          <w:rFonts w:hint="eastAsia" w:eastAsia="宋体"/>
          <w:sz w:val="48"/>
          <w:szCs w:val="48"/>
          <w:lang w:eastAsia="zh-CN"/>
        </w:rPr>
        <w:object>
          <v:shape id="_x0000_i1030" o:spt="75" type="#_x0000_t75" style="height:285.05pt;width:653.25pt;" o:ole="t" filled="f" o:preferrelative="t" stroked="f" coordsize="21600,21600">
            <v:path/>
            <v:fill on="f" focussize="0,0"/>
            <v:stroke on="f"/>
            <v:imagedata r:id="rId30" o:title=""/>
            <o:lock v:ext="edit" aspectratio="t"/>
            <w10:wrap type="none"/>
            <w10:anchorlock/>
          </v:shape>
          <o:OLEObject Type="Embed" ProgID="Excel.Sheet.8" ShapeID="_x0000_i1030" DrawAspect="Content" ObjectID="_1468075730" r:id="rId29">
            <o:LockedField>false</o:LockedField>
          </o:OLEObject>
        </w:object>
      </w:r>
    </w:p>
    <w:p>
      <w:pPr>
        <w:jc w:val="center"/>
        <w:rPr>
          <w:rFonts w:hint="eastAsia" w:eastAsia="宋体"/>
          <w:sz w:val="48"/>
          <w:szCs w:val="48"/>
          <w:lang w:eastAsia="zh-CN"/>
        </w:rPr>
      </w:pPr>
      <w:r>
        <w:rPr>
          <w:rFonts w:hint="eastAsia" w:eastAsia="宋体"/>
          <w:sz w:val="48"/>
          <w:szCs w:val="48"/>
          <w:lang w:eastAsia="zh-CN"/>
        </w:rPr>
        <w:object>
          <v:shape id="_x0000_i1031" o:spt="75" type="#_x0000_t75" style="height:433.55pt;width:655.55pt;" o:ole="t" filled="f" o:preferrelative="t" stroked="f" coordsize="21600,21600">
            <v:path/>
            <v:fill on="f" focussize="0,0"/>
            <v:stroke on="f"/>
            <v:imagedata r:id="rId32" o:title=""/>
            <o:lock v:ext="edit" aspectratio="t"/>
            <w10:wrap type="none"/>
            <w10:anchorlock/>
          </v:shape>
          <o:OLEObject Type="Embed" ProgID="Excel.Sheet.8" ShapeID="_x0000_i1031" DrawAspect="Content" ObjectID="_1468075731" r:id="rId31">
            <o:LockedField>false</o:LockedField>
          </o:OLEObject>
        </w:object>
      </w:r>
      <w:r>
        <w:rPr>
          <w:rFonts w:hint="eastAsia" w:eastAsia="宋体"/>
          <w:sz w:val="48"/>
          <w:szCs w:val="48"/>
          <w:lang w:eastAsia="zh-CN"/>
        </w:rPr>
        <w:object>
          <v:shape id="_x0000_i1032" o:spt="75" type="#_x0000_t75" style="height:270.65pt;width:680.25pt;" o:ole="t" filled="f" o:preferrelative="t" stroked="f" coordsize="21600,21600">
            <v:path/>
            <v:fill on="f" focussize="0,0"/>
            <v:stroke on="f"/>
            <v:imagedata r:id="rId34" o:title=""/>
            <o:lock v:ext="edit" aspectratio="t"/>
            <w10:wrap type="none"/>
            <w10:anchorlock/>
          </v:shape>
          <o:OLEObject Type="Embed" ProgID="Excel.Sheet.8" ShapeID="_x0000_i1032" DrawAspect="Content" ObjectID="_1468075732" r:id="rId33">
            <o:LockedField>false</o:LockedField>
          </o:OLEObject>
        </w:object>
      </w:r>
    </w:p>
    <w:p>
      <w:pPr>
        <w:pStyle w:val="3"/>
        <w:rPr>
          <w:sz w:val="48"/>
          <w:szCs w:val="48"/>
        </w:rPr>
      </w:pPr>
    </w:p>
    <w:p>
      <w:pPr>
        <w:rPr>
          <w:sz w:val="48"/>
          <w:szCs w:val="48"/>
        </w:rPr>
      </w:pPr>
    </w:p>
    <w:p>
      <w:pPr>
        <w:pStyle w:val="3"/>
        <w:rPr>
          <w:sz w:val="48"/>
          <w:szCs w:val="48"/>
        </w:rPr>
      </w:pPr>
    </w:p>
    <w:p>
      <w:pPr>
        <w:rPr>
          <w:sz w:val="48"/>
          <w:szCs w:val="48"/>
        </w:rPr>
      </w:pPr>
    </w:p>
    <w:p>
      <w:pPr>
        <w:pStyle w:val="3"/>
        <w:rPr>
          <w:sz w:val="48"/>
          <w:szCs w:val="48"/>
        </w:rPr>
      </w:pPr>
    </w:p>
    <w:p>
      <w:pPr>
        <w:rPr>
          <w:sz w:val="48"/>
          <w:szCs w:val="48"/>
        </w:rPr>
      </w:pPr>
    </w:p>
    <w:p>
      <w:pPr>
        <w:pStyle w:val="3"/>
        <w:jc w:val="center"/>
        <w:rPr>
          <w:rFonts w:hint="eastAsia" w:eastAsia="宋体"/>
          <w:sz w:val="48"/>
          <w:szCs w:val="48"/>
          <w:lang w:eastAsia="zh-CN"/>
        </w:rPr>
      </w:pPr>
      <w:r>
        <w:rPr>
          <w:rFonts w:hint="eastAsia" w:eastAsia="宋体"/>
          <w:sz w:val="48"/>
          <w:szCs w:val="48"/>
          <w:lang w:eastAsia="zh-CN"/>
        </w:rPr>
        <w:object>
          <v:shape id="_x0000_i1033" o:spt="75" type="#_x0000_t75" style="height:235.2pt;width:658.55pt;" o:ole="t" filled="f" o:preferrelative="t" stroked="f" coordsize="21600,21600">
            <v:path/>
            <v:fill on="f" focussize="0,0"/>
            <v:stroke on="f"/>
            <v:imagedata r:id="rId36" o:title=""/>
            <o:lock v:ext="edit" aspectratio="t"/>
            <w10:wrap type="none"/>
            <w10:anchorlock/>
          </v:shape>
          <o:OLEObject Type="Embed" ProgID="Excel.Sheet.8" ShapeID="_x0000_i1033" DrawAspect="Content" ObjectID="_1468075733" r:id="rId35">
            <o:LockedField>false</o:LockedField>
          </o:OLEObject>
        </w:object>
      </w:r>
    </w:p>
    <w:p>
      <w:pPr>
        <w:pStyle w:val="3"/>
        <w:rPr>
          <w:sz w:val="48"/>
          <w:szCs w:val="48"/>
        </w:rPr>
        <w:sectPr>
          <w:pgSz w:w="16839" w:h="11906" w:orient="landscape"/>
          <w:pgMar w:top="2098" w:right="1474" w:bottom="1984" w:left="1587" w:header="0" w:footer="575" w:gutter="0"/>
          <w:pgBorders>
            <w:top w:val="none" w:sz="0" w:space="0"/>
            <w:left w:val="none" w:sz="0" w:space="0"/>
            <w:bottom w:val="none" w:sz="0" w:space="0"/>
            <w:right w:val="none" w:sz="0" w:space="0"/>
          </w:pgBorders>
          <w:pgNumType w:fmt="decimal"/>
          <w:cols w:space="720" w:num="1"/>
        </w:sectPr>
      </w:pPr>
    </w:p>
    <w:p/>
    <w:p>
      <w:pPr>
        <w:rPr>
          <w:sz w:val="48"/>
          <w:szCs w:val="48"/>
        </w:rPr>
      </w:pPr>
    </w:p>
    <w:tbl>
      <w:tblPr>
        <w:tblStyle w:val="13"/>
        <w:tblW w:w="0" w:type="auto"/>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2"/>
        <w:gridCol w:w="534"/>
        <w:gridCol w:w="1300"/>
        <w:gridCol w:w="597"/>
        <w:gridCol w:w="595"/>
        <w:gridCol w:w="2691"/>
        <w:gridCol w:w="800"/>
        <w:gridCol w:w="891"/>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2" w:hRule="atLeast"/>
        </w:trPr>
        <w:tc>
          <w:tcPr>
            <w:tcW w:w="0" w:type="auto"/>
            <w:gridSpan w:val="4"/>
            <w:tcBorders>
              <w:tl2br w:val="nil"/>
              <w:tr2bl w:val="nil"/>
            </w:tcBorders>
          </w:tcPr>
          <w:p>
            <w:pPr>
              <w:pStyle w:val="9"/>
            </w:pPr>
          </w:p>
          <w:p>
            <w:pPr>
              <w:spacing w:line="312" w:lineRule="auto"/>
              <w:rPr>
                <w:rFonts w:eastAsiaTheme="minorEastAsia"/>
              </w:rPr>
            </w:pPr>
          </w:p>
          <w:p>
            <w:pPr>
              <w:spacing w:before="99" w:line="221" w:lineRule="auto"/>
              <w:rPr>
                <w:rFonts w:eastAsiaTheme="minorEastAsia"/>
              </w:rPr>
            </w:pPr>
          </w:p>
          <w:p>
            <w:pPr>
              <w:spacing w:before="99" w:line="221" w:lineRule="auto"/>
              <w:rPr>
                <w:rFonts w:ascii="宋体" w:hAnsi="宋体" w:eastAsia="宋体" w:cs="宋体"/>
                <w:sz w:val="20"/>
                <w:szCs w:val="20"/>
              </w:rPr>
            </w:pPr>
            <w:r>
              <w:rPr>
                <w:rFonts w:ascii="宋体" w:hAnsi="宋体" w:eastAsia="宋体" w:cs="宋体"/>
                <w:spacing w:val="-2"/>
                <w:sz w:val="22"/>
                <w:szCs w:val="22"/>
              </w:rPr>
              <w:t>部门：124-</w:t>
            </w:r>
            <w:r>
              <w:rPr>
                <w:rFonts w:hint="eastAsia" w:ascii="宋体" w:hAnsi="宋体" w:eastAsia="宋体" w:cs="宋体"/>
                <w:spacing w:val="-2"/>
                <w:sz w:val="22"/>
                <w:szCs w:val="22"/>
              </w:rPr>
              <w:t>应急管理局本级</w:t>
            </w:r>
          </w:p>
        </w:tc>
        <w:tc>
          <w:tcPr>
            <w:tcW w:w="0" w:type="auto"/>
            <w:gridSpan w:val="5"/>
            <w:tcBorders>
              <w:tl2br w:val="nil"/>
              <w:tr2bl w:val="nil"/>
            </w:tcBorders>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部门</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225" w:lineRule="auto"/>
              <w:ind w:left="402"/>
              <w:rPr>
                <w:rFonts w:ascii="宋体" w:hAnsi="宋体" w:eastAsia="宋体" w:cs="宋体"/>
                <w:sz w:val="31"/>
                <w:szCs w:val="31"/>
              </w:rPr>
            </w:pPr>
            <w:r>
              <w:rPr>
                <w:rFonts w:ascii="宋体" w:hAnsi="宋体" w:eastAsia="宋体" w:cs="宋体"/>
                <w:spacing w:val="16"/>
                <w:sz w:val="31"/>
                <w:szCs w:val="31"/>
                <w14:textOutline w14:w="5791" w14:cap="sq" w14:cmpd="sng" w14:algn="ctr">
                  <w14:solidFill>
                    <w14:srgbClr w14:val="000000"/>
                  </w14:solidFill>
                  <w14:prstDash w14:val="solid"/>
                  <w14:bevel/>
                </w14:textOutline>
              </w:rPr>
              <w:t>政</w:t>
            </w:r>
            <w:r>
              <w:rPr>
                <w:rFonts w:ascii="宋体" w:hAnsi="宋体" w:eastAsia="宋体" w:cs="宋体"/>
                <w:spacing w:val="9"/>
                <w:sz w:val="31"/>
                <w:szCs w:val="31"/>
                <w14:textOutline w14:w="5791" w14:cap="sq" w14:cmpd="sng" w14:algn="ctr">
                  <w14:solidFill>
                    <w14:srgbClr w14:val="000000"/>
                  </w14:solidFill>
                  <w14:prstDash w14:val="solid"/>
                  <w14:bevel/>
                </w14:textOutline>
              </w:rPr>
              <w:t>府性基金预算支出表</w:t>
            </w:r>
          </w:p>
          <w:p>
            <w:pPr>
              <w:spacing w:before="144" w:line="228" w:lineRule="auto"/>
              <w:ind w:firstLine="3996" w:firstLineChars="1800"/>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0" w:type="auto"/>
            <w:gridSpan w:val="6"/>
            <w:tcBorders>
              <w:tl2br w:val="nil"/>
              <w:tr2bl w:val="nil"/>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algn="ctr">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0" w:type="auto"/>
            <w:gridSpan w:val="3"/>
            <w:tcBorders>
              <w:tl2br w:val="nil"/>
              <w:tr2bl w:val="nil"/>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本</w:t>
            </w:r>
            <w:r>
              <w:rPr>
                <w:rFonts w:ascii="宋体" w:hAnsi="宋体" w:eastAsia="宋体" w:cs="宋体"/>
                <w:sz w:val="22"/>
                <w:szCs w:val="22"/>
                <w14:textOutline w14:w="4013" w14:cap="sq" w14:cmpd="sng" w14:algn="ctr">
                  <w14:solidFill>
                    <w14:srgbClr w14:val="000000"/>
                  </w14:solidFill>
                  <w14:prstDash w14:val="solid"/>
                  <w14:bevel/>
                </w14:textOutline>
              </w:rPr>
              <w:t>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1561" w:type="dxa"/>
            <w:gridSpan w:val="3"/>
            <w:tcBorders>
              <w:tl2br w:val="nil"/>
              <w:tr2bl w:val="nil"/>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科目</w:t>
            </w:r>
            <w:r>
              <w:rPr>
                <w:rFonts w:ascii="宋体" w:hAnsi="宋体" w:eastAsia="宋体" w:cs="宋体"/>
                <w:spacing w:val="-1"/>
                <w:sz w:val="22"/>
                <w:szCs w:val="22"/>
                <w14:textOutline w14:w="4013" w14:cap="sq" w14:cmpd="sng" w14:algn="ctr">
                  <w14:solidFill>
                    <w14:srgbClr w14:val="000000"/>
                  </w14:solidFill>
                  <w14:prstDash w14:val="solid"/>
                  <w14:bevel/>
                </w14:textOutline>
              </w:rPr>
              <w:t>编码</w:t>
            </w:r>
          </w:p>
        </w:tc>
        <w:tc>
          <w:tcPr>
            <w:tcW w:w="1469" w:type="dxa"/>
            <w:gridSpan w:val="2"/>
            <w:vMerge w:val="restart"/>
            <w:tcBorders>
              <w:tl2br w:val="nil"/>
              <w:tr2bl w:val="nil"/>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单</w:t>
            </w:r>
            <w:r>
              <w:rPr>
                <w:rFonts w:ascii="宋体" w:hAnsi="宋体" w:eastAsia="宋体" w:cs="宋体"/>
                <w:spacing w:val="-2"/>
                <w:sz w:val="22"/>
                <w:szCs w:val="22"/>
                <w14:textOutline w14:w="4013" w14:cap="sq" w14:cmpd="sng" w14:algn="ctr">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2691" w:type="dxa"/>
            <w:vMerge w:val="restart"/>
            <w:tcBorders>
              <w:tl2br w:val="nil"/>
              <w:tr2bl w:val="nil"/>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0" w:type="auto"/>
            <w:vMerge w:val="restart"/>
            <w:tcBorders>
              <w:tl2br w:val="nil"/>
              <w:tr2bl w:val="nil"/>
            </w:tcBorders>
            <w:shd w:val="clear" w:color="auto" w:fill="EFF2F7"/>
            <w:vAlign w:val="center"/>
          </w:tcPr>
          <w:p>
            <w:pPr>
              <w:spacing w:line="333" w:lineRule="auto"/>
              <w:rPr>
                <w:rFonts w:eastAsiaTheme="minorEastAsia"/>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0" w:type="auto"/>
            <w:vMerge w:val="restart"/>
            <w:tcBorders>
              <w:tl2br w:val="nil"/>
              <w:tr2bl w:val="nil"/>
            </w:tcBorders>
            <w:shd w:val="clear" w:color="auto" w:fill="EFF2F7"/>
            <w:vAlign w:val="center"/>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基本</w:t>
            </w:r>
            <w:r>
              <w:rPr>
                <w:rFonts w:ascii="宋体" w:hAnsi="宋体" w:eastAsia="宋体" w:cs="宋体"/>
                <w:spacing w:val="-1"/>
                <w:sz w:val="22"/>
                <w:szCs w:val="22"/>
                <w14:textOutline w14:w="4013" w14:cap="sq" w14:cmpd="sng" w14:algn="ctr">
                  <w14:solidFill>
                    <w14:srgbClr w14:val="000000"/>
                  </w14:solidFill>
                  <w14:prstDash w14:val="solid"/>
                  <w14:bevel/>
                </w14:textOutline>
              </w:rPr>
              <w:t>支出</w:t>
            </w:r>
          </w:p>
        </w:tc>
        <w:tc>
          <w:tcPr>
            <w:tcW w:w="0" w:type="auto"/>
            <w:vMerge w:val="restart"/>
            <w:tcBorders>
              <w:tl2br w:val="nil"/>
              <w:tr2bl w:val="nil"/>
            </w:tcBorders>
            <w:shd w:val="clear" w:color="auto" w:fill="EFF2F7"/>
            <w:vAlign w:val="center"/>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algn="ctr">
                  <w14:solidFill>
                    <w14:srgbClr w14:val="000000"/>
                  </w14:solidFill>
                  <w14:prstDash w14:val="solid"/>
                  <w14:bevel/>
                </w14:textOutline>
              </w:rPr>
              <w:t>项</w:t>
            </w:r>
            <w:r>
              <w:rPr>
                <w:rFonts w:ascii="宋体" w:hAnsi="宋体" w:eastAsia="宋体" w:cs="宋体"/>
                <w:spacing w:val="-2"/>
                <w:sz w:val="22"/>
                <w:szCs w:val="22"/>
                <w14:textOutline w14:w="4013" w14:cap="sq" w14:cmpd="sng" w14:algn="ctr">
                  <w14:solidFill>
                    <w14:srgbClr w14:val="000000"/>
                  </w14:solidFill>
                  <w14:prstDash w14:val="solid"/>
                  <w14:bevel/>
                </w14:textOutline>
              </w:rPr>
              <w:t>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0" w:type="auto"/>
            <w:tcBorders>
              <w:tl2br w:val="nil"/>
              <w:tr2bl w:val="nil"/>
            </w:tcBorders>
            <w:shd w:val="clear" w:color="auto" w:fill="EFF2F7"/>
            <w:vAlign w:val="center"/>
          </w:tcPr>
          <w:p>
            <w:pPr>
              <w:spacing w:before="151" w:line="221" w:lineRule="auto"/>
              <w:ind w:left="107"/>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类</w:t>
            </w:r>
          </w:p>
        </w:tc>
        <w:tc>
          <w:tcPr>
            <w:tcW w:w="0" w:type="auto"/>
            <w:tcBorders>
              <w:tl2br w:val="nil"/>
              <w:tr2bl w:val="nil"/>
            </w:tcBorders>
            <w:shd w:val="clear" w:color="auto" w:fill="EFF2F7"/>
            <w:vAlign w:val="center"/>
          </w:tcPr>
          <w:p>
            <w:pPr>
              <w:spacing w:before="151" w:line="222" w:lineRule="auto"/>
              <w:ind w:left="103"/>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款</w:t>
            </w:r>
          </w:p>
        </w:tc>
        <w:tc>
          <w:tcPr>
            <w:tcW w:w="645" w:type="dxa"/>
            <w:tcBorders>
              <w:tl2br w:val="nil"/>
              <w:tr2bl w:val="nil"/>
            </w:tcBorders>
            <w:shd w:val="clear" w:color="auto" w:fill="EFF2F7"/>
            <w:vAlign w:val="center"/>
          </w:tcPr>
          <w:p>
            <w:pPr>
              <w:spacing w:before="150" w:line="222" w:lineRule="auto"/>
              <w:ind w:left="105"/>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项</w:t>
            </w:r>
          </w:p>
        </w:tc>
        <w:tc>
          <w:tcPr>
            <w:tcW w:w="1469" w:type="dxa"/>
            <w:gridSpan w:val="2"/>
            <w:vMerge w:val="continue"/>
            <w:tcBorders>
              <w:tl2br w:val="nil"/>
              <w:tr2bl w:val="nil"/>
            </w:tcBorders>
          </w:tcPr>
          <w:p/>
        </w:tc>
        <w:tc>
          <w:tcPr>
            <w:tcW w:w="2691" w:type="dxa"/>
            <w:vMerge w:val="continue"/>
            <w:tcBorders>
              <w:tl2br w:val="nil"/>
              <w:tr2bl w:val="nil"/>
            </w:tcBorders>
          </w:tcPr>
          <w:p/>
        </w:tc>
        <w:tc>
          <w:tcPr>
            <w:tcW w:w="0" w:type="auto"/>
            <w:vMerge w:val="continue"/>
            <w:tcBorders>
              <w:tl2br w:val="nil"/>
              <w:tr2bl w:val="nil"/>
            </w:tcBorders>
          </w:tcPr>
          <w:p/>
        </w:tc>
        <w:tc>
          <w:tcPr>
            <w:tcW w:w="0" w:type="auto"/>
            <w:vMerge w:val="continue"/>
            <w:tcBorders>
              <w:tl2br w:val="nil"/>
              <w:tr2bl w:val="nil"/>
            </w:tcBorders>
          </w:tcPr>
          <w:p/>
        </w:tc>
        <w:tc>
          <w:tcPr>
            <w:tcW w:w="0" w:type="auto"/>
            <w:vMerge w:val="continue"/>
            <w:tcBorders>
              <w:tl2br w:val="nil"/>
              <w:tr2bl w:val="nil"/>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0" w:type="auto"/>
            <w:tcBorders>
              <w:tl2br w:val="nil"/>
              <w:tr2bl w:val="nil"/>
            </w:tcBorders>
          </w:tcPr>
          <w:p/>
        </w:tc>
        <w:tc>
          <w:tcPr>
            <w:tcW w:w="0" w:type="auto"/>
            <w:tcBorders>
              <w:tl2br w:val="nil"/>
              <w:tr2bl w:val="nil"/>
            </w:tcBorders>
          </w:tcPr>
          <w:p/>
        </w:tc>
        <w:tc>
          <w:tcPr>
            <w:tcW w:w="645" w:type="dxa"/>
            <w:tcBorders>
              <w:tl2br w:val="nil"/>
              <w:tr2bl w:val="nil"/>
            </w:tcBorders>
          </w:tcPr>
          <w:p/>
        </w:tc>
        <w:tc>
          <w:tcPr>
            <w:tcW w:w="1469" w:type="dxa"/>
            <w:gridSpan w:val="2"/>
            <w:tcBorders>
              <w:tl2br w:val="nil"/>
              <w:tr2bl w:val="nil"/>
            </w:tcBorders>
          </w:tcPr>
          <w:p/>
        </w:tc>
        <w:tc>
          <w:tcPr>
            <w:tcW w:w="2691" w:type="dxa"/>
            <w:tcBorders>
              <w:tl2br w:val="nil"/>
              <w:tr2bl w:val="nil"/>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0" w:type="auto"/>
            <w:tcBorders>
              <w:tl2br w:val="nil"/>
              <w:tr2bl w:val="nil"/>
            </w:tcBorders>
          </w:tcPr>
          <w:p/>
        </w:tc>
        <w:tc>
          <w:tcPr>
            <w:tcW w:w="0" w:type="auto"/>
            <w:tcBorders>
              <w:tl2br w:val="nil"/>
              <w:tr2bl w:val="nil"/>
            </w:tcBorders>
          </w:tcPr>
          <w:p/>
        </w:tc>
        <w:tc>
          <w:tcPr>
            <w:tcW w:w="0" w:type="auto"/>
            <w:tcBorders>
              <w:tl2br w:val="nil"/>
              <w:tr2bl w:val="nil"/>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0" w:type="auto"/>
            <w:tcBorders>
              <w:tl2br w:val="nil"/>
              <w:tr2bl w:val="nil"/>
            </w:tcBorders>
          </w:tcPr>
          <w:p/>
        </w:tc>
        <w:tc>
          <w:tcPr>
            <w:tcW w:w="0" w:type="auto"/>
            <w:tcBorders>
              <w:tl2br w:val="nil"/>
              <w:tr2bl w:val="nil"/>
            </w:tcBorders>
          </w:tcPr>
          <w:p/>
        </w:tc>
        <w:tc>
          <w:tcPr>
            <w:tcW w:w="645" w:type="dxa"/>
            <w:tcBorders>
              <w:tl2br w:val="nil"/>
              <w:tr2bl w:val="nil"/>
            </w:tcBorders>
          </w:tcPr>
          <w:p/>
        </w:tc>
        <w:tc>
          <w:tcPr>
            <w:tcW w:w="1469" w:type="dxa"/>
            <w:gridSpan w:val="2"/>
            <w:tcBorders>
              <w:tl2br w:val="nil"/>
              <w:tr2bl w:val="nil"/>
            </w:tcBorders>
          </w:tcPr>
          <w:p/>
        </w:tc>
        <w:tc>
          <w:tcPr>
            <w:tcW w:w="2691" w:type="dxa"/>
            <w:tcBorders>
              <w:tl2br w:val="nil"/>
              <w:tr2bl w:val="nil"/>
            </w:tcBorders>
          </w:tcPr>
          <w:p/>
        </w:tc>
        <w:tc>
          <w:tcPr>
            <w:tcW w:w="0" w:type="auto"/>
            <w:tcBorders>
              <w:tl2br w:val="nil"/>
              <w:tr2bl w:val="nil"/>
            </w:tcBorders>
          </w:tcPr>
          <w:p/>
        </w:tc>
        <w:tc>
          <w:tcPr>
            <w:tcW w:w="0" w:type="auto"/>
            <w:tcBorders>
              <w:tl2br w:val="nil"/>
              <w:tr2bl w:val="nil"/>
            </w:tcBorders>
          </w:tcPr>
          <w:p/>
        </w:tc>
        <w:tc>
          <w:tcPr>
            <w:tcW w:w="0" w:type="auto"/>
            <w:tcBorders>
              <w:tl2br w:val="nil"/>
              <w:tr2bl w:val="nil"/>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0" w:type="auto"/>
            <w:tcBorders>
              <w:tl2br w:val="nil"/>
              <w:tr2bl w:val="nil"/>
            </w:tcBorders>
          </w:tcPr>
          <w:p/>
        </w:tc>
        <w:tc>
          <w:tcPr>
            <w:tcW w:w="0" w:type="auto"/>
            <w:tcBorders>
              <w:tl2br w:val="nil"/>
              <w:tr2bl w:val="nil"/>
            </w:tcBorders>
          </w:tcPr>
          <w:p/>
        </w:tc>
        <w:tc>
          <w:tcPr>
            <w:tcW w:w="645" w:type="dxa"/>
            <w:tcBorders>
              <w:tl2br w:val="nil"/>
              <w:tr2bl w:val="nil"/>
            </w:tcBorders>
          </w:tcPr>
          <w:p/>
        </w:tc>
        <w:tc>
          <w:tcPr>
            <w:tcW w:w="1469" w:type="dxa"/>
            <w:gridSpan w:val="2"/>
            <w:tcBorders>
              <w:tl2br w:val="nil"/>
              <w:tr2bl w:val="nil"/>
            </w:tcBorders>
          </w:tcPr>
          <w:p/>
        </w:tc>
        <w:tc>
          <w:tcPr>
            <w:tcW w:w="2691" w:type="dxa"/>
            <w:tcBorders>
              <w:tl2br w:val="nil"/>
              <w:tr2bl w:val="nil"/>
            </w:tcBorders>
          </w:tcPr>
          <w:p>
            <w:r>
              <w:rPr>
                <w:rFonts w:ascii="宋体" w:hAnsi="宋体" w:eastAsia="宋体" w:cs="宋体"/>
                <w:spacing w:val="11"/>
                <w:sz w:val="20"/>
                <w:szCs w:val="20"/>
              </w:rPr>
              <w:t>空</w:t>
            </w:r>
            <w:r>
              <w:rPr>
                <w:rFonts w:ascii="宋体" w:hAnsi="宋体" w:eastAsia="宋体" w:cs="宋体"/>
                <w:spacing w:val="8"/>
                <w:sz w:val="20"/>
                <w:szCs w:val="20"/>
              </w:rPr>
              <w:t>表说明：无此项内容</w:t>
            </w:r>
          </w:p>
        </w:tc>
        <w:tc>
          <w:tcPr>
            <w:tcW w:w="0" w:type="auto"/>
            <w:tcBorders>
              <w:tl2br w:val="nil"/>
              <w:tr2bl w:val="nil"/>
            </w:tcBorders>
          </w:tcPr>
          <w:p/>
        </w:tc>
        <w:tc>
          <w:tcPr>
            <w:tcW w:w="0" w:type="auto"/>
            <w:tcBorders>
              <w:tl2br w:val="nil"/>
              <w:tr2bl w:val="nil"/>
            </w:tcBorders>
          </w:tcPr>
          <w:p/>
        </w:tc>
        <w:tc>
          <w:tcPr>
            <w:tcW w:w="0" w:type="auto"/>
            <w:tcBorders>
              <w:tl2br w:val="nil"/>
              <w:tr2bl w:val="nil"/>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0" w:type="auto"/>
            <w:tcBorders>
              <w:tl2br w:val="nil"/>
              <w:tr2bl w:val="nil"/>
            </w:tcBorders>
          </w:tcPr>
          <w:p/>
        </w:tc>
        <w:tc>
          <w:tcPr>
            <w:tcW w:w="0" w:type="auto"/>
            <w:tcBorders>
              <w:tl2br w:val="nil"/>
              <w:tr2bl w:val="nil"/>
            </w:tcBorders>
          </w:tcPr>
          <w:p/>
        </w:tc>
        <w:tc>
          <w:tcPr>
            <w:tcW w:w="645" w:type="dxa"/>
            <w:tcBorders>
              <w:tl2br w:val="nil"/>
              <w:tr2bl w:val="nil"/>
            </w:tcBorders>
          </w:tcPr>
          <w:p/>
        </w:tc>
        <w:tc>
          <w:tcPr>
            <w:tcW w:w="1469" w:type="dxa"/>
            <w:gridSpan w:val="2"/>
            <w:tcBorders>
              <w:tl2br w:val="nil"/>
              <w:tr2bl w:val="nil"/>
            </w:tcBorders>
          </w:tcPr>
          <w:p/>
        </w:tc>
        <w:tc>
          <w:tcPr>
            <w:tcW w:w="2691" w:type="dxa"/>
            <w:tcBorders>
              <w:tl2br w:val="nil"/>
              <w:tr2bl w:val="nil"/>
            </w:tcBorders>
          </w:tcPr>
          <w:p/>
        </w:tc>
        <w:tc>
          <w:tcPr>
            <w:tcW w:w="0" w:type="auto"/>
            <w:tcBorders>
              <w:tl2br w:val="nil"/>
              <w:tr2bl w:val="nil"/>
            </w:tcBorders>
          </w:tcPr>
          <w:p/>
        </w:tc>
        <w:tc>
          <w:tcPr>
            <w:tcW w:w="0" w:type="auto"/>
            <w:tcBorders>
              <w:tl2br w:val="nil"/>
              <w:tr2bl w:val="nil"/>
            </w:tcBorders>
          </w:tcPr>
          <w:p/>
        </w:tc>
        <w:tc>
          <w:tcPr>
            <w:tcW w:w="0" w:type="auto"/>
            <w:tcBorders>
              <w:tl2br w:val="nil"/>
              <w:tr2bl w:val="nil"/>
            </w:tcBorders>
          </w:tcPr>
          <w:p/>
        </w:tc>
      </w:tr>
    </w:tbl>
    <w:p>
      <w:pPr>
        <w:sectPr>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p>
    <w:p>
      <w:pPr>
        <w:spacing w:line="91" w:lineRule="auto"/>
        <w:rPr>
          <w:sz w:val="2"/>
        </w:rPr>
      </w:pPr>
    </w:p>
    <w:tbl>
      <w:tblPr>
        <w:tblStyle w:val="13"/>
        <w:tblW w:w="8506"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97"/>
        <w:gridCol w:w="1687"/>
        <w:gridCol w:w="919"/>
        <w:gridCol w:w="1134"/>
        <w:gridCol w:w="871"/>
        <w:gridCol w:w="1114"/>
        <w:gridCol w:w="992"/>
        <w:gridCol w:w="9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506" w:type="dxa"/>
            <w:gridSpan w:val="8"/>
            <w:tcBorders>
              <w:top w:val="single" w:color="FFFFFF" w:sz="2" w:space="0"/>
              <w:left w:val="single" w:color="FFFFFF" w:sz="2" w:space="0"/>
              <w:bottom w:val="single" w:color="auto" w:sz="4" w:space="0"/>
              <w:right w:val="single" w:color="FFFFFF" w:sz="2" w:space="0"/>
            </w:tcBorders>
          </w:tcPr>
          <w:p>
            <w:pPr>
              <w:spacing w:line="308" w:lineRule="auto"/>
            </w:pPr>
          </w:p>
          <w:p>
            <w:pPr>
              <w:spacing w:before="72" w:line="213" w:lineRule="auto"/>
              <w:ind w:right="171"/>
              <w:jc w:val="right"/>
              <w:rPr>
                <w:rFonts w:ascii="宋体" w:hAnsi="宋体" w:eastAsia="宋体" w:cs="宋体"/>
                <w:sz w:val="22"/>
                <w:szCs w:val="22"/>
              </w:rPr>
            </w:pPr>
            <w:r>
              <w:rPr>
                <w:rFonts w:ascii="宋体" w:hAnsi="宋体" w:eastAsia="宋体" w:cs="宋体"/>
                <w:spacing w:val="2"/>
                <w:sz w:val="20"/>
                <w:szCs w:val="20"/>
              </w:rPr>
              <w:t xml:space="preserve">部门公开表 </w:t>
            </w:r>
            <w:r>
              <w:rPr>
                <w:rFonts w:ascii="宋体" w:hAnsi="宋体" w:eastAsia="宋体" w:cs="宋体"/>
                <w:spacing w:val="2"/>
                <w:sz w:val="22"/>
                <w:szCs w:val="22"/>
              </w:rPr>
              <w:t>4-</w:t>
            </w:r>
            <w:r>
              <w:rPr>
                <w:rFonts w:ascii="宋体" w:hAnsi="宋体" w:eastAsia="宋体" w:cs="宋体"/>
                <w:sz w:val="22"/>
                <w:szCs w:val="22"/>
              </w:rPr>
              <w:t>1</w:t>
            </w:r>
          </w:p>
          <w:p>
            <w:pPr>
              <w:spacing w:before="160" w:line="225" w:lineRule="auto"/>
              <w:ind w:left="1290"/>
              <w:rPr>
                <w:rFonts w:ascii="宋体" w:hAnsi="宋体" w:eastAsia="宋体" w:cs="宋体"/>
                <w:sz w:val="31"/>
                <w:szCs w:val="31"/>
              </w:rPr>
            </w:pPr>
            <w:r>
              <w:rPr>
                <w:rFonts w:ascii="宋体" w:hAnsi="宋体" w:eastAsia="宋体" w:cs="宋体"/>
                <w:spacing w:val="17"/>
                <w:sz w:val="31"/>
                <w:szCs w:val="31"/>
                <w14:textOutline w14:w="5791" w14:cap="sq" w14:cmpd="sng" w14:algn="ctr">
                  <w14:solidFill>
                    <w14:srgbClr w14:val="000000"/>
                  </w14:solidFill>
                  <w14:prstDash w14:val="solid"/>
                  <w14:bevel/>
                </w14:textOutline>
              </w:rPr>
              <w:t>政</w:t>
            </w:r>
            <w:r>
              <w:rPr>
                <w:rFonts w:ascii="宋体" w:hAnsi="宋体" w:eastAsia="宋体" w:cs="宋体"/>
                <w:spacing w:val="10"/>
                <w:sz w:val="31"/>
                <w:szCs w:val="31"/>
                <w14:textOutline w14:w="5791" w14:cap="sq" w14:cmpd="sng" w14:algn="ctr">
                  <w14:solidFill>
                    <w14:srgbClr w14:val="000000"/>
                  </w14:solidFill>
                  <w14:prstDash w14:val="solid"/>
                  <w14:bevel/>
                </w14:textOutline>
              </w:rPr>
              <w:t>府性基金预算“三公”经费支出预算表</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部门：124-</w:t>
            </w:r>
            <w:r>
              <w:rPr>
                <w:rFonts w:hint="eastAsia" w:ascii="宋体" w:hAnsi="宋体" w:eastAsia="宋体" w:cs="宋体"/>
                <w:spacing w:val="-1"/>
                <w:sz w:val="22"/>
                <w:szCs w:val="22"/>
              </w:rPr>
              <w:t>应急管理局本级</w:t>
            </w:r>
            <w:r>
              <w:rPr>
                <w:rFonts w:ascii="宋体" w:hAnsi="宋体" w:eastAsia="宋体" w:cs="宋体"/>
                <w:spacing w:val="-1"/>
                <w:sz w:val="22"/>
                <w:szCs w:val="22"/>
              </w:rPr>
              <w:t xml:space="preserve"> </w:t>
            </w:r>
            <w:r>
              <w:rPr>
                <w:rFonts w:ascii="宋体" w:hAnsi="宋体" w:eastAsia="宋体" w:cs="宋体"/>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250" w:lineRule="auto"/>
            </w:pPr>
          </w:p>
          <w:p>
            <w:pPr>
              <w:spacing w:line="251" w:lineRule="auto"/>
            </w:pPr>
          </w:p>
          <w:p>
            <w:pPr>
              <w:spacing w:before="71" w:line="277" w:lineRule="auto"/>
              <w:ind w:left="293" w:right="64" w:hanging="218"/>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单</w:t>
            </w:r>
            <w:r>
              <w:rPr>
                <w:rFonts w:ascii="宋体" w:hAnsi="宋体" w:eastAsia="宋体" w:cs="宋体"/>
                <w:spacing w:val="-2"/>
                <w:sz w:val="22"/>
                <w:szCs w:val="22"/>
                <w14:textOutline w14:w="4013" w14:cap="sq" w14:cmpd="sng" w14:algn="ctr">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29" w:lineRule="auto"/>
            </w:pPr>
          </w:p>
          <w:p>
            <w:pPr>
              <w:spacing w:line="329" w:lineRule="auto"/>
            </w:pPr>
          </w:p>
          <w:p>
            <w:pPr>
              <w:spacing w:before="68" w:line="229" w:lineRule="auto"/>
              <w:ind w:left="24"/>
              <w:rPr>
                <w:rFonts w:ascii="宋体" w:hAnsi="宋体" w:eastAsia="宋体" w:cs="宋体"/>
              </w:rPr>
            </w:pPr>
            <w:r>
              <w:rPr>
                <w:rFonts w:ascii="宋体" w:hAnsi="宋体" w:eastAsia="宋体" w:cs="宋体"/>
                <w:spacing w:val="-4"/>
                <w14:textOutline w14:w="3822" w14:cap="sq" w14:cmpd="sng" w14:algn="ctr">
                  <w14:solidFill>
                    <w14:srgbClr w14:val="000000"/>
                  </w14:solidFill>
                  <w14:prstDash w14:val="solid"/>
                  <w14:bevel/>
                </w14:textOutline>
              </w:rPr>
              <w:t>单位</w:t>
            </w:r>
            <w:r>
              <w:rPr>
                <w:rFonts w:ascii="宋体" w:hAnsi="宋体" w:eastAsia="宋体" w:cs="宋体"/>
                <w:spacing w:val="-3"/>
                <w14:textOutline w14:w="3822" w14:cap="sq" w14:cmpd="sng" w14:algn="ctr">
                  <w14:solidFill>
                    <w14:srgbClr w14:val="000000"/>
                  </w14:solidFill>
                  <w14:prstDash w14:val="solid"/>
                  <w14:bevel/>
                </w14:textOutline>
              </w:rPr>
              <w:t>名</w:t>
            </w:r>
            <w:r>
              <w:rPr>
                <w:rFonts w:ascii="宋体" w:hAnsi="宋体" w:eastAsia="宋体" w:cs="宋体"/>
                <w:spacing w:val="-2"/>
                <w14:textOutline w14:w="3822" w14:cap="sq" w14:cmpd="sng" w14:algn="ctr">
                  <w14:solidFill>
                    <w14:srgbClr w14:val="000000"/>
                  </w14:solidFill>
                  <w14:prstDash w14:val="solid"/>
                  <w14:bevel/>
                </w14:textOutline>
              </w:rPr>
              <w:t>称</w:t>
            </w:r>
            <w:r>
              <w:rPr>
                <w:rFonts w:ascii="宋体" w:hAnsi="宋体" w:eastAsia="宋体" w:cs="宋体"/>
                <w:spacing w:val="-2"/>
              </w:rPr>
              <w:t xml:space="preserve"> </w:t>
            </w:r>
            <w:r>
              <w:rPr>
                <w:rFonts w:ascii="宋体" w:hAnsi="宋体" w:eastAsia="宋体" w:cs="宋体"/>
                <w:spacing w:val="-2"/>
                <w14:textOutline w14:w="3822" w14:cap="sq" w14:cmpd="sng" w14:algn="ctr">
                  <w14:solidFill>
                    <w14:srgbClr w14:val="000000"/>
                  </w14:solidFill>
                  <w14:prstDash w14:val="solid"/>
                  <w14:bevel/>
                </w14:textOutline>
              </w:rPr>
              <w:t>(科目)</w:t>
            </w:r>
          </w:p>
        </w:tc>
        <w:tc>
          <w:tcPr>
            <w:tcW w:w="6022"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algn="ctr">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continue"/>
            <w:tcBorders>
              <w:top w:val="single" w:color="auto" w:sz="4" w:space="0"/>
              <w:left w:val="single" w:color="auto" w:sz="4" w:space="0"/>
              <w:bottom w:val="single" w:color="auto" w:sz="4" w:space="0"/>
              <w:right w:val="single" w:color="auto" w:sz="4" w:space="0"/>
            </w:tcBorders>
          </w:tcPr>
          <w:p/>
        </w:tc>
        <w:tc>
          <w:tcPr>
            <w:tcW w:w="1687" w:type="dxa"/>
            <w:vMerge w:val="continue"/>
            <w:tcBorders>
              <w:top w:val="single" w:color="auto" w:sz="4" w:space="0"/>
              <w:left w:val="single" w:color="auto" w:sz="4" w:space="0"/>
              <w:bottom w:val="single" w:color="auto" w:sz="4" w:space="0"/>
              <w:right w:val="single" w:color="auto" w:sz="4" w:space="0"/>
            </w:tcBorders>
          </w:tcPr>
          <w:p/>
        </w:tc>
        <w:tc>
          <w:tcPr>
            <w:tcW w:w="9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02" w:lineRule="auto"/>
            </w:pPr>
          </w:p>
          <w:p>
            <w:pPr>
              <w:spacing w:before="71" w:line="222" w:lineRule="auto"/>
              <w:ind w:left="273"/>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163" w:line="224" w:lineRule="auto"/>
              <w:ind w:left="71"/>
              <w:rPr>
                <w:rFonts w:ascii="宋体" w:hAnsi="宋体" w:eastAsia="宋体" w:cs="宋体"/>
                <w:sz w:val="22"/>
                <w:szCs w:val="22"/>
              </w:rPr>
            </w:pPr>
            <w:r>
              <w:rPr>
                <w:rFonts w:ascii="宋体" w:hAnsi="宋体" w:eastAsia="宋体" w:cs="宋体"/>
                <w:spacing w:val="-8"/>
                <w:sz w:val="22"/>
                <w:szCs w:val="22"/>
                <w14:textOutline w14:w="4013" w14:cap="sq" w14:cmpd="sng" w14:algn="ctr">
                  <w14:solidFill>
                    <w14:srgbClr w14:val="000000"/>
                  </w14:solidFill>
                  <w14:prstDash w14:val="solid"/>
                  <w14:bevel/>
                </w14:textOutline>
              </w:rPr>
              <w:t>因</w:t>
            </w:r>
            <w:r>
              <w:rPr>
                <w:rFonts w:ascii="宋体" w:hAnsi="宋体" w:eastAsia="宋体" w:cs="宋体"/>
                <w:spacing w:val="-5"/>
                <w:sz w:val="22"/>
                <w:szCs w:val="22"/>
                <w14:textOutline w14:w="4013" w14:cap="sq" w14:cmpd="sng" w14:algn="ctr">
                  <w14:solidFill>
                    <w14:srgbClr w14:val="000000"/>
                  </w14:solidFill>
                  <w14:prstDash w14:val="solid"/>
                  <w14:bevel/>
                </w14:textOutline>
              </w:rPr>
              <w:t>公出国</w:t>
            </w:r>
          </w:p>
          <w:p>
            <w:pPr>
              <w:spacing w:before="44" w:line="222" w:lineRule="auto"/>
              <w:ind w:left="60"/>
              <w:rPr>
                <w:rFonts w:ascii="宋体" w:hAnsi="宋体" w:eastAsia="宋体" w:cs="宋体"/>
                <w:sz w:val="22"/>
                <w:szCs w:val="22"/>
              </w:rPr>
            </w:pPr>
            <w:r>
              <w:rPr>
                <w:rFonts w:ascii="宋体" w:hAnsi="宋体" w:eastAsia="宋体" w:cs="宋体"/>
                <w:spacing w:val="26"/>
                <w:sz w:val="22"/>
                <w:szCs w:val="22"/>
                <w14:textOutline w14:w="4013" w14:cap="sq" w14:cmpd="sng" w14:algn="ctr">
                  <w14:solidFill>
                    <w14:srgbClr w14:val="000000"/>
                  </w14:solidFill>
                  <w14:prstDash w14:val="solid"/>
                  <w14:bevel/>
                </w14:textOutline>
              </w:rPr>
              <w:t>(</w:t>
            </w:r>
            <w:r>
              <w:rPr>
                <w:rFonts w:ascii="宋体" w:hAnsi="宋体" w:eastAsia="宋体" w:cs="宋体"/>
                <w:spacing w:val="23"/>
                <w:sz w:val="22"/>
                <w:szCs w:val="22"/>
                <w14:textOutline w14:w="4013" w14:cap="sq" w14:cmpd="sng" w14:algn="ctr">
                  <w14:solidFill>
                    <w14:srgbClr w14:val="000000"/>
                  </w14:solidFill>
                  <w14:prstDash w14:val="solid"/>
                  <w14:bevel/>
                </w14:textOutline>
              </w:rPr>
              <w:t>境)费</w:t>
            </w:r>
            <w:r>
              <w:rPr>
                <w:rFonts w:ascii="宋体" w:hAnsi="宋体" w:eastAsia="宋体" w:cs="宋体"/>
                <w:sz w:val="22"/>
                <w:szCs w:val="22"/>
                <w14:textOutline w14:w="4013" w14:cap="sq" w14:cmpd="sng" w14:algn="ctr">
                  <w14:solidFill>
                    <w14:srgbClr w14:val="000000"/>
                  </w14:solidFill>
                  <w14:prstDash w14:val="solid"/>
                  <w14:bevel/>
                </w14:textOutline>
              </w:rPr>
              <w:t>用</w:t>
            </w:r>
          </w:p>
        </w:tc>
        <w:tc>
          <w:tcPr>
            <w:tcW w:w="297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公务用车购置及运</w:t>
            </w:r>
            <w:r>
              <w:rPr>
                <w:rFonts w:ascii="宋体" w:hAnsi="宋体" w:eastAsia="宋体" w:cs="宋体"/>
                <w:sz w:val="22"/>
                <w:szCs w:val="22"/>
                <w14:textOutline w14:w="4013" w14:cap="sq" w14:cmpd="sng" w14:algn="ctr">
                  <w14:solidFill>
                    <w14:srgbClr w14:val="000000"/>
                  </w14:solidFill>
                  <w14:prstDash w14:val="solid"/>
                  <w14:bevel/>
                </w14:textOutline>
              </w:rPr>
              <w:t>行费</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246" w:lineRule="auto"/>
            </w:pPr>
          </w:p>
          <w:p>
            <w:pPr>
              <w:spacing w:before="71" w:line="276" w:lineRule="auto"/>
              <w:ind w:left="398" w:right="44" w:hanging="336"/>
              <w:rPr>
                <w:rFonts w:ascii="宋体" w:hAnsi="宋体" w:eastAsia="宋体" w:cs="宋体"/>
                <w:spacing w:val="-3"/>
                <w:sz w:val="22"/>
                <w:szCs w:val="22"/>
                <w14:textOutline w14:w="4013" w14:cap="sq" w14:cmpd="sng" w14:algn="ctr">
                  <w14:solidFill>
                    <w14:srgbClr w14:val="000000"/>
                  </w14:solidFill>
                  <w14:prstDash w14:val="solid"/>
                  <w14:bevel/>
                </w14:textOutline>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务</w:t>
            </w:r>
          </w:p>
          <w:p>
            <w:pPr>
              <w:spacing w:before="71" w:line="276" w:lineRule="auto"/>
              <w:ind w:left="398" w:right="44" w:hanging="336"/>
              <w:rPr>
                <w:rFonts w:ascii="宋体" w:hAnsi="宋体" w:eastAsia="宋体" w:cs="宋体"/>
                <w:sz w:val="22"/>
                <w:szCs w:val="22"/>
              </w:rPr>
            </w:pPr>
            <w:r>
              <w:rPr>
                <w:rFonts w:ascii="宋体" w:hAnsi="宋体" w:eastAsia="宋体" w:cs="宋体"/>
                <w:spacing w:val="-3"/>
                <w:sz w:val="22"/>
                <w:szCs w:val="22"/>
                <w14:textOutline w14:w="4013" w14:cap="sq" w14:cmpd="sng" w14:algn="ctr">
                  <w14:solidFill>
                    <w14:srgbClr w14:val="000000"/>
                  </w14:solidFill>
                  <w14:prstDash w14:val="solid"/>
                  <w14:bevel/>
                </w14:textOutline>
              </w:rPr>
              <w:t>接待</w:t>
            </w:r>
            <w:r>
              <w:rPr>
                <w:rFonts w:ascii="宋体" w:hAnsi="宋体" w:eastAsia="宋体" w:cs="宋体"/>
                <w:sz w:val="22"/>
                <w:szCs w:val="22"/>
                <w14:textOutline w14:w="4013" w14:cap="sq" w14:cmpd="sng" w14:algn="ctr">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97" w:type="dxa"/>
            <w:vMerge w:val="continue"/>
            <w:tcBorders>
              <w:top w:val="single" w:color="auto" w:sz="4" w:space="0"/>
              <w:left w:val="single" w:color="auto" w:sz="4" w:space="0"/>
              <w:bottom w:val="single" w:color="auto" w:sz="4" w:space="0"/>
              <w:right w:val="single" w:color="auto" w:sz="4" w:space="0"/>
            </w:tcBorders>
          </w:tcPr>
          <w:p/>
        </w:tc>
        <w:tc>
          <w:tcPr>
            <w:tcW w:w="1687" w:type="dxa"/>
            <w:vMerge w:val="continue"/>
            <w:tcBorders>
              <w:top w:val="single" w:color="auto" w:sz="4" w:space="0"/>
              <w:left w:val="single" w:color="auto" w:sz="4" w:space="0"/>
              <w:bottom w:val="single" w:color="auto" w:sz="4" w:space="0"/>
              <w:right w:val="single" w:color="auto" w:sz="4" w:space="0"/>
            </w:tcBorders>
          </w:tcPr>
          <w:p/>
        </w:tc>
        <w:tc>
          <w:tcPr>
            <w:tcW w:w="919" w:type="dxa"/>
            <w:vMerge w:val="continue"/>
            <w:tcBorders>
              <w:top w:val="single" w:color="auto" w:sz="4" w:space="0"/>
              <w:left w:val="single" w:color="auto" w:sz="4" w:space="0"/>
              <w:bottom w:val="single" w:color="auto" w:sz="4" w:space="0"/>
              <w:right w:val="single" w:color="auto" w:sz="4" w:space="0"/>
            </w:tcBorders>
          </w:tcPr>
          <w:p/>
        </w:tc>
        <w:tc>
          <w:tcPr>
            <w:tcW w:w="1134" w:type="dxa"/>
            <w:vMerge w:val="continue"/>
            <w:tcBorders>
              <w:top w:val="single" w:color="auto" w:sz="4" w:space="0"/>
              <w:left w:val="single" w:color="auto" w:sz="4" w:space="0"/>
              <w:bottom w:val="single" w:color="auto" w:sz="4" w:space="0"/>
              <w:right w:val="single" w:color="auto" w:sz="4" w:space="0"/>
            </w:tcBorders>
          </w:tcPr>
          <w:p/>
        </w:tc>
        <w:tc>
          <w:tcPr>
            <w:tcW w:w="871"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小</w:t>
            </w:r>
            <w:r>
              <w:rPr>
                <w:rFonts w:ascii="宋体" w:hAnsi="宋体" w:eastAsia="宋体" w:cs="宋体"/>
                <w:spacing w:val="-6"/>
                <w:sz w:val="22"/>
                <w:szCs w:val="22"/>
                <w14:textOutline w14:w="4013" w14:cap="sq" w14:cmpd="sng" w14:algn="ctr">
                  <w14:solidFill>
                    <w14:srgbClr w14:val="000000"/>
                  </w14:solidFill>
                  <w14:prstDash w14:val="solid"/>
                  <w14:bevel/>
                </w14:textOutline>
              </w:rPr>
              <w:t>计</w:t>
            </w:r>
          </w:p>
        </w:tc>
        <w:tc>
          <w:tcPr>
            <w:tcW w:w="1114"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务用车</w:t>
            </w:r>
            <w:r>
              <w:rPr>
                <w:rFonts w:ascii="宋体" w:hAnsi="宋体" w:eastAsia="宋体" w:cs="宋体"/>
                <w:spacing w:val="-2"/>
                <w:sz w:val="22"/>
                <w:szCs w:val="22"/>
                <w14:textOutline w14:w="4013" w14:cap="sq" w14:cmpd="sng" w14:algn="ctr">
                  <w14:solidFill>
                    <w14:srgbClr w14:val="000000"/>
                  </w14:solidFill>
                  <w14:prstDash w14:val="solid"/>
                  <w14:bevel/>
                </w14:textOutline>
              </w:rPr>
              <w:t>购置</w:t>
            </w:r>
            <w:r>
              <w:rPr>
                <w:rFonts w:ascii="宋体" w:hAnsi="宋体" w:eastAsia="宋体" w:cs="宋体"/>
                <w:spacing w:val="-1"/>
                <w:sz w:val="22"/>
                <w:szCs w:val="22"/>
                <w14:textOutline w14:w="4013" w14:cap="sq" w14:cmpd="sng" w14:algn="ctr">
                  <w14:solidFill>
                    <w14:srgbClr w14:val="000000"/>
                  </w14:solidFill>
                  <w14:prstDash w14:val="solid"/>
                  <w14:bevel/>
                </w14:textOutline>
              </w:rPr>
              <w:t>费</w:t>
            </w:r>
          </w:p>
        </w:tc>
        <w:tc>
          <w:tcPr>
            <w:tcW w:w="992"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务用车运</w:t>
            </w:r>
            <w:r>
              <w:rPr>
                <w:rFonts w:ascii="宋体" w:hAnsi="宋体" w:eastAsia="宋体" w:cs="宋体"/>
                <w:spacing w:val="-2"/>
                <w:sz w:val="22"/>
                <w:szCs w:val="22"/>
                <w14:textOutline w14:w="4013" w14:cap="sq" w14:cmpd="sng" w14:algn="ctr">
                  <w14:solidFill>
                    <w14:srgbClr w14:val="000000"/>
                  </w14:solidFill>
                  <w14:prstDash w14:val="solid"/>
                  <w14:bevel/>
                </w14:textOutline>
              </w:rPr>
              <w:t>行费</w:t>
            </w:r>
          </w:p>
        </w:tc>
        <w:tc>
          <w:tcPr>
            <w:tcW w:w="992"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tcPr>
          <w:p/>
        </w:tc>
        <w:tc>
          <w:tcPr>
            <w:tcW w:w="1687"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919"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871" w:type="dxa"/>
            <w:tcBorders>
              <w:top w:val="single" w:color="auto" w:sz="4" w:space="0"/>
              <w:left w:val="single" w:color="auto" w:sz="4" w:space="0"/>
              <w:bottom w:val="single" w:color="auto" w:sz="4" w:space="0"/>
              <w:right w:val="single" w:color="auto" w:sz="4" w:space="0"/>
            </w:tcBorders>
          </w:tcPr>
          <w:p/>
        </w:tc>
        <w:tc>
          <w:tcPr>
            <w:tcW w:w="1114"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tcPr>
          <w:p/>
        </w:tc>
        <w:tc>
          <w:tcPr>
            <w:tcW w:w="1687" w:type="dxa"/>
            <w:tcBorders>
              <w:top w:val="single" w:color="auto" w:sz="4" w:space="0"/>
              <w:left w:val="single" w:color="auto" w:sz="4" w:space="0"/>
              <w:bottom w:val="single" w:color="auto" w:sz="4" w:space="0"/>
              <w:right w:val="single" w:color="auto" w:sz="4" w:space="0"/>
            </w:tcBorders>
          </w:tcPr>
          <w:p/>
        </w:tc>
        <w:tc>
          <w:tcPr>
            <w:tcW w:w="919"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871" w:type="dxa"/>
            <w:tcBorders>
              <w:top w:val="single" w:color="auto" w:sz="4" w:space="0"/>
              <w:left w:val="single" w:color="auto" w:sz="4" w:space="0"/>
              <w:bottom w:val="single" w:color="auto" w:sz="4" w:space="0"/>
              <w:right w:val="single" w:color="auto" w:sz="4" w:space="0"/>
            </w:tcBorders>
          </w:tcPr>
          <w:p/>
        </w:tc>
        <w:tc>
          <w:tcPr>
            <w:tcW w:w="1114"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797" w:type="dxa"/>
            <w:tcBorders>
              <w:top w:val="single" w:color="auto" w:sz="4" w:space="0"/>
              <w:left w:val="single" w:color="auto" w:sz="4" w:space="0"/>
              <w:bottom w:val="single" w:color="auto" w:sz="4" w:space="0"/>
              <w:right w:val="single" w:color="auto" w:sz="4" w:space="0"/>
            </w:tcBorders>
          </w:tcPr>
          <w:p/>
        </w:tc>
        <w:tc>
          <w:tcPr>
            <w:tcW w:w="1687" w:type="dxa"/>
            <w:tcBorders>
              <w:top w:val="single" w:color="auto" w:sz="4" w:space="0"/>
              <w:left w:val="single" w:color="auto" w:sz="4" w:space="0"/>
              <w:bottom w:val="single" w:color="auto" w:sz="4" w:space="0"/>
              <w:right w:val="single" w:color="auto" w:sz="4" w:space="0"/>
            </w:tcBorders>
          </w:tcPr>
          <w:p/>
        </w:tc>
        <w:tc>
          <w:tcPr>
            <w:tcW w:w="919"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871" w:type="dxa"/>
            <w:tcBorders>
              <w:top w:val="single" w:color="auto" w:sz="4" w:space="0"/>
              <w:left w:val="single" w:color="auto" w:sz="4" w:space="0"/>
              <w:bottom w:val="single" w:color="auto" w:sz="4" w:space="0"/>
              <w:right w:val="single" w:color="auto" w:sz="4" w:space="0"/>
            </w:tcBorders>
          </w:tcPr>
          <w:p/>
        </w:tc>
        <w:tc>
          <w:tcPr>
            <w:tcW w:w="1114"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c>
          <w:tcPr>
            <w:tcW w:w="992" w:type="dxa"/>
            <w:tcBorders>
              <w:top w:val="single" w:color="auto" w:sz="4" w:space="0"/>
              <w:left w:val="single" w:color="auto" w:sz="4" w:space="0"/>
              <w:bottom w:val="single" w:color="auto" w:sz="4" w:space="0"/>
              <w:right w:val="single" w:color="auto" w:sz="4" w:space="0"/>
            </w:tcBorders>
          </w:tcPr>
          <w:p/>
        </w:tc>
      </w:tr>
    </w:tbl>
    <w:p>
      <w:pPr>
        <w:spacing w:before="53"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ectPr>
          <w:footerReference r:id="rId12" w:type="default"/>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p>
    <w:p>
      <w:pPr>
        <w:spacing w:line="91" w:lineRule="auto"/>
        <w:rPr>
          <w:sz w:val="2"/>
        </w:rPr>
      </w:pPr>
    </w:p>
    <w:tbl>
      <w:tblPr>
        <w:tblStyle w:val="13"/>
        <w:tblW w:w="8506"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autofit"/>
        <w:tblCellMar>
          <w:top w:w="0" w:type="dxa"/>
          <w:left w:w="0" w:type="dxa"/>
          <w:bottom w:w="0" w:type="dxa"/>
          <w:right w:w="0" w:type="dxa"/>
        </w:tblCellMar>
      </w:tblPr>
      <w:tblGrid>
        <w:gridCol w:w="337"/>
        <w:gridCol w:w="333"/>
        <w:gridCol w:w="2097"/>
        <w:gridCol w:w="1371"/>
        <w:gridCol w:w="1410"/>
        <w:gridCol w:w="690"/>
        <w:gridCol w:w="1134"/>
        <w:gridCol w:w="113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0" w:type="auto"/>
            <w:gridSpan w:val="3"/>
            <w:tcBorders>
              <w:top w:val="single" w:color="FFFFFF" w:sz="2" w:space="0"/>
              <w:left w:val="single" w:color="FFFFFF" w:sz="2" w:space="0"/>
              <w:bottom w:val="single" w:color="auto" w:sz="4" w:space="0"/>
              <w:right w:val="nil"/>
            </w:tcBorders>
          </w:tcPr>
          <w:p>
            <w:pPr>
              <w:spacing w:line="312" w:lineRule="auto"/>
            </w:pPr>
          </w:p>
          <w:p>
            <w:pPr>
              <w:spacing w:line="312" w:lineRule="auto"/>
            </w:pPr>
          </w:p>
          <w:p>
            <w:pPr>
              <w:spacing w:line="312" w:lineRule="auto"/>
            </w:pPr>
          </w:p>
          <w:p>
            <w:pPr>
              <w:spacing w:before="65" w:line="228" w:lineRule="auto"/>
              <w:ind w:left="25"/>
              <w:rPr>
                <w:rFonts w:ascii="宋体" w:hAnsi="宋体" w:eastAsia="宋体" w:cs="宋体"/>
                <w:sz w:val="20"/>
                <w:szCs w:val="20"/>
              </w:rPr>
            </w:pPr>
            <w:r>
              <w:rPr>
                <w:rFonts w:ascii="宋体" w:hAnsi="宋体" w:eastAsia="宋体" w:cs="宋体"/>
                <w:spacing w:val="-1"/>
                <w:sz w:val="22"/>
                <w:szCs w:val="22"/>
              </w:rPr>
              <w:t>部门：124-</w:t>
            </w:r>
            <w:r>
              <w:rPr>
                <w:rFonts w:hint="eastAsia" w:ascii="宋体" w:hAnsi="宋体" w:eastAsia="宋体" w:cs="宋体"/>
                <w:spacing w:val="-1"/>
                <w:sz w:val="22"/>
                <w:szCs w:val="22"/>
              </w:rPr>
              <w:t>应急管理局本级</w:t>
            </w:r>
            <w:r>
              <w:rPr>
                <w:rFonts w:ascii="宋体" w:hAnsi="宋体" w:eastAsia="宋体" w:cs="宋体"/>
                <w:spacing w:val="-1"/>
                <w:sz w:val="22"/>
                <w:szCs w:val="22"/>
              </w:rPr>
              <w:t xml:space="preserve">  </w:t>
            </w:r>
            <w:r>
              <w:rPr>
                <w:rFonts w:ascii="宋体" w:hAnsi="宋体" w:eastAsia="宋体" w:cs="宋体"/>
                <w:spacing w:val="8"/>
                <w:sz w:val="20"/>
                <w:szCs w:val="20"/>
              </w:rPr>
              <w:t xml:space="preserve"> </w:t>
            </w:r>
          </w:p>
        </w:tc>
        <w:tc>
          <w:tcPr>
            <w:tcW w:w="5739" w:type="dxa"/>
            <w:gridSpan w:val="5"/>
            <w:tcBorders>
              <w:top w:val="single" w:color="FFFFFF" w:sz="2" w:space="0"/>
              <w:left w:val="nil"/>
              <w:bottom w:val="single" w:color="auto" w:sz="4" w:space="0"/>
              <w:right w:val="single" w:color="FFFFFF" w:sz="2" w:space="0"/>
            </w:tcBorders>
          </w:tcPr>
          <w:p>
            <w:pPr>
              <w:spacing w:before="70" w:line="213" w:lineRule="auto"/>
              <w:ind w:right="293"/>
              <w:jc w:val="right"/>
              <w:rPr>
                <w:rFonts w:ascii="宋体" w:hAnsi="宋体" w:eastAsia="宋体" w:cs="宋体"/>
                <w:sz w:val="22"/>
                <w:szCs w:val="22"/>
              </w:rPr>
            </w:pPr>
            <w:r>
              <w:rPr>
                <w:rFonts w:ascii="宋体" w:hAnsi="宋体" w:eastAsia="宋体" w:cs="宋体"/>
                <w:spacing w:val="1"/>
                <w:sz w:val="20"/>
                <w:szCs w:val="20"/>
              </w:rPr>
              <w:t>部门公</w:t>
            </w:r>
            <w:r>
              <w:rPr>
                <w:rFonts w:ascii="宋体" w:hAnsi="宋体" w:eastAsia="宋体" w:cs="宋体"/>
                <w:sz w:val="20"/>
                <w:szCs w:val="20"/>
              </w:rPr>
              <w:t xml:space="preserve">开表 </w:t>
            </w:r>
            <w:r>
              <w:rPr>
                <w:rFonts w:ascii="宋体" w:hAnsi="宋体" w:eastAsia="宋体" w:cs="宋体"/>
                <w:sz w:val="22"/>
                <w:szCs w:val="22"/>
              </w:rPr>
              <w:t>5</w:t>
            </w:r>
          </w:p>
          <w:p>
            <w:pPr>
              <w:spacing w:before="160" w:line="225" w:lineRule="auto"/>
              <w:ind w:left="274"/>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国</w:t>
            </w:r>
            <w:r>
              <w:rPr>
                <w:rFonts w:ascii="宋体" w:hAnsi="宋体" w:eastAsia="宋体" w:cs="宋体"/>
                <w:spacing w:val="7"/>
                <w:sz w:val="31"/>
                <w:szCs w:val="31"/>
                <w14:textOutline w14:w="5791" w14:cap="sq" w14:cmpd="sng" w14:algn="ctr">
                  <w14:solidFill>
                    <w14:srgbClr w14:val="000000"/>
                  </w14:solidFill>
                  <w14:prstDash w14:val="solid"/>
                  <w14:bevel/>
                </w14:textOutline>
              </w:rPr>
              <w:t>有资本经营预算支出表</w:t>
            </w:r>
          </w:p>
          <w:p>
            <w:pPr>
              <w:spacing w:before="144" w:line="228" w:lineRule="auto"/>
              <w:ind w:firstLine="3774" w:firstLineChars="1700"/>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algn="ctr">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2958"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276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科目</w:t>
            </w:r>
            <w:r>
              <w:rPr>
                <w:rFonts w:ascii="宋体" w:hAnsi="宋体" w:eastAsia="宋体" w:cs="宋体"/>
                <w:spacing w:val="-1"/>
                <w:sz w:val="22"/>
                <w:szCs w:val="22"/>
                <w14:textOutline w14:w="4013" w14:cap="sq" w14:cmpd="sng" w14:algn="ctr">
                  <w14:solidFill>
                    <w14:srgbClr w14:val="000000"/>
                  </w14:solidFill>
                  <w14:prstDash w14:val="solid"/>
                  <w14:bevel/>
                </w14:textOutline>
              </w:rPr>
              <w:t>编码</w:t>
            </w:r>
          </w:p>
        </w:tc>
        <w:tc>
          <w:tcPr>
            <w:tcW w:w="137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单</w:t>
            </w:r>
            <w:r>
              <w:rPr>
                <w:rFonts w:ascii="宋体" w:hAnsi="宋体" w:eastAsia="宋体" w:cs="宋体"/>
                <w:spacing w:val="-2"/>
                <w:sz w:val="22"/>
                <w:szCs w:val="22"/>
                <w14:textOutline w14:w="4013" w14:cap="sq" w14:cmpd="sng" w14:algn="ctr">
                  <w14:solidFill>
                    <w14:srgbClr w14:val="000000"/>
                  </w14:solidFill>
                  <w14:prstDash w14:val="solid"/>
                  <w14:bevel/>
                </w14:textOutline>
              </w:rPr>
              <w:t>位代</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5" w:lineRule="auto"/>
            </w:pPr>
          </w:p>
          <w:p>
            <w:pPr>
              <w:spacing w:before="71" w:line="220" w:lineRule="auto"/>
              <w:ind w:firstLine="218" w:firstLineChars="100"/>
              <w:rPr>
                <w:rFonts w:ascii="宋体" w:hAnsi="宋体" w:eastAsia="宋体" w:cs="宋体"/>
                <w:spacing w:val="-1"/>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p>
          <w:p>
            <w:pPr>
              <w:spacing w:before="71" w:line="220" w:lineRule="auto"/>
              <w:ind w:firstLine="220" w:firstLineChars="100"/>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line="335" w:lineRule="auto"/>
              <w:jc w:val="center"/>
            </w:pPr>
          </w:p>
          <w:p>
            <w:pPr>
              <w:spacing w:before="71" w:line="222" w:lineRule="auto"/>
              <w:jc w:val="center"/>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rPr>
                <w:rFonts w:ascii="宋体" w:hAnsi="宋体" w:eastAsia="宋体" w:cs="宋体"/>
                <w:spacing w:val="-2"/>
                <w:sz w:val="22"/>
                <w:szCs w:val="22"/>
                <w14:textOutline w14:w="4013" w14:cap="sq" w14:cmpd="sng" w14:algn="ctr">
                  <w14:solidFill>
                    <w14:srgbClr w14:val="000000"/>
                  </w14:solidFill>
                  <w14:prstDash w14:val="solid"/>
                  <w14:bevel/>
                </w14:textOutline>
              </w:rPr>
            </w:pPr>
            <w:r>
              <w:rPr>
                <w:rFonts w:ascii="宋体" w:hAnsi="宋体" w:eastAsia="宋体" w:cs="宋体"/>
                <w:spacing w:val="-2"/>
                <w:sz w:val="22"/>
                <w:szCs w:val="22"/>
                <w14:textOutline w14:w="4013" w14:cap="sq" w14:cmpd="sng" w14:algn="ctr">
                  <w14:solidFill>
                    <w14:srgbClr w14:val="000000"/>
                  </w14:solidFill>
                  <w14:prstDash w14:val="solid"/>
                  <w14:bevel/>
                </w14:textOutline>
              </w:rPr>
              <w:t>基本</w:t>
            </w:r>
            <w:r>
              <w:rPr>
                <w:rFonts w:ascii="宋体" w:hAnsi="宋体" w:eastAsia="宋体" w:cs="宋体"/>
                <w:spacing w:val="-1"/>
                <w:sz w:val="22"/>
                <w:szCs w:val="22"/>
                <w14:textOutline w14:w="4013" w14:cap="sq" w14:cmpd="sng" w14:algn="ctr">
                  <w14:solidFill>
                    <w14:srgbClr w14:val="000000"/>
                  </w14:solidFill>
                  <w14:prstDash w14:val="solid"/>
                  <w14:bevel/>
                </w14:textOutline>
              </w:rPr>
              <w:t>支出</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2" w:lineRule="auto"/>
              <w:jc w:val="center"/>
              <w:rPr>
                <w:rFonts w:ascii="宋体" w:hAnsi="宋体" w:eastAsia="宋体" w:cs="宋体"/>
                <w:spacing w:val="-2"/>
                <w:sz w:val="22"/>
                <w:szCs w:val="22"/>
                <w14:textOutline w14:w="4013" w14:cap="sq" w14:cmpd="sng" w14:algn="ctr">
                  <w14:solidFill>
                    <w14:srgbClr w14:val="000000"/>
                  </w14:solidFill>
                  <w14:prstDash w14:val="solid"/>
                  <w14:bevel/>
                </w14:textOutline>
              </w:rPr>
            </w:pPr>
            <w:r>
              <w:rPr>
                <w:rFonts w:ascii="宋体" w:hAnsi="宋体" w:eastAsia="宋体" w:cs="宋体"/>
                <w:spacing w:val="-3"/>
                <w:sz w:val="22"/>
                <w:szCs w:val="22"/>
                <w14:textOutline w14:w="4013" w14:cap="sq" w14:cmpd="sng" w14:algn="ctr">
                  <w14:solidFill>
                    <w14:srgbClr w14:val="000000"/>
                  </w14:solidFill>
                  <w14:prstDash w14:val="solid"/>
                  <w14:bevel/>
                </w14:textOutline>
              </w:rPr>
              <w:t>项</w:t>
            </w:r>
            <w:r>
              <w:rPr>
                <w:rFonts w:ascii="宋体" w:hAnsi="宋体" w:eastAsia="宋体" w:cs="宋体"/>
                <w:spacing w:val="-2"/>
                <w:sz w:val="22"/>
                <w:szCs w:val="22"/>
                <w14:textOutline w14:w="4013" w14:cap="sq" w14:cmpd="sng" w14:algn="ctr">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8" w:hRule="atLeast"/>
        </w:trPr>
        <w:tc>
          <w:tcPr>
            <w:tcW w:w="0" w:type="auto"/>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类</w:t>
            </w:r>
          </w:p>
        </w:tc>
        <w:tc>
          <w:tcPr>
            <w:tcW w:w="0" w:type="auto"/>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款</w:t>
            </w:r>
          </w:p>
        </w:tc>
        <w:tc>
          <w:tcPr>
            <w:tcW w:w="2096"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项</w:t>
            </w:r>
          </w:p>
        </w:tc>
        <w:tc>
          <w:tcPr>
            <w:tcW w:w="1371" w:type="dxa"/>
            <w:vMerge w:val="continue"/>
            <w:tcBorders>
              <w:top w:val="single" w:color="auto" w:sz="4" w:space="0"/>
              <w:left w:val="single" w:color="auto" w:sz="4" w:space="0"/>
              <w:bottom w:val="single" w:color="auto" w:sz="4" w:space="0"/>
              <w:right w:val="single" w:color="auto" w:sz="4" w:space="0"/>
            </w:tcBorders>
          </w:tcPr>
          <w:p/>
        </w:tc>
        <w:tc>
          <w:tcPr>
            <w:tcW w:w="1410" w:type="dxa"/>
            <w:vMerge w:val="continue"/>
            <w:tcBorders>
              <w:top w:val="single" w:color="auto" w:sz="4" w:space="0"/>
              <w:left w:val="single" w:color="auto" w:sz="4" w:space="0"/>
              <w:bottom w:val="single" w:color="auto" w:sz="4" w:space="0"/>
              <w:right w:val="single" w:color="auto" w:sz="4" w:space="0"/>
            </w:tcBorders>
          </w:tcPr>
          <w:p/>
        </w:tc>
        <w:tc>
          <w:tcPr>
            <w:tcW w:w="690" w:type="dxa"/>
            <w:vMerge w:val="continue"/>
            <w:tcBorders>
              <w:top w:val="single" w:color="auto" w:sz="4" w:space="0"/>
              <w:left w:val="single" w:color="auto" w:sz="4" w:space="0"/>
              <w:bottom w:val="single" w:color="auto" w:sz="4" w:space="0"/>
              <w:right w:val="single" w:color="auto" w:sz="4" w:space="0"/>
            </w:tcBorders>
          </w:tcPr>
          <w:p/>
        </w:tc>
        <w:tc>
          <w:tcPr>
            <w:tcW w:w="1134" w:type="dxa"/>
            <w:vMerge w:val="continue"/>
            <w:tcBorders>
              <w:top w:val="single" w:color="auto" w:sz="4" w:space="0"/>
              <w:left w:val="single" w:color="auto" w:sz="4" w:space="0"/>
              <w:bottom w:val="single" w:color="auto" w:sz="4" w:space="0"/>
              <w:right w:val="single" w:color="auto" w:sz="4" w:space="0"/>
            </w:tcBorders>
          </w:tcPr>
          <w:p/>
        </w:tc>
        <w:tc>
          <w:tcPr>
            <w:tcW w:w="1134"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2096" w:type="dxa"/>
            <w:tcBorders>
              <w:top w:val="single" w:color="auto" w:sz="4" w:space="0"/>
              <w:left w:val="single" w:color="auto" w:sz="4" w:space="0"/>
              <w:bottom w:val="single" w:color="auto" w:sz="4" w:space="0"/>
              <w:right w:val="single" w:color="auto" w:sz="4" w:space="0"/>
            </w:tcBorders>
          </w:tcPr>
          <w:p/>
        </w:tc>
        <w:tc>
          <w:tcPr>
            <w:tcW w:w="1371" w:type="dxa"/>
            <w:tcBorders>
              <w:top w:val="single" w:color="auto" w:sz="4" w:space="0"/>
              <w:left w:val="single" w:color="auto" w:sz="4" w:space="0"/>
              <w:bottom w:val="single" w:color="auto" w:sz="4" w:space="0"/>
              <w:right w:val="single" w:color="auto" w:sz="4" w:space="0"/>
            </w:tcBorders>
          </w:tcPr>
          <w:p/>
        </w:tc>
        <w:tc>
          <w:tcPr>
            <w:tcW w:w="1410" w:type="dxa"/>
            <w:tcBorders>
              <w:top w:val="single" w:color="auto" w:sz="4" w:space="0"/>
              <w:left w:val="single" w:color="auto" w:sz="4" w:space="0"/>
              <w:bottom w:val="single" w:color="auto" w:sz="4" w:space="0"/>
              <w:right w:val="single" w:color="auto" w:sz="4" w:space="0"/>
            </w:tcBorders>
          </w:tcPr>
          <w:p>
            <w:pPr>
              <w:spacing w:before="138" w:line="222" w:lineRule="auto"/>
              <w:ind w:firstLine="444" w:firstLineChars="200"/>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690"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2096" w:type="dxa"/>
            <w:tcBorders>
              <w:top w:val="single" w:color="auto" w:sz="4" w:space="0"/>
              <w:left w:val="single" w:color="auto" w:sz="4" w:space="0"/>
              <w:bottom w:val="single" w:color="auto" w:sz="4" w:space="0"/>
              <w:right w:val="single" w:color="auto" w:sz="4" w:space="0"/>
            </w:tcBorders>
          </w:tcPr>
          <w:p/>
        </w:tc>
        <w:tc>
          <w:tcPr>
            <w:tcW w:w="1371" w:type="dxa"/>
            <w:tcBorders>
              <w:top w:val="single" w:color="auto" w:sz="4" w:space="0"/>
              <w:left w:val="single" w:color="auto" w:sz="4" w:space="0"/>
              <w:bottom w:val="single" w:color="auto" w:sz="4" w:space="0"/>
              <w:right w:val="single" w:color="auto" w:sz="4" w:space="0"/>
            </w:tcBorders>
          </w:tcPr>
          <w:p/>
        </w:tc>
        <w:tc>
          <w:tcPr>
            <w:tcW w:w="1410" w:type="dxa"/>
            <w:tcBorders>
              <w:top w:val="single" w:color="auto" w:sz="4" w:space="0"/>
              <w:left w:val="single" w:color="auto" w:sz="4" w:space="0"/>
              <w:bottom w:val="single" w:color="auto" w:sz="4" w:space="0"/>
              <w:right w:val="single" w:color="auto" w:sz="4" w:space="0"/>
            </w:tcBorders>
          </w:tcPr>
          <w:p/>
        </w:tc>
        <w:tc>
          <w:tcPr>
            <w:tcW w:w="690"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2096" w:type="dxa"/>
            <w:tcBorders>
              <w:top w:val="single" w:color="auto" w:sz="4" w:space="0"/>
              <w:left w:val="single" w:color="auto" w:sz="4" w:space="0"/>
              <w:bottom w:val="single" w:color="auto" w:sz="4" w:space="0"/>
              <w:right w:val="single" w:color="auto" w:sz="4" w:space="0"/>
            </w:tcBorders>
          </w:tcPr>
          <w:p/>
        </w:tc>
        <w:tc>
          <w:tcPr>
            <w:tcW w:w="1371" w:type="dxa"/>
            <w:tcBorders>
              <w:top w:val="single" w:color="auto" w:sz="4" w:space="0"/>
              <w:left w:val="single" w:color="auto" w:sz="4" w:space="0"/>
              <w:bottom w:val="single" w:color="auto" w:sz="4" w:space="0"/>
              <w:right w:val="single" w:color="auto" w:sz="4" w:space="0"/>
            </w:tcBorders>
          </w:tcPr>
          <w:p/>
        </w:tc>
        <w:tc>
          <w:tcPr>
            <w:tcW w:w="1410" w:type="dxa"/>
            <w:tcBorders>
              <w:top w:val="single" w:color="auto" w:sz="4" w:space="0"/>
              <w:left w:val="single" w:color="auto" w:sz="4" w:space="0"/>
              <w:bottom w:val="single" w:color="auto" w:sz="4" w:space="0"/>
              <w:right w:val="single" w:color="auto" w:sz="4" w:space="0"/>
            </w:tcBorders>
          </w:tcPr>
          <w:p/>
        </w:tc>
        <w:tc>
          <w:tcPr>
            <w:tcW w:w="690"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tcPr>
          <w:p/>
        </w:tc>
        <w:tc>
          <w:tcPr>
            <w:tcW w:w="0" w:type="auto"/>
            <w:tcBorders>
              <w:top w:val="single" w:color="auto" w:sz="4" w:space="0"/>
              <w:left w:val="single" w:color="auto" w:sz="4" w:space="0"/>
              <w:bottom w:val="single" w:color="auto" w:sz="4" w:space="0"/>
              <w:right w:val="single" w:color="auto" w:sz="4" w:space="0"/>
            </w:tcBorders>
          </w:tcPr>
          <w:p/>
        </w:tc>
        <w:tc>
          <w:tcPr>
            <w:tcW w:w="2096" w:type="dxa"/>
            <w:tcBorders>
              <w:top w:val="single" w:color="auto" w:sz="4" w:space="0"/>
              <w:left w:val="single" w:color="auto" w:sz="4" w:space="0"/>
              <w:bottom w:val="single" w:color="auto" w:sz="4" w:space="0"/>
              <w:right w:val="single" w:color="auto" w:sz="4" w:space="0"/>
            </w:tcBorders>
          </w:tcPr>
          <w:p/>
        </w:tc>
        <w:tc>
          <w:tcPr>
            <w:tcW w:w="1371" w:type="dxa"/>
            <w:tcBorders>
              <w:top w:val="single" w:color="auto" w:sz="4" w:space="0"/>
              <w:left w:val="single" w:color="auto" w:sz="4" w:space="0"/>
              <w:bottom w:val="single" w:color="auto" w:sz="4" w:space="0"/>
              <w:right w:val="single" w:color="auto" w:sz="4" w:space="0"/>
            </w:tcBorders>
          </w:tcPr>
          <w:p/>
        </w:tc>
        <w:tc>
          <w:tcPr>
            <w:tcW w:w="1410" w:type="dxa"/>
            <w:tcBorders>
              <w:top w:val="single" w:color="auto" w:sz="4" w:space="0"/>
              <w:left w:val="single" w:color="auto" w:sz="4" w:space="0"/>
              <w:bottom w:val="single" w:color="auto" w:sz="4" w:space="0"/>
              <w:right w:val="single" w:color="auto" w:sz="4" w:space="0"/>
            </w:tcBorders>
          </w:tcPr>
          <w:p/>
        </w:tc>
        <w:tc>
          <w:tcPr>
            <w:tcW w:w="690"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r>
    </w:tbl>
    <w:p>
      <w:pPr>
        <w:spacing w:before="51" w:line="228" w:lineRule="auto"/>
        <w:ind w:left="34"/>
        <w:rPr>
          <w:rFonts w:hint="eastAsia" w:eastAsiaTheme="minorEastAsia"/>
        </w:rPr>
        <w:sectPr>
          <w:footerReference r:id="rId13" w:type="default"/>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tbl>
      <w:tblPr>
        <w:tblStyle w:val="13"/>
        <w:tblW w:w="153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7"/>
        <w:gridCol w:w="1134"/>
        <w:gridCol w:w="1246"/>
        <w:gridCol w:w="1305"/>
        <w:gridCol w:w="851"/>
        <w:gridCol w:w="708"/>
        <w:gridCol w:w="2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893" w:type="dxa"/>
            <w:gridSpan w:val="7"/>
            <w:tcBorders>
              <w:top w:val="single" w:color="FFFFFF" w:sz="2" w:space="0"/>
              <w:left w:val="single" w:color="FFFFFF" w:sz="2" w:space="0"/>
              <w:bottom w:val="single" w:color="FFFFFF" w:sz="2" w:space="0"/>
              <w:right w:val="single" w:color="FFFFFF" w:sz="2" w:space="0"/>
            </w:tcBorders>
          </w:tcPr>
          <w:p>
            <w:pPr>
              <w:spacing w:before="69" w:line="221" w:lineRule="auto"/>
              <w:ind w:right="226"/>
              <w:jc w:val="right"/>
              <w:rPr>
                <w:rFonts w:ascii="宋体" w:hAnsi="宋体" w:eastAsia="宋体" w:cs="宋体"/>
                <w:color w:val="auto"/>
                <w:sz w:val="22"/>
                <w:szCs w:val="22"/>
              </w:rPr>
            </w:pPr>
            <w:r>
              <w:rPr>
                <w:rFonts w:ascii="宋体" w:hAnsi="宋体" w:eastAsia="宋体" w:cs="宋体"/>
                <w:color w:val="auto"/>
                <w:spacing w:val="-13"/>
                <w:sz w:val="22"/>
                <w:szCs w:val="22"/>
              </w:rPr>
              <w:t>部</w:t>
            </w:r>
            <w:r>
              <w:rPr>
                <w:rFonts w:ascii="宋体" w:hAnsi="宋体" w:eastAsia="宋体" w:cs="宋体"/>
                <w:color w:val="auto"/>
                <w:spacing w:val="-7"/>
                <w:sz w:val="22"/>
                <w:szCs w:val="22"/>
              </w:rPr>
              <w:t>门公开表 6</w:t>
            </w:r>
          </w:p>
          <w:p>
            <w:pPr>
              <w:spacing w:before="176" w:line="226" w:lineRule="auto"/>
              <w:ind w:left="4868"/>
              <w:rPr>
                <w:rFonts w:ascii="宋体" w:hAnsi="宋体" w:eastAsia="宋体" w:cs="宋体"/>
                <w:sz w:val="29"/>
                <w:szCs w:val="29"/>
              </w:rPr>
            </w:pPr>
            <w:r>
              <w:rPr>
                <w:rFonts w:ascii="宋体" w:hAnsi="宋体" w:eastAsia="宋体" w:cs="宋体"/>
                <w:color w:val="FF0000"/>
                <w:spacing w:val="10"/>
                <w:sz w:val="29"/>
                <w:szCs w:val="29"/>
                <w14:textOutline w14:w="5448" w14:cap="sq" w14:cmpd="sng" w14:algn="ctr">
                  <w14:solidFill>
                    <w14:srgbClr w14:val="000000"/>
                  </w14:solidFill>
                  <w14:prstDash w14:val="solid"/>
                  <w14:bevel/>
                </w14:textOutline>
              </w:rPr>
              <w:t>部门预算项目支出绩效目标</w:t>
            </w:r>
            <w:r>
              <w:rPr>
                <w:rFonts w:ascii="宋体" w:hAnsi="宋体" w:eastAsia="宋体" w:cs="宋体"/>
                <w:color w:val="FF0000"/>
                <w:spacing w:val="9"/>
                <w:sz w:val="29"/>
                <w:szCs w:val="29"/>
                <w14:textOutline w14:w="5448" w14:cap="sq" w14:cmpd="sng" w14:algn="ctr">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097" w:type="dxa"/>
            <w:tcBorders>
              <w:top w:val="single" w:color="FFFFFF" w:sz="2" w:space="0"/>
              <w:left w:val="single" w:color="FFFFFF" w:sz="2" w:space="0"/>
              <w:right w:val="single" w:color="FFFFFF" w:sz="2" w:space="0"/>
            </w:tcBorders>
          </w:tcPr>
          <w:p>
            <w:pPr>
              <w:jc w:val="center"/>
            </w:pPr>
          </w:p>
        </w:tc>
        <w:tc>
          <w:tcPr>
            <w:tcW w:w="1134" w:type="dxa"/>
            <w:tcBorders>
              <w:top w:val="single" w:color="FFFFFF" w:sz="2" w:space="0"/>
              <w:left w:val="single" w:color="FFFFFF" w:sz="2" w:space="0"/>
              <w:right w:val="single" w:color="FFFFFF" w:sz="2" w:space="0"/>
            </w:tcBorders>
          </w:tcPr>
          <w:p>
            <w:pPr>
              <w:jc w:val="both"/>
            </w:pPr>
          </w:p>
        </w:tc>
        <w:tc>
          <w:tcPr>
            <w:tcW w:w="1246" w:type="dxa"/>
            <w:tcBorders>
              <w:top w:val="single" w:color="FFFFFF" w:sz="2" w:space="0"/>
              <w:left w:val="single" w:color="FFFFFF" w:sz="2" w:space="0"/>
              <w:right w:val="single" w:color="FFFFFF" w:sz="2" w:space="0"/>
            </w:tcBorders>
          </w:tcPr>
          <w:p>
            <w:pPr>
              <w:jc w:val="center"/>
            </w:pPr>
          </w:p>
        </w:tc>
        <w:tc>
          <w:tcPr>
            <w:tcW w:w="1305" w:type="dxa"/>
            <w:tcBorders>
              <w:top w:val="single" w:color="FFFFFF" w:sz="2" w:space="0"/>
              <w:left w:val="single" w:color="FFFFFF" w:sz="2" w:space="0"/>
              <w:right w:val="single" w:color="FFFFFF" w:sz="2" w:space="0"/>
            </w:tcBorders>
          </w:tcPr>
          <w:p>
            <w:pPr>
              <w:jc w:val="center"/>
            </w:pPr>
          </w:p>
        </w:tc>
        <w:tc>
          <w:tcPr>
            <w:tcW w:w="851" w:type="dxa"/>
            <w:tcBorders>
              <w:top w:val="single" w:color="FFFFFF" w:sz="2" w:space="0"/>
              <w:left w:val="single" w:color="FFFFFF" w:sz="2" w:space="0"/>
              <w:right w:val="single" w:color="FFFFFF" w:sz="2" w:space="0"/>
            </w:tcBorders>
          </w:tcPr>
          <w:p>
            <w:pPr>
              <w:jc w:val="center"/>
            </w:pPr>
          </w:p>
        </w:tc>
        <w:tc>
          <w:tcPr>
            <w:tcW w:w="708" w:type="dxa"/>
            <w:tcBorders>
              <w:top w:val="single" w:color="FFFFFF" w:sz="2" w:space="0"/>
              <w:left w:val="single" w:color="FFFFFF" w:sz="2" w:space="0"/>
              <w:right w:val="single" w:color="FFFFFF" w:sz="2" w:space="0"/>
            </w:tcBorders>
          </w:tcPr>
          <w:p>
            <w:pPr>
              <w:jc w:val="center"/>
            </w:pPr>
          </w:p>
        </w:tc>
        <w:tc>
          <w:tcPr>
            <w:tcW w:w="2552" w:type="dxa"/>
            <w:tcBorders>
              <w:top w:val="single" w:color="FFFFFF" w:sz="2" w:space="0"/>
              <w:left w:val="single" w:color="FFFFFF" w:sz="2" w:space="0"/>
              <w:right w:val="single" w:color="FFFFFF" w:sz="2" w:space="0"/>
            </w:tcBorders>
          </w:tcPr>
          <w:p>
            <w:pPr>
              <w:spacing w:before="101" w:line="221" w:lineRule="auto"/>
              <w:ind w:left="956"/>
              <w:jc w:val="center"/>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bl>
    <w:tbl>
      <w:tblPr>
        <w:tblStyle w:val="10"/>
        <w:tblW w:w="14910" w:type="dxa"/>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095"/>
        <w:gridCol w:w="717"/>
        <w:gridCol w:w="1668"/>
        <w:gridCol w:w="1170"/>
        <w:gridCol w:w="1950"/>
        <w:gridCol w:w="3225"/>
        <w:gridCol w:w="765"/>
        <w:gridCol w:w="840"/>
        <w:gridCol w:w="780"/>
        <w:gridCol w:w="67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1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单位</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名称</w:t>
            </w:r>
          </w:p>
        </w:tc>
        <w:tc>
          <w:tcPr>
            <w:tcW w:w="109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717"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预算数</w:t>
            </w:r>
          </w:p>
        </w:tc>
        <w:tc>
          <w:tcPr>
            <w:tcW w:w="1668"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年度目标</w:t>
            </w:r>
          </w:p>
        </w:tc>
        <w:tc>
          <w:tcPr>
            <w:tcW w:w="117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二级指标</w:t>
            </w:r>
          </w:p>
        </w:tc>
        <w:tc>
          <w:tcPr>
            <w:tcW w:w="322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三级指标</w:t>
            </w:r>
          </w:p>
        </w:tc>
        <w:tc>
          <w:tcPr>
            <w:tcW w:w="76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指标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性质</w:t>
            </w:r>
          </w:p>
        </w:tc>
        <w:tc>
          <w:tcPr>
            <w:tcW w:w="84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度量</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权重</w:t>
            </w:r>
          </w:p>
        </w:tc>
        <w:tc>
          <w:tcPr>
            <w:tcW w:w="121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巴州区应急管理局</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应急管理综合行政执法人员培训开支</w:t>
            </w:r>
          </w:p>
        </w:tc>
        <w:tc>
          <w:tcPr>
            <w:tcW w:w="717"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w:t>
            </w:r>
          </w:p>
        </w:tc>
        <w:tc>
          <w:tcPr>
            <w:tcW w:w="166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进行应急管理综合行政人员培训，提升应急管理综合行政人员业务水平。</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产出指标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数量指标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培训人次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培训课程次数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质量指标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执法能力有效提升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可持续影响指标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执法能力有效提升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社会群众对应急执法工作的满意度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执法能力有效提升，培训内容丰富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防灾减灾应急处突</w:t>
            </w:r>
          </w:p>
        </w:tc>
        <w:tc>
          <w:tcPr>
            <w:tcW w:w="71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及时应急处突，切实减轻灾害损失；建立长效机制，提升防灾减灾应急处突能力。</w:t>
            </w:r>
          </w:p>
        </w:tc>
        <w:tc>
          <w:tcPr>
            <w:tcW w:w="117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产出指标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数量指标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救灾减灾应急处突完成率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时效指标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救灾减灾应急处突完成时限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可持续影响指标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救灾减灾处突能力显著提升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受灾群众投诉率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经济成本指标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防灾减灾应急处突资金使用情况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安全生产监管执法能力提升</w:t>
            </w:r>
          </w:p>
        </w:tc>
        <w:tc>
          <w:tcPr>
            <w:tcW w:w="71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配备执法装备，提升安全生产监管执法能力，依托应急管理干部网络学院等网络教育培训平台，加强能力培训，提高执法人员业务水平，提升社会满意度。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产出指标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数量指标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开展安全生产执法业务培训3次以上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提高执法人员业务水平，提升执法能力，降低安全事故率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提升安全生产监管执法能力，提升社会群众满意度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正向指标</w:t>
            </w:r>
          </w:p>
        </w:tc>
      </w:tr>
    </w:tbl>
    <w:p>
      <w:pPr>
        <w:sectPr>
          <w:footerReference r:id="rId14" w:type="default"/>
          <w:pgSz w:w="16839" w:h="11906"/>
          <w:pgMar w:top="2098" w:right="1474" w:bottom="1474" w:left="1587" w:header="0" w:footer="575" w:gutter="0"/>
          <w:pgBorders>
            <w:top w:val="none" w:sz="0" w:space="0"/>
            <w:left w:val="none" w:sz="0" w:space="0"/>
            <w:bottom w:val="none" w:sz="0" w:space="0"/>
            <w:right w:val="none" w:sz="0" w:space="0"/>
          </w:pgBorders>
          <w:pgNumType w:fmt="decimal"/>
          <w:cols w:space="720" w:num="1"/>
        </w:sectPr>
      </w:pPr>
    </w:p>
    <w:p>
      <w:pPr>
        <w:spacing w:before="163" w:line="221" w:lineRule="auto"/>
        <w:ind w:right="349"/>
        <w:jc w:val="right"/>
        <w:rPr>
          <w:rFonts w:ascii="宋体" w:hAnsi="宋体" w:eastAsia="宋体" w:cs="宋体"/>
          <w:color w:val="auto"/>
          <w:sz w:val="22"/>
          <w:szCs w:val="22"/>
        </w:rPr>
      </w:pPr>
      <w:r>
        <w:rPr>
          <w:rFonts w:ascii="宋体" w:hAnsi="宋体" w:eastAsia="宋体" w:cs="宋体"/>
          <w:color w:val="auto"/>
          <w:spacing w:val="-13"/>
          <w:sz w:val="22"/>
          <w:szCs w:val="22"/>
        </w:rPr>
        <w:t>部门公开表</w:t>
      </w:r>
      <w:r>
        <w:rPr>
          <w:rFonts w:ascii="宋体" w:hAnsi="宋体" w:eastAsia="宋体" w:cs="宋体"/>
          <w:color w:val="auto"/>
          <w:spacing w:val="-7"/>
          <w:sz w:val="22"/>
          <w:szCs w:val="22"/>
        </w:rPr>
        <w:t xml:space="preserve"> 7</w:t>
      </w:r>
    </w:p>
    <w:p>
      <w:pPr>
        <w:spacing w:before="276" w:line="227" w:lineRule="auto"/>
        <w:ind w:left="2541"/>
        <w:rPr>
          <w:rFonts w:ascii="黑体" w:hAnsi="黑体" w:eastAsia="黑体" w:cs="黑体"/>
          <w:sz w:val="29"/>
          <w:szCs w:val="29"/>
        </w:rPr>
      </w:pPr>
      <w:r>
        <w:rPr>
          <w:rFonts w:ascii="黑体" w:hAnsi="黑体" w:eastAsia="黑体" w:cs="黑体"/>
          <w:spacing w:val="11"/>
          <w:sz w:val="29"/>
          <w:szCs w:val="29"/>
        </w:rPr>
        <w:t>部</w:t>
      </w:r>
      <w:r>
        <w:rPr>
          <w:rFonts w:ascii="黑体" w:hAnsi="黑体" w:eastAsia="黑体" w:cs="黑体"/>
          <w:spacing w:val="8"/>
          <w:sz w:val="29"/>
          <w:szCs w:val="29"/>
        </w:rPr>
        <w:t>门整体支出绩效目标表</w:t>
      </w:r>
    </w:p>
    <w:p>
      <w:pPr>
        <w:spacing w:line="103" w:lineRule="exact"/>
      </w:pPr>
    </w:p>
    <w:tbl>
      <w:tblPr>
        <w:tblStyle w:val="13"/>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803"/>
        <w:gridCol w:w="779"/>
        <w:gridCol w:w="1773"/>
        <w:gridCol w:w="778"/>
        <w:gridCol w:w="1290"/>
        <w:gridCol w:w="1259"/>
        <w:gridCol w:w="12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0" w:type="dxa"/>
            <w:gridSpan w:val="3"/>
          </w:tcPr>
          <w:p>
            <w:pPr>
              <w:spacing w:before="256" w:line="231" w:lineRule="auto"/>
              <w:ind w:left="657"/>
              <w:rPr>
                <w:rFonts w:ascii="宋体" w:hAnsi="宋体" w:eastAsia="宋体" w:cs="宋体"/>
                <w:sz w:val="18"/>
                <w:szCs w:val="18"/>
              </w:rPr>
            </w:pPr>
            <w:r>
              <w:rPr>
                <w:rFonts w:ascii="宋体" w:hAnsi="宋体" w:eastAsia="宋体" w:cs="宋体"/>
                <w:spacing w:val="9"/>
                <w:sz w:val="18"/>
                <w:szCs w:val="18"/>
              </w:rPr>
              <w:t>部</w:t>
            </w:r>
            <w:r>
              <w:rPr>
                <w:rFonts w:ascii="宋体" w:hAnsi="宋体" w:eastAsia="宋体" w:cs="宋体"/>
                <w:spacing w:val="7"/>
                <w:sz w:val="18"/>
                <w:szCs w:val="18"/>
              </w:rPr>
              <w:t>门名称</w:t>
            </w:r>
          </w:p>
        </w:tc>
        <w:tc>
          <w:tcPr>
            <w:tcW w:w="6320" w:type="dxa"/>
            <w:gridSpan w:val="5"/>
          </w:tcPr>
          <w:p>
            <w:pPr>
              <w:spacing w:before="256" w:line="231" w:lineRule="auto"/>
              <w:ind w:left="2458"/>
              <w:rPr>
                <w:rFonts w:ascii="宋体" w:hAnsi="宋体" w:eastAsia="宋体" w:cs="宋体"/>
                <w:sz w:val="18"/>
                <w:szCs w:val="18"/>
              </w:rPr>
            </w:pPr>
            <w:r>
              <w:rPr>
                <w:rFonts w:hint="eastAsia" w:ascii="宋体" w:hAnsi="宋体" w:eastAsia="宋体" w:cs="宋体"/>
                <w:sz w:val="18"/>
                <w:szCs w:val="18"/>
              </w:rPr>
              <w:t xml:space="preserve">巴中市巴州区应急管理局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restart"/>
            <w:tcBorders>
              <w:bottom w:val="nil"/>
            </w:tcBorders>
            <w:vAlign w:val="center"/>
          </w:tcPr>
          <w:p>
            <w:pPr>
              <w:spacing w:line="256" w:lineRule="auto"/>
              <w:jc w:val="center"/>
            </w:pPr>
          </w:p>
          <w:p>
            <w:pPr>
              <w:spacing w:line="256" w:lineRule="auto"/>
              <w:jc w:val="center"/>
            </w:pPr>
          </w:p>
          <w:p>
            <w:pPr>
              <w:spacing w:line="256" w:lineRule="auto"/>
              <w:jc w:val="center"/>
            </w:pPr>
          </w:p>
          <w:p>
            <w:pPr>
              <w:spacing w:line="256" w:lineRule="auto"/>
              <w:jc w:val="center"/>
            </w:pPr>
          </w:p>
          <w:p>
            <w:pPr>
              <w:spacing w:line="257" w:lineRule="auto"/>
              <w:jc w:val="center"/>
            </w:pPr>
          </w:p>
          <w:p>
            <w:pPr>
              <w:spacing w:line="257" w:lineRule="auto"/>
              <w:jc w:val="center"/>
            </w:pPr>
          </w:p>
          <w:p>
            <w:pPr>
              <w:spacing w:before="56" w:line="346" w:lineRule="auto"/>
              <w:ind w:right="36"/>
              <w:jc w:val="both"/>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7"/>
                <w:sz w:val="17"/>
                <w:szCs w:val="17"/>
              </w:rPr>
              <w:t>主</w:t>
            </w:r>
            <w:r>
              <w:rPr>
                <w:rFonts w:ascii="宋体" w:hAnsi="宋体" w:eastAsia="宋体" w:cs="宋体"/>
                <w:spacing w:val="6"/>
                <w:sz w:val="17"/>
                <w:szCs w:val="17"/>
              </w:rPr>
              <w:t>要</w:t>
            </w:r>
            <w:r>
              <w:rPr>
                <w:rFonts w:ascii="宋体" w:hAnsi="宋体" w:eastAsia="宋体" w:cs="宋体"/>
                <w:sz w:val="17"/>
                <w:szCs w:val="17"/>
              </w:rPr>
              <w:t xml:space="preserve"> </w:t>
            </w:r>
            <w:r>
              <w:rPr>
                <w:rFonts w:ascii="宋体" w:hAnsi="宋体" w:eastAsia="宋体" w:cs="宋体"/>
                <w:spacing w:val="7"/>
                <w:sz w:val="17"/>
                <w:szCs w:val="17"/>
              </w:rPr>
              <w:t>任</w:t>
            </w:r>
            <w:r>
              <w:rPr>
                <w:rFonts w:ascii="宋体" w:hAnsi="宋体" w:eastAsia="宋体" w:cs="宋体"/>
                <w:spacing w:val="6"/>
                <w:sz w:val="17"/>
                <w:szCs w:val="17"/>
              </w:rPr>
              <w:t>务</w:t>
            </w:r>
          </w:p>
        </w:tc>
        <w:tc>
          <w:tcPr>
            <w:tcW w:w="1582" w:type="dxa"/>
            <w:gridSpan w:val="2"/>
          </w:tcPr>
          <w:p>
            <w:pPr>
              <w:spacing w:before="251" w:line="231" w:lineRule="auto"/>
              <w:ind w:left="432"/>
              <w:rPr>
                <w:rFonts w:ascii="宋体" w:hAnsi="宋体" w:eastAsia="宋体" w:cs="宋体"/>
                <w:sz w:val="18"/>
                <w:szCs w:val="18"/>
              </w:rPr>
            </w:pPr>
            <w:r>
              <w:rPr>
                <w:rFonts w:ascii="宋体" w:hAnsi="宋体" w:eastAsia="宋体" w:cs="宋体"/>
                <w:spacing w:val="9"/>
                <w:sz w:val="18"/>
                <w:szCs w:val="18"/>
              </w:rPr>
              <w:t>任</w:t>
            </w:r>
            <w:r>
              <w:rPr>
                <w:rFonts w:ascii="宋体" w:hAnsi="宋体" w:eastAsia="宋体" w:cs="宋体"/>
                <w:spacing w:val="8"/>
                <w:sz w:val="18"/>
                <w:szCs w:val="18"/>
              </w:rPr>
              <w:t>务名称</w:t>
            </w:r>
          </w:p>
        </w:tc>
        <w:tc>
          <w:tcPr>
            <w:tcW w:w="6320" w:type="dxa"/>
            <w:gridSpan w:val="5"/>
          </w:tcPr>
          <w:p>
            <w:pPr>
              <w:spacing w:before="251" w:line="231" w:lineRule="auto"/>
              <w:ind w:left="2803"/>
              <w:rPr>
                <w:rFonts w:ascii="宋体" w:hAnsi="宋体" w:eastAsia="宋体" w:cs="宋体"/>
                <w:sz w:val="18"/>
                <w:szCs w:val="18"/>
              </w:rPr>
            </w:pPr>
            <w:r>
              <w:rPr>
                <w:rFonts w:ascii="宋体" w:hAnsi="宋体" w:eastAsia="宋体" w:cs="宋体"/>
                <w:spacing w:val="8"/>
                <w:sz w:val="18"/>
                <w:szCs w:val="18"/>
              </w:rPr>
              <w:t>主要内</w:t>
            </w:r>
            <w:r>
              <w:rPr>
                <w:rFonts w:ascii="宋体" w:hAnsi="宋体" w:eastAsia="宋体" w:cs="宋体"/>
                <w:spacing w:val="7"/>
                <w:sz w:val="18"/>
                <w:szCs w:val="18"/>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continue"/>
            <w:tcBorders>
              <w:top w:val="nil"/>
              <w:bottom w:val="nil"/>
            </w:tcBorders>
            <w:vAlign w:val="center"/>
          </w:tcPr>
          <w:p>
            <w:pPr>
              <w:jc w:val="center"/>
            </w:pPr>
          </w:p>
        </w:tc>
        <w:tc>
          <w:tcPr>
            <w:tcW w:w="1582" w:type="dxa"/>
            <w:gridSpan w:val="2"/>
            <w:vAlign w:val="center"/>
          </w:tcPr>
          <w:p>
            <w:pPr>
              <w:keepNext w:val="0"/>
              <w:keepLines w:val="0"/>
              <w:widowControl/>
              <w:suppressLineNumbers w:val="0"/>
              <w:jc w:val="left"/>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保障单位正常运转</w:t>
            </w:r>
          </w:p>
        </w:tc>
        <w:tc>
          <w:tcPr>
            <w:tcW w:w="6320" w:type="dxa"/>
            <w:gridSpan w:val="5"/>
            <w:vAlign w:val="center"/>
          </w:tcPr>
          <w:p>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保障应急管理局在职人员正常办公、生活秩序，做好日常工作开展，做好全区安全生产预防、整治隐患排查工作，预防重大生产事故发生,组织、指导、协调和监督全区安全生产行政执法工作，对安全生产事故进行调查处理，确保人民群众生命财产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38" w:type="dxa"/>
            <w:vMerge w:val="continue"/>
            <w:tcBorders>
              <w:top w:val="nil"/>
              <w:bottom w:val="nil"/>
            </w:tcBorders>
            <w:vAlign w:val="center"/>
          </w:tcPr>
          <w:p>
            <w:pPr>
              <w:jc w:val="center"/>
            </w:pPr>
          </w:p>
        </w:tc>
        <w:tc>
          <w:tcPr>
            <w:tcW w:w="4133" w:type="dxa"/>
            <w:gridSpan w:val="4"/>
            <w:vMerge w:val="restart"/>
            <w:tcBorders>
              <w:bottom w:val="nil"/>
            </w:tcBorders>
          </w:tcPr>
          <w:p>
            <w:pPr>
              <w:spacing w:line="384" w:lineRule="auto"/>
              <w:rPr>
                <w:sz w:val="18"/>
                <w:szCs w:val="18"/>
              </w:rPr>
            </w:pPr>
          </w:p>
          <w:p>
            <w:pPr>
              <w:spacing w:before="56" w:line="231" w:lineRule="auto"/>
              <w:ind w:left="1336"/>
              <w:rPr>
                <w:rFonts w:ascii="宋体" w:hAnsi="宋体" w:eastAsia="宋体" w:cs="宋体"/>
                <w:sz w:val="18"/>
                <w:szCs w:val="18"/>
              </w:rPr>
            </w:pPr>
            <w:r>
              <w:rPr>
                <w:rFonts w:ascii="宋体" w:hAnsi="宋体" w:eastAsia="宋体" w:cs="宋体"/>
                <w:spacing w:val="11"/>
                <w:sz w:val="18"/>
                <w:szCs w:val="18"/>
              </w:rPr>
              <w:t>年</w:t>
            </w:r>
            <w:r>
              <w:rPr>
                <w:rFonts w:ascii="宋体" w:hAnsi="宋体" w:eastAsia="宋体" w:cs="宋体"/>
                <w:spacing w:val="9"/>
                <w:sz w:val="18"/>
                <w:szCs w:val="18"/>
              </w:rPr>
              <w:t>度部门整体支出预算</w:t>
            </w:r>
          </w:p>
        </w:tc>
        <w:tc>
          <w:tcPr>
            <w:tcW w:w="1290" w:type="dxa"/>
          </w:tcPr>
          <w:p>
            <w:pPr>
              <w:spacing w:before="180" w:line="231" w:lineRule="auto"/>
              <w:ind w:left="214"/>
              <w:rPr>
                <w:rFonts w:ascii="宋体" w:hAnsi="宋体" w:eastAsia="宋体" w:cs="宋体"/>
                <w:sz w:val="18"/>
                <w:szCs w:val="18"/>
              </w:rPr>
            </w:pPr>
            <w:r>
              <w:rPr>
                <w:rFonts w:ascii="宋体" w:hAnsi="宋体" w:eastAsia="宋体" w:cs="宋体"/>
                <w:spacing w:val="7"/>
                <w:sz w:val="18"/>
                <w:szCs w:val="18"/>
              </w:rPr>
              <w:t>资</w:t>
            </w:r>
            <w:r>
              <w:rPr>
                <w:rFonts w:ascii="宋体" w:hAnsi="宋体" w:eastAsia="宋体" w:cs="宋体"/>
                <w:spacing w:val="6"/>
                <w:sz w:val="18"/>
                <w:szCs w:val="18"/>
              </w:rPr>
              <w:t>金总额</w:t>
            </w:r>
          </w:p>
        </w:tc>
        <w:tc>
          <w:tcPr>
            <w:tcW w:w="1259" w:type="dxa"/>
          </w:tcPr>
          <w:p>
            <w:pPr>
              <w:spacing w:before="180" w:line="231" w:lineRule="auto"/>
              <w:ind w:left="191"/>
              <w:rPr>
                <w:rFonts w:ascii="宋体" w:hAnsi="宋体" w:eastAsia="宋体" w:cs="宋体"/>
                <w:sz w:val="18"/>
                <w:szCs w:val="18"/>
              </w:rPr>
            </w:pPr>
            <w:r>
              <w:rPr>
                <w:rFonts w:ascii="宋体" w:hAnsi="宋体" w:eastAsia="宋体" w:cs="宋体"/>
                <w:spacing w:val="8"/>
                <w:sz w:val="18"/>
                <w:szCs w:val="18"/>
              </w:rPr>
              <w:t>财政拨款</w:t>
            </w:r>
          </w:p>
        </w:tc>
        <w:tc>
          <w:tcPr>
            <w:tcW w:w="1220" w:type="dxa"/>
          </w:tcPr>
          <w:p>
            <w:pPr>
              <w:spacing w:before="180" w:line="232" w:lineRule="auto"/>
              <w:ind w:left="256"/>
              <w:rPr>
                <w:rFonts w:ascii="宋体" w:hAnsi="宋体" w:eastAsia="宋体" w:cs="宋体"/>
                <w:sz w:val="18"/>
                <w:szCs w:val="18"/>
              </w:rPr>
            </w:pPr>
            <w:r>
              <w:rPr>
                <w:rFonts w:ascii="宋体" w:hAnsi="宋体" w:eastAsia="宋体" w:cs="宋体"/>
                <w:spacing w:val="8"/>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38" w:type="dxa"/>
            <w:vMerge w:val="continue"/>
            <w:tcBorders>
              <w:top w:val="nil"/>
            </w:tcBorders>
            <w:vAlign w:val="center"/>
          </w:tcPr>
          <w:p>
            <w:pPr>
              <w:jc w:val="center"/>
            </w:pPr>
          </w:p>
        </w:tc>
        <w:tc>
          <w:tcPr>
            <w:tcW w:w="4133" w:type="dxa"/>
            <w:gridSpan w:val="4"/>
            <w:vMerge w:val="continue"/>
            <w:tcBorders>
              <w:top w:val="nil"/>
            </w:tcBorders>
          </w:tcPr>
          <w:p>
            <w:pPr>
              <w:rPr>
                <w:sz w:val="18"/>
                <w:szCs w:val="18"/>
              </w:rPr>
            </w:pPr>
          </w:p>
        </w:tc>
        <w:tc>
          <w:tcPr>
            <w:tcW w:w="1290" w:type="dxa"/>
            <w:vAlign w:val="center"/>
          </w:tcPr>
          <w:p>
            <w:pPr>
              <w:keepNext w:val="0"/>
              <w:keepLines w:val="0"/>
              <w:widowControl/>
              <w:suppressLineNumbers w:val="0"/>
              <w:jc w:val="center"/>
              <w:textAlignment w:val="center"/>
              <w:rPr>
                <w:rFonts w:hint="default" w:ascii="宋体" w:hAnsi="宋体" w:eastAsia="宋体" w:cs="宋体"/>
                <w:sz w:val="18"/>
                <w:szCs w:val="18"/>
                <w:lang w:val="en-US"/>
              </w:rPr>
            </w:pPr>
            <w:r>
              <w:rPr>
                <w:rFonts w:hint="eastAsia" w:ascii="宋体" w:hAnsi="宋体" w:eastAsia="宋体" w:cs="宋体"/>
                <w:i w:val="0"/>
                <w:iCs w:val="0"/>
                <w:snapToGrid w:val="0"/>
                <w:color w:val="000000"/>
                <w:kern w:val="0"/>
                <w:sz w:val="18"/>
                <w:szCs w:val="18"/>
                <w:u w:val="none"/>
                <w:lang w:val="en-US" w:eastAsia="zh-CN" w:bidi="ar"/>
              </w:rPr>
              <w:t>890.66</w:t>
            </w:r>
          </w:p>
        </w:tc>
        <w:tc>
          <w:tcPr>
            <w:tcW w:w="1259" w:type="dxa"/>
            <w:vAlign w:val="center"/>
          </w:tcPr>
          <w:p>
            <w:pPr>
              <w:keepNext w:val="0"/>
              <w:keepLines w:val="0"/>
              <w:widowControl/>
              <w:suppressLineNumbers w:val="0"/>
              <w:jc w:val="center"/>
              <w:textAlignment w:val="center"/>
              <w:rPr>
                <w:rFonts w:hint="default" w:ascii="宋体" w:hAnsi="宋体" w:eastAsia="宋体" w:cs="宋体"/>
                <w:sz w:val="18"/>
                <w:szCs w:val="18"/>
                <w:lang w:val="en-US"/>
              </w:rPr>
            </w:pPr>
            <w:r>
              <w:rPr>
                <w:rFonts w:hint="eastAsia" w:ascii="宋体" w:hAnsi="宋体" w:eastAsia="宋体" w:cs="宋体"/>
                <w:i w:val="0"/>
                <w:iCs w:val="0"/>
                <w:snapToGrid w:val="0"/>
                <w:color w:val="000000"/>
                <w:kern w:val="0"/>
                <w:sz w:val="18"/>
                <w:szCs w:val="18"/>
                <w:u w:val="none"/>
                <w:lang w:val="en-US" w:eastAsia="zh-CN" w:bidi="ar"/>
              </w:rPr>
              <w:t>890.66</w:t>
            </w:r>
          </w:p>
        </w:tc>
        <w:tc>
          <w:tcPr>
            <w:tcW w:w="1220" w:type="dxa"/>
            <w:vAlign w:val="center"/>
          </w:tcPr>
          <w:p>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438" w:type="dxa"/>
            <w:vAlign w:val="center"/>
          </w:tcPr>
          <w:p>
            <w:pPr>
              <w:spacing w:before="242" w:line="346" w:lineRule="auto"/>
              <w:ind w:left="45" w:right="36" w:hanging="1"/>
              <w:jc w:val="center"/>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总体</w:t>
            </w:r>
            <w:r>
              <w:rPr>
                <w:rFonts w:ascii="宋体" w:hAnsi="宋体" w:eastAsia="宋体" w:cs="宋体"/>
                <w:sz w:val="17"/>
                <w:szCs w:val="17"/>
              </w:rPr>
              <w:t xml:space="preserve"> </w:t>
            </w:r>
            <w:r>
              <w:rPr>
                <w:rFonts w:ascii="宋体" w:hAnsi="宋体" w:eastAsia="宋体" w:cs="宋体"/>
                <w:spacing w:val="5"/>
                <w:sz w:val="17"/>
                <w:szCs w:val="17"/>
              </w:rPr>
              <w:t>目标</w:t>
            </w:r>
          </w:p>
        </w:tc>
        <w:tc>
          <w:tcPr>
            <w:tcW w:w="7902" w:type="dxa"/>
            <w:gridSpan w:val="7"/>
          </w:tcPr>
          <w:p>
            <w:pPr>
              <w:spacing w:before="85" w:line="312" w:lineRule="auto"/>
              <w:ind w:left="13" w:firstLine="360" w:firstLineChars="200"/>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保障在职人员53人、离退休人员10人的正常办公需要，工资、五险一金正常发放缴纳，保障各项工作顺利开展，各项业务费控制在范围内，预防重大生产事故发生,,组织、指导、协调和监督全区安全生产行政执法工作，对安全生产事故进行调查处理，确保人民群众生命财产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38" w:type="dxa"/>
            <w:vMerge w:val="restart"/>
          </w:tcPr>
          <w:p>
            <w:pPr>
              <w:spacing w:line="267" w:lineRule="auto"/>
            </w:pPr>
          </w:p>
          <w:p>
            <w:pPr>
              <w:spacing w:line="267" w:lineRule="auto"/>
            </w:pPr>
          </w:p>
          <w:p>
            <w:pPr>
              <w:spacing w:line="268" w:lineRule="auto"/>
            </w:pPr>
          </w:p>
          <w:p>
            <w:pPr>
              <w:spacing w:line="268" w:lineRule="auto"/>
            </w:pPr>
          </w:p>
          <w:p>
            <w:pPr>
              <w:spacing w:before="55" w:line="346" w:lineRule="auto"/>
              <w:ind w:left="45" w:right="36" w:hanging="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绩效</w:t>
            </w:r>
            <w:r>
              <w:rPr>
                <w:rFonts w:ascii="宋体" w:hAnsi="宋体" w:eastAsia="宋体" w:cs="宋体"/>
                <w:sz w:val="17"/>
                <w:szCs w:val="17"/>
              </w:rPr>
              <w:t xml:space="preserve"> </w:t>
            </w:r>
            <w:r>
              <w:rPr>
                <w:rFonts w:ascii="宋体" w:hAnsi="宋体" w:eastAsia="宋体" w:cs="宋体"/>
                <w:spacing w:val="5"/>
                <w:sz w:val="17"/>
                <w:szCs w:val="17"/>
              </w:rPr>
              <w:t>指标</w:t>
            </w:r>
          </w:p>
        </w:tc>
        <w:tc>
          <w:tcPr>
            <w:tcW w:w="803" w:type="dxa"/>
            <w:tcBorders>
              <w:bottom w:val="single" w:color="auto" w:sz="4" w:space="0"/>
            </w:tcBorders>
          </w:tcPr>
          <w:p>
            <w:pPr>
              <w:spacing w:before="241" w:line="232" w:lineRule="auto"/>
              <w:ind w:left="47"/>
              <w:rPr>
                <w:rFonts w:ascii="宋体" w:hAnsi="宋体" w:eastAsia="宋体" w:cs="宋体"/>
                <w:sz w:val="18"/>
                <w:szCs w:val="18"/>
              </w:rPr>
            </w:pPr>
            <w:r>
              <w:rPr>
                <w:rFonts w:ascii="宋体" w:hAnsi="宋体" w:eastAsia="宋体" w:cs="宋体"/>
                <w:spacing w:val="9"/>
                <w:sz w:val="18"/>
                <w:szCs w:val="18"/>
              </w:rPr>
              <w:t>一</w:t>
            </w:r>
            <w:r>
              <w:rPr>
                <w:rFonts w:ascii="宋体" w:hAnsi="宋体" w:eastAsia="宋体" w:cs="宋体"/>
                <w:spacing w:val="7"/>
                <w:sz w:val="18"/>
                <w:szCs w:val="18"/>
              </w:rPr>
              <w:t>级指标</w:t>
            </w:r>
          </w:p>
        </w:tc>
        <w:tc>
          <w:tcPr>
            <w:tcW w:w="2552" w:type="dxa"/>
            <w:gridSpan w:val="2"/>
            <w:tcBorders>
              <w:bottom w:val="single" w:color="auto" w:sz="4" w:space="0"/>
            </w:tcBorders>
          </w:tcPr>
          <w:p>
            <w:pPr>
              <w:spacing w:before="241" w:line="232" w:lineRule="auto"/>
              <w:ind w:left="922"/>
              <w:rPr>
                <w:rFonts w:ascii="宋体" w:hAnsi="宋体" w:eastAsia="宋体" w:cs="宋体"/>
                <w:sz w:val="18"/>
                <w:szCs w:val="18"/>
              </w:rPr>
            </w:pPr>
            <w:r>
              <w:rPr>
                <w:rFonts w:ascii="宋体" w:hAnsi="宋体" w:eastAsia="宋体" w:cs="宋体"/>
                <w:spacing w:val="9"/>
                <w:sz w:val="18"/>
                <w:szCs w:val="18"/>
              </w:rPr>
              <w:t>二</w:t>
            </w:r>
            <w:r>
              <w:rPr>
                <w:rFonts w:ascii="宋体" w:hAnsi="宋体" w:eastAsia="宋体" w:cs="宋体"/>
                <w:spacing w:val="7"/>
                <w:sz w:val="18"/>
                <w:szCs w:val="18"/>
              </w:rPr>
              <w:t>级指标</w:t>
            </w:r>
          </w:p>
        </w:tc>
        <w:tc>
          <w:tcPr>
            <w:tcW w:w="2068" w:type="dxa"/>
            <w:gridSpan w:val="2"/>
          </w:tcPr>
          <w:p>
            <w:pPr>
              <w:spacing w:before="241" w:line="232" w:lineRule="auto"/>
              <w:ind w:left="762"/>
              <w:rPr>
                <w:rFonts w:ascii="宋体" w:hAnsi="宋体" w:eastAsia="宋体" w:cs="宋体"/>
                <w:sz w:val="18"/>
                <w:szCs w:val="18"/>
              </w:rPr>
            </w:pPr>
            <w:r>
              <w:rPr>
                <w:rFonts w:ascii="宋体" w:hAnsi="宋体" w:eastAsia="宋体" w:cs="宋体"/>
                <w:spacing w:val="8"/>
                <w:sz w:val="18"/>
                <w:szCs w:val="18"/>
              </w:rPr>
              <w:t>三级指标</w:t>
            </w:r>
          </w:p>
        </w:tc>
        <w:tc>
          <w:tcPr>
            <w:tcW w:w="2479" w:type="dxa"/>
            <w:gridSpan w:val="2"/>
          </w:tcPr>
          <w:p>
            <w:pPr>
              <w:spacing w:before="86" w:line="286" w:lineRule="auto"/>
              <w:ind w:left="979" w:right="73" w:hanging="897"/>
              <w:rPr>
                <w:rFonts w:ascii="宋体" w:hAnsi="宋体" w:eastAsia="宋体" w:cs="宋体"/>
                <w:sz w:val="18"/>
                <w:szCs w:val="18"/>
              </w:rPr>
            </w:pPr>
            <w:r>
              <w:rPr>
                <w:rFonts w:ascii="宋体" w:hAnsi="宋体" w:eastAsia="宋体" w:cs="宋体"/>
                <w:spacing w:val="14"/>
                <w:sz w:val="18"/>
                <w:szCs w:val="18"/>
              </w:rPr>
              <w:t>指</w:t>
            </w:r>
            <w:r>
              <w:rPr>
                <w:rFonts w:ascii="宋体" w:hAnsi="宋体" w:eastAsia="宋体" w:cs="宋体"/>
                <w:spacing w:val="8"/>
                <w:sz w:val="18"/>
                <w:szCs w:val="18"/>
              </w:rPr>
              <w:t>标值 (包含数字及文字描</w:t>
            </w:r>
            <w:r>
              <w:rPr>
                <w:rFonts w:ascii="宋体" w:hAnsi="宋体" w:eastAsia="宋体" w:cs="宋体"/>
                <w:sz w:val="18"/>
                <w:szCs w:val="18"/>
              </w:rPr>
              <w:t xml:space="preserve"> </w:t>
            </w:r>
            <w:r>
              <w:rPr>
                <w:rFonts w:ascii="宋体" w:hAnsi="宋体" w:eastAsia="宋体" w:cs="宋体"/>
                <w:spacing w:val="1"/>
                <w:sz w:val="18"/>
                <w:szCs w:val="18"/>
              </w:rPr>
              <w:t>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438" w:type="dxa"/>
            <w:vMerge w:val="continue"/>
          </w:tcPr>
          <w:p/>
        </w:tc>
        <w:tc>
          <w:tcPr>
            <w:tcW w:w="803"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rPr>
            </w:pPr>
          </w:p>
          <w:p>
            <w:pPr>
              <w:spacing w:line="264" w:lineRule="auto"/>
              <w:jc w:val="center"/>
              <w:rPr>
                <w:sz w:val="18"/>
                <w:szCs w:val="18"/>
              </w:rPr>
            </w:pPr>
          </w:p>
          <w:p>
            <w:pPr>
              <w:spacing w:line="264" w:lineRule="auto"/>
              <w:jc w:val="center"/>
              <w:rPr>
                <w:sz w:val="18"/>
                <w:szCs w:val="18"/>
              </w:rPr>
            </w:pPr>
          </w:p>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产出指标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2068" w:type="dxa"/>
            <w:gridSpan w:val="2"/>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做好日常工作开展，保障各项工作顺利开展。</w:t>
            </w:r>
          </w:p>
        </w:tc>
        <w:tc>
          <w:tcPr>
            <w:tcW w:w="2479" w:type="dxa"/>
            <w:gridSpan w:val="2"/>
            <w:vAlign w:val="center"/>
          </w:tcPr>
          <w:p>
            <w:pPr>
              <w:spacing w:before="212" w:line="231" w:lineRule="exact"/>
              <w:ind w:left="37"/>
              <w:jc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保障在职人员53人、离退休人员10人的正常办公需要，工资、五险一金正常发放缴纳，保障各项工作顺利开展。做好全区安全生产预防、整治隐患排查工作，预防重大生产事故发生,组织、指导、协调和监督全区安全生产行政执法工作，对安全生产事故进行调查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tcPr>
          <w:p/>
        </w:tc>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ascii="宋体" w:hAnsi="宋体" w:eastAsia="宋体" w:cs="宋体"/>
                <w:i w:val="0"/>
                <w:iCs w:val="0"/>
                <w:snapToGrid w:val="0"/>
                <w:color w:val="000000"/>
                <w:kern w:val="0"/>
                <w:sz w:val="18"/>
                <w:szCs w:val="18"/>
                <w:u w:val="none"/>
                <w:lang w:val="en-US" w:eastAsia="zh-CN" w:bidi="ar"/>
              </w:rPr>
              <w:t>产出指标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ascii="宋体" w:hAnsi="宋体" w:eastAsia="宋体" w:cs="宋体"/>
                <w:i w:val="0"/>
                <w:iCs w:val="0"/>
                <w:snapToGrid w:val="0"/>
                <w:color w:val="000000"/>
                <w:kern w:val="0"/>
                <w:sz w:val="18"/>
                <w:szCs w:val="18"/>
                <w:u w:val="none"/>
                <w:lang w:val="en-US" w:eastAsia="zh-CN" w:bidi="ar"/>
              </w:rPr>
              <w:t>成本指标</w:t>
            </w:r>
          </w:p>
        </w:tc>
        <w:tc>
          <w:tcPr>
            <w:tcW w:w="2068" w:type="dxa"/>
            <w:gridSpan w:val="2"/>
            <w:tcBorders>
              <w:left w:val="single" w:color="auto" w:sz="4" w:space="0"/>
            </w:tcBorders>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达到目标数量的单位成本</w:t>
            </w:r>
          </w:p>
        </w:tc>
        <w:tc>
          <w:tcPr>
            <w:tcW w:w="2479" w:type="dxa"/>
            <w:gridSpan w:val="2"/>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严格落实“过紧日子”要求，厉行节约，在完成全年目标任务的同时，将单位支出严格控制在预算内。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tcPr>
          <w:p/>
        </w:tc>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经济效益指标</w:t>
            </w:r>
          </w:p>
        </w:tc>
        <w:tc>
          <w:tcPr>
            <w:tcW w:w="2068" w:type="dxa"/>
            <w:gridSpan w:val="2"/>
            <w:tcBorders>
              <w:left w:val="single" w:color="auto" w:sz="4" w:space="0"/>
            </w:tcBorders>
            <w:vAlign w:val="center"/>
          </w:tcPr>
          <w:p>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“三公经费”控制率[计算方法为：（三公经费实际支出数/预算安排数]×100%）</w:t>
            </w:r>
          </w:p>
        </w:tc>
        <w:tc>
          <w:tcPr>
            <w:tcW w:w="2479" w:type="dxa"/>
            <w:gridSpan w:val="2"/>
            <w:vAlign w:val="center"/>
          </w:tcPr>
          <w:p>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将“三公”经费严格控制在全年公用经费预算支出的5%以内，“三公”经费不超预算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tcPr>
          <w:p/>
        </w:tc>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可持续性影响指标</w:t>
            </w:r>
          </w:p>
        </w:tc>
        <w:tc>
          <w:tcPr>
            <w:tcW w:w="2068" w:type="dxa"/>
            <w:gridSpan w:val="2"/>
            <w:tcBorders>
              <w:left w:val="single" w:color="auto" w:sz="4" w:space="0"/>
            </w:tcBorders>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促进机关高效运转</w:t>
            </w:r>
          </w:p>
        </w:tc>
        <w:tc>
          <w:tcPr>
            <w:tcW w:w="2479" w:type="dxa"/>
            <w:gridSpan w:val="2"/>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提高干部职工工作能力和水平，提高工作质量和工作效率。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tcPr>
          <w:p/>
        </w:tc>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社会满意度</w:t>
            </w:r>
          </w:p>
        </w:tc>
        <w:tc>
          <w:tcPr>
            <w:tcW w:w="2068" w:type="dxa"/>
            <w:gridSpan w:val="2"/>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提高服务群众满意度</w:t>
            </w:r>
          </w:p>
        </w:tc>
        <w:tc>
          <w:tcPr>
            <w:tcW w:w="2479" w:type="dxa"/>
            <w:gridSpan w:val="2"/>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服务群众满意度&gt;95%</w:t>
            </w:r>
          </w:p>
        </w:tc>
      </w:tr>
    </w:tbl>
    <w:p>
      <w:pPr>
        <w:spacing w:line="245" w:lineRule="auto"/>
      </w:pPr>
    </w:p>
    <w:p>
      <w:pPr>
        <w:spacing w:line="245" w:lineRule="auto"/>
      </w:pPr>
    </w:p>
    <w:p>
      <w:pPr>
        <w:spacing w:line="245" w:lineRule="auto"/>
      </w:pPr>
    </w:p>
    <w:p>
      <w:pPr>
        <w:spacing w:line="245" w:lineRule="auto"/>
        <w:sectPr>
          <w:footerReference r:id="rId15" w:type="default"/>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p>
    <w:p>
      <w:pPr>
        <w:pStyle w:val="9"/>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223" w:line="549" w:lineRule="exact"/>
        <w:ind w:firstLine="1056" w:firstLineChars="200"/>
        <w:outlineLvl w:val="0"/>
        <w:rPr>
          <w:rFonts w:ascii="微软雅黑" w:hAnsi="微软雅黑" w:eastAsia="微软雅黑" w:cs="微软雅黑"/>
          <w:sz w:val="52"/>
          <w:szCs w:val="52"/>
        </w:rPr>
      </w:pPr>
      <w:r>
        <w:rPr>
          <w:rFonts w:ascii="微软雅黑" w:hAnsi="微软雅黑" w:eastAsia="微软雅黑" w:cs="微软雅黑"/>
          <w:spacing w:val="4"/>
          <w:position w:val="-2"/>
          <w:sz w:val="52"/>
          <w:szCs w:val="52"/>
        </w:rPr>
        <w:t xml:space="preserve">第三部分   </w:t>
      </w:r>
      <w:r>
        <w:rPr>
          <w:rFonts w:hint="eastAsia" w:ascii="微软雅黑" w:hAnsi="微软雅黑" w:eastAsia="微软雅黑" w:cs="微软雅黑"/>
          <w:spacing w:val="4"/>
          <w:position w:val="-2"/>
          <w:sz w:val="52"/>
          <w:szCs w:val="52"/>
        </w:rPr>
        <w:t>巴州区应急管理局</w:t>
      </w:r>
    </w:p>
    <w:p>
      <w:pPr>
        <w:spacing w:before="2" w:line="211" w:lineRule="auto"/>
        <w:ind w:firstLine="1554" w:firstLineChars="300"/>
        <w:outlineLvl w:val="1"/>
        <w:rPr>
          <w:rFonts w:ascii="微软雅黑" w:hAnsi="微软雅黑" w:eastAsia="微软雅黑" w:cs="微软雅黑"/>
          <w:sz w:val="52"/>
          <w:szCs w:val="52"/>
        </w:rPr>
        <w:sectPr>
          <w:footerReference r:id="rId16" w:type="default"/>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r>
        <w:rPr>
          <w:rFonts w:ascii="Times New Roman" w:hAnsi="Times New Roman" w:eastAsia="Times New Roman" w:cs="Times New Roman"/>
          <w:spacing w:val="-1"/>
          <w:sz w:val="52"/>
          <w:szCs w:val="52"/>
        </w:rPr>
        <w:t>202</w:t>
      </w:r>
      <w:r>
        <w:rPr>
          <w:rFonts w:hint="eastAsia" w:ascii="Times New Roman" w:hAnsi="Times New Roman" w:eastAsia="宋体" w:cs="Times New Roman"/>
          <w:spacing w:val="-1"/>
          <w:sz w:val="52"/>
          <w:szCs w:val="52"/>
          <w:lang w:val="en-US" w:eastAsia="zh-CN"/>
        </w:rPr>
        <w:t>4</w:t>
      </w:r>
      <w:r>
        <w:rPr>
          <w:rFonts w:ascii="微软雅黑" w:hAnsi="微软雅黑" w:eastAsia="微软雅黑" w:cs="微软雅黑"/>
          <w:spacing w:val="-1"/>
          <w:sz w:val="52"/>
          <w:szCs w:val="52"/>
        </w:rPr>
        <w:t>年部门预算情</w:t>
      </w:r>
      <w:r>
        <w:rPr>
          <w:rFonts w:ascii="微软雅黑" w:hAnsi="微软雅黑" w:eastAsia="微软雅黑" w:cs="微软雅黑"/>
          <w:sz w:val="52"/>
          <w:szCs w:val="52"/>
        </w:rPr>
        <w:t>况说明</w:t>
      </w:r>
    </w:p>
    <w:p>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firstLineChars="0"/>
        <w:textAlignment w:val="baseline"/>
        <w:outlineLvl w:val="1"/>
        <w:rPr>
          <w:rFonts w:hint="eastAsia" w:ascii="方正黑体_GBK" w:hAnsi="方正黑体_GBK" w:eastAsia="方正黑体_GBK" w:cs="方正黑体_GBK"/>
          <w:spacing w:val="7"/>
          <w:position w:val="4"/>
          <w:sz w:val="31"/>
          <w:szCs w:val="31"/>
        </w:rPr>
      </w:pPr>
      <w:r>
        <w:rPr>
          <w:rFonts w:hint="eastAsia" w:ascii="方正黑体_GBK" w:hAnsi="方正黑体_GBK" w:eastAsia="方正黑体_GBK" w:cs="方正黑体_GBK"/>
          <w:spacing w:val="8"/>
          <w:position w:val="4"/>
          <w:sz w:val="31"/>
          <w:szCs w:val="31"/>
        </w:rPr>
        <w:t>收支预算情况说</w:t>
      </w:r>
      <w:r>
        <w:rPr>
          <w:rFonts w:hint="eastAsia" w:ascii="方正黑体_GBK" w:hAnsi="方正黑体_GBK" w:eastAsia="方正黑体_GBK" w:cs="方正黑体_GBK"/>
          <w:spacing w:val="7"/>
          <w:position w:val="4"/>
          <w:sz w:val="31"/>
          <w:szCs w:val="31"/>
        </w:rPr>
        <w:t>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1"/>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按照综合预算的原则，区应急管理局所有收入和支出均纳入部门预算管理。收入</w:t>
      </w:r>
      <w:r>
        <w:rPr>
          <w:rFonts w:hint="default" w:ascii="Times New Roman" w:hAnsi="Times New Roman" w:eastAsia="方正仿宋_GBK" w:cs="Times New Roman"/>
          <w:spacing w:val="5"/>
          <w:sz w:val="32"/>
          <w:szCs w:val="32"/>
          <w:lang w:eastAsia="zh-CN"/>
        </w:rPr>
        <w:t>主要是</w:t>
      </w:r>
      <w:r>
        <w:rPr>
          <w:rFonts w:hint="default" w:ascii="Times New Roman" w:hAnsi="Times New Roman" w:eastAsia="方正仿宋_GBK" w:cs="Times New Roman"/>
          <w:spacing w:val="5"/>
          <w:sz w:val="32"/>
          <w:szCs w:val="32"/>
        </w:rPr>
        <w:t>一般公共预算拨款收入</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支出包括：（一般公共服务支出、教育支出）、社会保障和就业支出、医疗卫生与计划生育支出、住房保障支出。区应急管理局202</w:t>
      </w:r>
      <w:r>
        <w:rPr>
          <w:rFonts w:hint="default"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年收支总预算</w:t>
      </w:r>
      <w:r>
        <w:rPr>
          <w:rFonts w:hint="default"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spacing w:val="5"/>
          <w:sz w:val="32"/>
          <w:szCs w:val="32"/>
        </w:rPr>
        <w:t>万元。</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eastAsia" w:ascii="方正楷体_GBK" w:hAnsi="方正楷体_GBK" w:eastAsia="方正楷体_GBK" w:cs="方正楷体_GBK"/>
          <w:snapToGrid w:val="0"/>
          <w:color w:val="000000"/>
          <w:spacing w:val="5"/>
          <w:sz w:val="32"/>
          <w:szCs w:val="32"/>
          <w:lang w:val="en-US" w:eastAsia="zh-CN" w:bidi="ar-SA"/>
        </w:rPr>
      </w:pPr>
      <w:r>
        <w:rPr>
          <w:rFonts w:hint="eastAsia" w:ascii="方正楷体_GBK" w:hAnsi="方正楷体_GBK" w:eastAsia="方正楷体_GBK" w:cs="方正楷体_GBK"/>
          <w:snapToGrid w:val="0"/>
          <w:color w:val="000000"/>
          <w:spacing w:val="5"/>
          <w:sz w:val="32"/>
          <w:szCs w:val="32"/>
          <w:lang w:val="en-US" w:eastAsia="zh-CN" w:bidi="ar-SA"/>
        </w:rPr>
        <w:t>（一）收入预算情况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区应急管理局202</w:t>
      </w:r>
      <w:r>
        <w:rPr>
          <w:rFonts w:hint="default"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年收入预算</w:t>
      </w:r>
      <w:r>
        <w:rPr>
          <w:rFonts w:hint="default"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spacing w:val="5"/>
          <w:sz w:val="32"/>
          <w:szCs w:val="32"/>
        </w:rPr>
        <w:t>万元，其中一般公共预算拨款收入</w:t>
      </w:r>
      <w:r>
        <w:rPr>
          <w:rFonts w:hint="default"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spacing w:val="5"/>
          <w:sz w:val="32"/>
          <w:szCs w:val="32"/>
        </w:rPr>
        <w:t>万元。</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default" w:ascii="方正楷体_GBK" w:hAnsi="方正楷体_GBK" w:eastAsia="方正楷体_GBK" w:cs="方正楷体_GBK"/>
          <w:snapToGrid w:val="0"/>
          <w:color w:val="000000"/>
          <w:spacing w:val="5"/>
          <w:sz w:val="32"/>
          <w:szCs w:val="32"/>
          <w:lang w:val="en-US" w:eastAsia="zh-CN" w:bidi="ar-SA"/>
        </w:rPr>
      </w:pPr>
      <w:r>
        <w:rPr>
          <w:rFonts w:hint="default" w:ascii="方正楷体_GBK" w:hAnsi="方正楷体_GBK" w:eastAsia="方正楷体_GBK" w:cs="方正楷体_GBK"/>
          <w:snapToGrid w:val="0"/>
          <w:color w:val="000000"/>
          <w:spacing w:val="5"/>
          <w:sz w:val="32"/>
          <w:szCs w:val="32"/>
          <w:lang w:val="en-US" w:eastAsia="zh-CN" w:bidi="ar-SA"/>
        </w:rPr>
        <w:t>（二）支出预算情况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2"/>
        <w:rPr>
          <w:rFonts w:hint="default" w:ascii="Times New Roman" w:hAnsi="Times New Roman" w:eastAsia="方正仿宋_GBK" w:cs="Times New Roman"/>
          <w:spacing w:val="16"/>
          <w:position w:val="2"/>
          <w:sz w:val="32"/>
          <w:szCs w:val="32"/>
        </w:rPr>
      </w:pPr>
      <w:r>
        <w:rPr>
          <w:rFonts w:hint="default" w:ascii="Times New Roman" w:hAnsi="Times New Roman" w:eastAsia="方正仿宋_GBK" w:cs="Times New Roman"/>
          <w:spacing w:val="5"/>
          <w:sz w:val="32"/>
          <w:szCs w:val="32"/>
        </w:rPr>
        <w:t>区应急管理局202</w:t>
      </w:r>
      <w:r>
        <w:rPr>
          <w:rFonts w:hint="default"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年支出预算</w:t>
      </w:r>
      <w:r>
        <w:rPr>
          <w:rFonts w:hint="default"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color w:val="000000" w:themeColor="text1"/>
          <w:spacing w:val="5"/>
          <w:sz w:val="32"/>
          <w:szCs w:val="32"/>
          <w14:textFill>
            <w14:solidFill>
              <w14:schemeClr w14:val="tx1"/>
            </w14:solidFill>
          </w14:textFill>
        </w:rPr>
        <w:t>万元</w:t>
      </w:r>
      <w:r>
        <w:rPr>
          <w:rFonts w:hint="default" w:ascii="Times New Roman" w:hAnsi="Times New Roman" w:eastAsia="方正仿宋_GBK" w:cs="Times New Roman"/>
          <w:spacing w:val="5"/>
          <w:sz w:val="32"/>
          <w:szCs w:val="32"/>
        </w:rPr>
        <w:t>，其中：基本支出</w:t>
      </w:r>
      <w:r>
        <w:rPr>
          <w:rFonts w:hint="default" w:ascii="Times New Roman" w:hAnsi="Times New Roman" w:eastAsia="方正仿宋_GBK" w:cs="Times New Roman"/>
          <w:color w:val="000000" w:themeColor="text1"/>
          <w:spacing w:val="5"/>
          <w:sz w:val="32"/>
          <w:szCs w:val="32"/>
          <w:lang w:eastAsia="zh-CN"/>
          <w14:textFill>
            <w14:solidFill>
              <w14:schemeClr w14:val="tx1"/>
            </w14:solidFill>
          </w14:textFill>
        </w:rPr>
        <w:t>870.66</w:t>
      </w:r>
      <w:r>
        <w:rPr>
          <w:rFonts w:hint="default" w:ascii="Times New Roman" w:hAnsi="Times New Roman" w:eastAsia="方正仿宋_GBK" w:cs="Times New Roman"/>
          <w:spacing w:val="5"/>
          <w:sz w:val="32"/>
          <w:szCs w:val="32"/>
        </w:rPr>
        <w:t>万元，占</w:t>
      </w:r>
      <w:r>
        <w:rPr>
          <w:rFonts w:hint="default" w:ascii="Times New Roman" w:hAnsi="Times New Roman" w:eastAsia="方正仿宋_GBK" w:cs="Times New Roman"/>
          <w:spacing w:val="5"/>
          <w:sz w:val="32"/>
          <w:szCs w:val="32"/>
          <w:lang w:val="en-US" w:eastAsia="zh-CN"/>
        </w:rPr>
        <w:t>97.75</w:t>
      </w:r>
      <w:r>
        <w:rPr>
          <w:rFonts w:hint="default" w:ascii="Times New Roman" w:hAnsi="Times New Roman" w:eastAsia="方正仿宋_GBK" w:cs="Times New Roman"/>
          <w:spacing w:val="5"/>
          <w:sz w:val="32"/>
          <w:szCs w:val="32"/>
        </w:rPr>
        <w:t>%；项目支出</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20</w:t>
      </w:r>
      <w:r>
        <w:rPr>
          <w:rFonts w:hint="default" w:ascii="Times New Roman" w:hAnsi="Times New Roman" w:eastAsia="方正仿宋_GBK" w:cs="Times New Roman"/>
          <w:spacing w:val="5"/>
          <w:sz w:val="32"/>
          <w:szCs w:val="32"/>
        </w:rPr>
        <w:t>万元，占</w:t>
      </w:r>
      <w:r>
        <w:rPr>
          <w:rFonts w:hint="default" w:ascii="Times New Roman" w:hAnsi="Times New Roman" w:eastAsia="方正仿宋_GBK" w:cs="Times New Roman"/>
          <w:spacing w:val="5"/>
          <w:sz w:val="32"/>
          <w:szCs w:val="32"/>
          <w:lang w:val="en-US" w:eastAsia="zh-CN"/>
        </w:rPr>
        <w:t>2.25</w:t>
      </w:r>
      <w:r>
        <w:rPr>
          <w:rFonts w:hint="default" w:ascii="Times New Roman" w:hAnsi="Times New Roman" w:eastAsia="方正仿宋_GBK" w:cs="Times New Roman"/>
          <w:spacing w:val="5"/>
          <w:sz w:val="32"/>
          <w:szCs w:val="32"/>
        </w:rPr>
        <w:t>%。</w:t>
      </w:r>
    </w:p>
    <w:p>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Chars="0"/>
        <w:textAlignment w:val="baseline"/>
        <w:outlineLvl w:val="1"/>
        <w:rPr>
          <w:rFonts w:hint="eastAsia" w:ascii="方正黑体_GBK" w:hAnsi="方正黑体_GBK" w:eastAsia="方正黑体_GBK" w:cs="方正黑体_GBK"/>
          <w:spacing w:val="8"/>
          <w:position w:val="4"/>
          <w:sz w:val="32"/>
          <w:szCs w:val="32"/>
        </w:rPr>
      </w:pPr>
      <w:r>
        <w:rPr>
          <w:rFonts w:hint="eastAsia" w:ascii="方正黑体_GBK" w:hAnsi="方正黑体_GBK" w:eastAsia="方正黑体_GBK" w:cs="方正黑体_GBK"/>
          <w:spacing w:val="8"/>
          <w:position w:val="4"/>
          <w:sz w:val="32"/>
          <w:szCs w:val="32"/>
        </w:rPr>
        <w:t>财政拨款收支预算情况说明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1"/>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区应急管理局202</w:t>
      </w:r>
      <w:r>
        <w:rPr>
          <w:rFonts w:hint="default"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年财政拨款收支总预算</w:t>
      </w:r>
      <w:r>
        <w:rPr>
          <w:rFonts w:hint="default"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spacing w:val="5"/>
          <w:sz w:val="32"/>
          <w:szCs w:val="32"/>
        </w:rPr>
        <w:t>万元。收入包括：本年一般公共预算拨款收入</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890.66</w:t>
      </w:r>
      <w:r>
        <w:rPr>
          <w:rFonts w:hint="default" w:ascii="Times New Roman" w:hAnsi="Times New Roman" w:eastAsia="方正仿宋_GBK" w:cs="Times New Roman"/>
          <w:spacing w:val="5"/>
          <w:sz w:val="32"/>
          <w:szCs w:val="32"/>
        </w:rPr>
        <w:t>万元；支出包括：灾害防治及应急管理支出</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719.22</w:t>
      </w:r>
      <w:r>
        <w:rPr>
          <w:rFonts w:hint="default" w:ascii="Times New Roman" w:hAnsi="Times New Roman" w:eastAsia="方正仿宋_GBK" w:cs="Times New Roman"/>
          <w:spacing w:val="5"/>
          <w:sz w:val="32"/>
          <w:szCs w:val="32"/>
        </w:rPr>
        <w:t>万元、社会保障和就业支出</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74.5</w:t>
      </w:r>
      <w:r>
        <w:rPr>
          <w:rFonts w:hint="default" w:ascii="Times New Roman" w:hAnsi="Times New Roman" w:eastAsia="方正仿宋_GBK" w:cs="Times New Roman"/>
          <w:spacing w:val="5"/>
          <w:sz w:val="32"/>
          <w:szCs w:val="32"/>
        </w:rPr>
        <w:t>万元、</w:t>
      </w:r>
      <w:r>
        <w:rPr>
          <w:rFonts w:hint="default" w:ascii="Times New Roman" w:hAnsi="Times New Roman" w:eastAsia="方正仿宋_GBK" w:cs="Times New Roman"/>
          <w:spacing w:val="5"/>
          <w:sz w:val="32"/>
          <w:szCs w:val="32"/>
          <w:lang w:eastAsia="zh-CN"/>
        </w:rPr>
        <w:t>卫生健康</w:t>
      </w:r>
      <w:r>
        <w:rPr>
          <w:rFonts w:hint="default" w:ascii="Times New Roman" w:hAnsi="Times New Roman" w:eastAsia="方正仿宋_GBK" w:cs="Times New Roman"/>
          <w:spacing w:val="5"/>
          <w:sz w:val="32"/>
          <w:szCs w:val="32"/>
        </w:rPr>
        <w:t>支出</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37.36</w:t>
      </w:r>
      <w:r>
        <w:rPr>
          <w:rFonts w:hint="default" w:ascii="Times New Roman" w:hAnsi="Times New Roman" w:eastAsia="方正仿宋_GBK" w:cs="Times New Roman"/>
          <w:spacing w:val="5"/>
          <w:sz w:val="32"/>
          <w:szCs w:val="32"/>
        </w:rPr>
        <w:t>万元、住房保障支出</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59.58</w:t>
      </w:r>
      <w:r>
        <w:rPr>
          <w:rFonts w:hint="default" w:ascii="Times New Roman" w:hAnsi="Times New Roman" w:eastAsia="方正仿宋_GBK" w:cs="Times New Roman"/>
          <w:spacing w:val="5"/>
          <w:sz w:val="32"/>
          <w:szCs w:val="32"/>
        </w:rPr>
        <w:t>万元。</w:t>
      </w:r>
    </w:p>
    <w:p>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Chars="0"/>
        <w:textAlignment w:val="baseline"/>
        <w:outlineLvl w:val="1"/>
        <w:rPr>
          <w:rFonts w:hint="default" w:ascii="方正黑体_GBK" w:hAnsi="方正黑体_GBK" w:eastAsia="方正黑体_GBK" w:cs="方正黑体_GBK"/>
          <w:spacing w:val="8"/>
          <w:position w:val="4"/>
          <w:sz w:val="32"/>
          <w:szCs w:val="32"/>
        </w:rPr>
      </w:pPr>
      <w:r>
        <w:rPr>
          <w:rFonts w:hint="default" w:ascii="方正黑体_GBK" w:hAnsi="方正黑体_GBK" w:eastAsia="方正黑体_GBK" w:cs="方正黑体_GBK"/>
          <w:spacing w:val="8"/>
          <w:position w:val="4"/>
          <w:sz w:val="32"/>
          <w:szCs w:val="32"/>
        </w:rPr>
        <w:t>一般公共预算当年拨款情况说明</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eastAsia" w:ascii="方正楷体_GBK" w:hAnsi="方正楷体_GBK" w:eastAsia="方正楷体_GBK" w:cs="方正楷体_GBK"/>
          <w:snapToGrid w:val="0"/>
          <w:color w:val="000000"/>
          <w:spacing w:val="5"/>
          <w:sz w:val="32"/>
          <w:szCs w:val="32"/>
          <w:lang w:val="en-US" w:eastAsia="zh-CN" w:bidi="ar-SA"/>
        </w:rPr>
      </w:pPr>
      <w:r>
        <w:rPr>
          <w:rFonts w:hint="eastAsia" w:ascii="方正楷体_GBK" w:hAnsi="方正楷体_GBK" w:eastAsia="方正楷体_GBK" w:cs="方正楷体_GBK"/>
          <w:snapToGrid w:val="0"/>
          <w:color w:val="000000"/>
          <w:spacing w:val="5"/>
          <w:sz w:val="32"/>
          <w:szCs w:val="32"/>
          <w:lang w:val="en-US" w:eastAsia="zh-CN" w:bidi="ar-SA"/>
        </w:rPr>
        <w:t>（一）一般公共预算当年拨款规模变化情况</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区应急管理局202</w:t>
      </w:r>
      <w:r>
        <w:rPr>
          <w:rFonts w:hint="default"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年一般公共预算当年拨款</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890.66</w:t>
      </w:r>
      <w:r>
        <w:rPr>
          <w:rFonts w:hint="default" w:ascii="Times New Roman" w:hAnsi="Times New Roman" w:eastAsia="方正仿宋_GBK" w:cs="Times New Roman"/>
          <w:color w:val="000000" w:themeColor="text1"/>
          <w:spacing w:val="5"/>
          <w:sz w:val="32"/>
          <w:szCs w:val="32"/>
          <w14:textFill>
            <w14:solidFill>
              <w14:schemeClr w14:val="tx1"/>
            </w14:solidFill>
          </w14:textFill>
        </w:rPr>
        <w:t>万</w:t>
      </w:r>
      <w:r>
        <w:rPr>
          <w:rFonts w:hint="default" w:ascii="Times New Roman" w:hAnsi="Times New Roman" w:eastAsia="方正仿宋_GBK" w:cs="Times New Roman"/>
          <w:spacing w:val="5"/>
          <w:sz w:val="32"/>
          <w:szCs w:val="32"/>
        </w:rPr>
        <w:t>元，比</w:t>
      </w:r>
      <w:r>
        <w:rPr>
          <w:rFonts w:hint="default"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w:t>
      </w:r>
      <w:r>
        <w:rPr>
          <w:rFonts w:hint="default" w:ascii="Times New Roman" w:hAnsi="Times New Roman" w:eastAsia="方正仿宋_GBK" w:cs="Times New Roman"/>
          <w:spacing w:val="5"/>
          <w:sz w:val="32"/>
          <w:szCs w:val="32"/>
          <w:lang w:eastAsia="zh-CN"/>
        </w:rPr>
        <w:t>减少</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19.84</w:t>
      </w:r>
      <w:r>
        <w:rPr>
          <w:rFonts w:hint="default" w:ascii="Times New Roman" w:hAnsi="Times New Roman" w:eastAsia="方正仿宋_GBK" w:cs="Times New Roman"/>
          <w:spacing w:val="5"/>
          <w:sz w:val="32"/>
          <w:szCs w:val="32"/>
        </w:rPr>
        <w:t>万元</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主要是</w:t>
      </w:r>
      <w:r>
        <w:rPr>
          <w:rFonts w:hint="default" w:ascii="Times New Roman" w:hAnsi="Times New Roman" w:eastAsia="方正仿宋_GBK" w:cs="Times New Roman"/>
          <w:spacing w:val="5"/>
          <w:sz w:val="32"/>
          <w:szCs w:val="32"/>
          <w:lang w:val="en-US" w:eastAsia="zh-CN"/>
        </w:rPr>
        <w:t>人员减少，项目资金减少</w:t>
      </w:r>
      <w:r>
        <w:rPr>
          <w:rFonts w:hint="default" w:ascii="Times New Roman" w:hAnsi="Times New Roman" w:eastAsia="方正仿宋_GBK" w:cs="Times New Roman"/>
          <w:spacing w:val="5"/>
          <w:sz w:val="32"/>
          <w:szCs w:val="32"/>
        </w:rPr>
        <w:t>。</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eastAsia" w:ascii="方正楷体_GBK" w:hAnsi="方正楷体_GBK" w:eastAsia="方正楷体_GBK" w:cs="方正楷体_GBK"/>
          <w:snapToGrid w:val="0"/>
          <w:color w:val="000000"/>
          <w:spacing w:val="5"/>
          <w:sz w:val="32"/>
          <w:szCs w:val="32"/>
          <w:lang w:val="en-US" w:eastAsia="zh-CN" w:bidi="ar-SA"/>
        </w:rPr>
      </w:pPr>
      <w:r>
        <w:rPr>
          <w:rFonts w:hint="eastAsia" w:ascii="方正楷体_GBK" w:hAnsi="方正楷体_GBK" w:eastAsia="方正楷体_GBK" w:cs="方正楷体_GBK"/>
          <w:snapToGrid w:val="0"/>
          <w:color w:val="000000"/>
          <w:spacing w:val="5"/>
          <w:sz w:val="32"/>
          <w:szCs w:val="32"/>
          <w:lang w:val="en-US" w:eastAsia="zh-CN" w:bidi="ar-SA"/>
        </w:rPr>
        <w:t>（二）一般公共预算当年拨款结构情况</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eastAsia"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区应急管理局</w:t>
      </w:r>
      <w:r>
        <w:rPr>
          <w:rFonts w:hint="eastAsia" w:ascii="Times New Roman" w:hAnsi="Times New Roman" w:eastAsia="方正仿宋_GBK" w:cs="Times New Roman"/>
          <w:spacing w:val="5"/>
          <w:sz w:val="32"/>
          <w:szCs w:val="32"/>
          <w:lang w:val="en-US" w:eastAsia="zh-CN"/>
        </w:rPr>
        <w:t>2024年</w:t>
      </w:r>
      <w:r>
        <w:rPr>
          <w:rFonts w:hint="default" w:ascii="Times New Roman" w:hAnsi="Times New Roman" w:eastAsia="方正仿宋_GBK" w:cs="Times New Roman"/>
          <w:spacing w:val="5"/>
          <w:sz w:val="32"/>
          <w:szCs w:val="32"/>
        </w:rPr>
        <w:t>支出</w:t>
      </w:r>
      <w:r>
        <w:rPr>
          <w:rFonts w:hint="eastAsia"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spacing w:val="5"/>
          <w:sz w:val="32"/>
          <w:szCs w:val="32"/>
        </w:rPr>
        <w:t>万元，其中：基本支出</w:t>
      </w:r>
      <w:r>
        <w:rPr>
          <w:rFonts w:hint="eastAsia" w:ascii="Times New Roman" w:hAnsi="Times New Roman" w:eastAsia="方正仿宋_GBK" w:cs="Times New Roman"/>
          <w:spacing w:val="5"/>
          <w:sz w:val="32"/>
          <w:szCs w:val="32"/>
          <w:lang w:val="en-US" w:eastAsia="zh-CN"/>
        </w:rPr>
        <w:t>870.66</w:t>
      </w:r>
      <w:r>
        <w:rPr>
          <w:rFonts w:hint="default" w:ascii="Times New Roman" w:hAnsi="Times New Roman" w:eastAsia="方正仿宋_GBK" w:cs="Times New Roman"/>
          <w:spacing w:val="5"/>
          <w:sz w:val="32"/>
          <w:szCs w:val="32"/>
        </w:rPr>
        <w:t>万元，占</w:t>
      </w:r>
      <w:r>
        <w:rPr>
          <w:rFonts w:hint="eastAsia" w:ascii="Times New Roman" w:hAnsi="Times New Roman" w:eastAsia="方正仿宋_GBK" w:cs="Times New Roman"/>
          <w:spacing w:val="5"/>
          <w:sz w:val="32"/>
          <w:szCs w:val="32"/>
          <w:lang w:val="en-US" w:eastAsia="zh-CN"/>
        </w:rPr>
        <w:t>97.75</w:t>
      </w:r>
      <w:r>
        <w:rPr>
          <w:rFonts w:hint="default" w:ascii="Times New Roman" w:hAnsi="Times New Roman" w:eastAsia="方正仿宋_GBK" w:cs="Times New Roman"/>
          <w:spacing w:val="5"/>
          <w:sz w:val="32"/>
          <w:szCs w:val="32"/>
        </w:rPr>
        <w:t>%；项目支出</w:t>
      </w:r>
      <w:r>
        <w:rPr>
          <w:rFonts w:hint="eastAsia" w:ascii="Times New Roman" w:hAnsi="Times New Roman" w:eastAsia="方正仿宋_GBK" w:cs="Times New Roman"/>
          <w:spacing w:val="5"/>
          <w:sz w:val="32"/>
          <w:szCs w:val="32"/>
          <w:lang w:val="en-US" w:eastAsia="zh-CN"/>
        </w:rPr>
        <w:t>20</w:t>
      </w:r>
      <w:r>
        <w:rPr>
          <w:rFonts w:hint="default" w:ascii="Times New Roman" w:hAnsi="Times New Roman" w:eastAsia="方正仿宋_GBK" w:cs="Times New Roman"/>
          <w:spacing w:val="5"/>
          <w:sz w:val="32"/>
          <w:szCs w:val="32"/>
        </w:rPr>
        <w:t>万元，占</w:t>
      </w:r>
      <w:r>
        <w:rPr>
          <w:rFonts w:hint="eastAsia" w:ascii="Times New Roman" w:hAnsi="Times New Roman" w:eastAsia="方正仿宋_GBK" w:cs="Times New Roman"/>
          <w:spacing w:val="5"/>
          <w:sz w:val="32"/>
          <w:szCs w:val="32"/>
          <w:lang w:val="en-US" w:eastAsia="zh-CN"/>
        </w:rPr>
        <w:t>2.25</w:t>
      </w:r>
      <w:r>
        <w:rPr>
          <w:rFonts w:hint="default" w:ascii="Times New Roman" w:hAnsi="Times New Roman" w:eastAsia="方正仿宋_GBK" w:cs="Times New Roman"/>
          <w:spacing w:val="5"/>
          <w:sz w:val="32"/>
          <w:szCs w:val="32"/>
        </w:rPr>
        <w:t>%。</w:t>
      </w:r>
    </w:p>
    <w:p>
      <w:pPr>
        <w:pStyle w:val="15"/>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eastAsia" w:ascii="方正楷体_GBK" w:hAnsi="方正楷体_GBK" w:eastAsia="方正楷体_GBK" w:cs="方正楷体_GBK"/>
          <w:snapToGrid w:val="0"/>
          <w:color w:val="000000"/>
          <w:spacing w:val="5"/>
          <w:sz w:val="32"/>
          <w:szCs w:val="32"/>
          <w:lang w:val="en-US" w:eastAsia="zh-CN" w:bidi="ar-SA"/>
        </w:rPr>
      </w:pPr>
      <w:r>
        <w:rPr>
          <w:rFonts w:hint="eastAsia" w:ascii="方正楷体_GBK" w:hAnsi="方正楷体_GBK" w:eastAsia="方正楷体_GBK" w:cs="方正楷体_GBK"/>
          <w:snapToGrid w:val="0"/>
          <w:color w:val="000000"/>
          <w:spacing w:val="5"/>
          <w:sz w:val="32"/>
          <w:szCs w:val="32"/>
          <w:lang w:val="en-US" w:eastAsia="zh-CN" w:bidi="ar-SA"/>
        </w:rPr>
        <w:t>一般公共预算当年拨款具体使用情况</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b/>
          <w:bCs/>
          <w:spacing w:val="5"/>
          <w:sz w:val="32"/>
          <w:szCs w:val="32"/>
        </w:rPr>
        <w:t>1.</w:t>
      </w:r>
      <w:r>
        <w:rPr>
          <w:rFonts w:hint="eastAsia" w:ascii="Times New Roman" w:hAnsi="Times New Roman" w:eastAsia="方正仿宋_GBK" w:cs="Times New Roman"/>
          <w:b/>
          <w:bCs/>
          <w:spacing w:val="5"/>
          <w:sz w:val="32"/>
          <w:szCs w:val="32"/>
          <w:lang w:val="en-US" w:eastAsia="zh-CN"/>
        </w:rPr>
        <w:t>灾害防治及应急管理支出</w:t>
      </w:r>
      <w:r>
        <w:rPr>
          <w:rFonts w:hint="default" w:ascii="Times New Roman" w:hAnsi="Times New Roman" w:eastAsia="方正仿宋_GBK" w:cs="Times New Roman"/>
          <w:b/>
          <w:bCs/>
          <w:spacing w:val="5"/>
          <w:sz w:val="32"/>
          <w:szCs w:val="32"/>
        </w:rPr>
        <w:t>（类）</w:t>
      </w:r>
      <w:r>
        <w:rPr>
          <w:rFonts w:hint="eastAsia" w:ascii="Times New Roman" w:hAnsi="Times New Roman" w:eastAsia="方正仿宋_GBK" w:cs="Times New Roman"/>
          <w:b/>
          <w:bCs/>
          <w:spacing w:val="5"/>
          <w:sz w:val="32"/>
          <w:szCs w:val="32"/>
          <w:lang w:val="en-US" w:eastAsia="zh-CN"/>
        </w:rPr>
        <w:t>应急管理事务</w:t>
      </w:r>
      <w:r>
        <w:rPr>
          <w:rFonts w:hint="default" w:ascii="Times New Roman" w:hAnsi="Times New Roman" w:eastAsia="方正仿宋_GBK" w:cs="Times New Roman"/>
          <w:b/>
          <w:bCs/>
          <w:spacing w:val="5"/>
          <w:sz w:val="32"/>
          <w:szCs w:val="32"/>
        </w:rPr>
        <w:t>（款）行政运行（项）</w:t>
      </w:r>
      <w:r>
        <w:rPr>
          <w:rFonts w:hint="eastAsia" w:ascii="Times New Roman" w:hAnsi="Times New Roman" w:eastAsia="方正仿宋_GBK" w:cs="Times New Roman"/>
          <w:b/>
          <w:bCs/>
          <w:spacing w:val="5"/>
          <w:sz w:val="32"/>
          <w:szCs w:val="32"/>
          <w:lang w:eastAsia="zh-CN"/>
        </w:rPr>
        <w:t>：</w:t>
      </w:r>
      <w:r>
        <w:rPr>
          <w:rFonts w:hint="default" w:ascii="Times New Roman" w:hAnsi="Times New Roman" w:eastAsia="方正仿宋_GBK" w:cs="Times New Roman"/>
          <w:spacing w:val="5"/>
          <w:sz w:val="32"/>
          <w:szCs w:val="32"/>
        </w:rPr>
        <w:t>202</w:t>
      </w:r>
      <w:r>
        <w:rPr>
          <w:rFonts w:hint="eastAsia"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年预算数为</w:t>
      </w:r>
      <w:r>
        <w:rPr>
          <w:rFonts w:hint="eastAsia" w:ascii="Times New Roman" w:hAnsi="Times New Roman" w:eastAsia="方正仿宋_GBK" w:cs="Times New Roman"/>
          <w:spacing w:val="5"/>
          <w:sz w:val="32"/>
          <w:szCs w:val="32"/>
          <w:lang w:val="en-US" w:eastAsia="zh-CN"/>
        </w:rPr>
        <w:t>699.22</w:t>
      </w:r>
      <w:r>
        <w:rPr>
          <w:rFonts w:hint="default" w:ascii="Times New Roman" w:hAnsi="Times New Roman" w:eastAsia="方正仿宋_GBK" w:cs="Times New Roman"/>
          <w:spacing w:val="5"/>
          <w:sz w:val="32"/>
          <w:szCs w:val="32"/>
        </w:rPr>
        <w:t>万元，主要用于：机关及所属单位正常运转的基本支出，包括基本工资、津贴补贴等人员经费以及办公费、印刷费、水电费等日常公用经费。</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rPr>
        <w:t>2.</w:t>
      </w:r>
      <w:r>
        <w:rPr>
          <w:rFonts w:hint="eastAsia" w:ascii="Times New Roman" w:hAnsi="Times New Roman" w:eastAsia="方正仿宋_GBK" w:cs="Times New Roman"/>
          <w:b/>
          <w:bCs/>
          <w:spacing w:val="5"/>
          <w:sz w:val="32"/>
          <w:szCs w:val="32"/>
          <w:lang w:val="en-US" w:eastAsia="zh-CN"/>
        </w:rPr>
        <w:t>灾害防治及应急管理支出</w:t>
      </w:r>
      <w:r>
        <w:rPr>
          <w:rFonts w:hint="default" w:ascii="Times New Roman" w:hAnsi="Times New Roman" w:eastAsia="方正仿宋_GBK" w:cs="Times New Roman"/>
          <w:b/>
          <w:bCs/>
          <w:spacing w:val="5"/>
          <w:sz w:val="32"/>
          <w:szCs w:val="32"/>
        </w:rPr>
        <w:t>（类）</w:t>
      </w:r>
      <w:r>
        <w:rPr>
          <w:rFonts w:hint="eastAsia" w:ascii="Times New Roman" w:hAnsi="Times New Roman" w:eastAsia="方正仿宋_GBK" w:cs="Times New Roman"/>
          <w:b/>
          <w:bCs/>
          <w:spacing w:val="5"/>
          <w:sz w:val="32"/>
          <w:szCs w:val="32"/>
          <w:lang w:val="en-US" w:eastAsia="zh-CN"/>
        </w:rPr>
        <w:t>应急管理事务（</w:t>
      </w:r>
      <w:r>
        <w:rPr>
          <w:rFonts w:hint="default" w:ascii="Times New Roman" w:hAnsi="Times New Roman" w:eastAsia="方正仿宋_GBK" w:cs="Times New Roman"/>
          <w:b/>
          <w:bCs/>
          <w:spacing w:val="5"/>
          <w:sz w:val="32"/>
          <w:szCs w:val="32"/>
        </w:rPr>
        <w:t>款）一般行政管理事务（项）</w:t>
      </w:r>
      <w:r>
        <w:rPr>
          <w:rFonts w:hint="eastAsia" w:ascii="Times New Roman" w:hAnsi="Times New Roman" w:eastAsia="方正仿宋_GBK" w:cs="Times New Roman"/>
          <w:b/>
          <w:bCs/>
          <w:spacing w:val="5"/>
          <w:sz w:val="32"/>
          <w:szCs w:val="32"/>
          <w:lang w:eastAsia="zh-CN"/>
        </w:rPr>
        <w:t>：</w:t>
      </w:r>
      <w:r>
        <w:rPr>
          <w:rFonts w:hint="default" w:ascii="Times New Roman" w:hAnsi="Times New Roman" w:eastAsia="方正仿宋_GBK" w:cs="Times New Roman"/>
          <w:spacing w:val="5"/>
          <w:sz w:val="32"/>
          <w:szCs w:val="32"/>
        </w:rPr>
        <w:t>202</w:t>
      </w:r>
      <w:r>
        <w:rPr>
          <w:rFonts w:hint="eastAsia"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年预算数为</w:t>
      </w:r>
      <w:r>
        <w:rPr>
          <w:rFonts w:hint="eastAsia" w:ascii="Times New Roman" w:hAnsi="Times New Roman" w:eastAsia="方正仿宋_GBK" w:cs="Times New Roman"/>
          <w:spacing w:val="5"/>
          <w:sz w:val="32"/>
          <w:szCs w:val="32"/>
          <w:lang w:val="en-US" w:eastAsia="zh-CN"/>
        </w:rPr>
        <w:t>20</w:t>
      </w:r>
      <w:r>
        <w:rPr>
          <w:rFonts w:hint="default" w:ascii="Times New Roman" w:hAnsi="Times New Roman" w:eastAsia="方正仿宋_GBK" w:cs="Times New Roman"/>
          <w:spacing w:val="5"/>
          <w:sz w:val="32"/>
          <w:szCs w:val="32"/>
        </w:rPr>
        <w:t>万元，主要用于：机关及所属单位开展日常运转，完成日常工作任务等未单独设置项级科目的专门性工作的项目支出。如：安全生产事故调查经费、安全生产审查备案及打非治危经费等。</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rPr>
        <w:t>3.</w:t>
      </w:r>
      <w:r>
        <w:rPr>
          <w:rFonts w:hint="default" w:ascii="Times New Roman" w:hAnsi="Times New Roman" w:eastAsia="方正仿宋_GBK" w:cs="Times New Roman"/>
          <w:b/>
          <w:bCs/>
          <w:spacing w:val="5"/>
          <w:sz w:val="32"/>
          <w:szCs w:val="32"/>
        </w:rPr>
        <w:t>社会保障和就业（类）行政事业单位离退休（款）机关事业单位基本养老保险缴费支出（项）</w:t>
      </w:r>
      <w:r>
        <w:rPr>
          <w:rFonts w:hint="eastAsia" w:ascii="Times New Roman" w:hAnsi="Times New Roman" w:eastAsia="方正仿宋_GBK" w:cs="Times New Roman"/>
          <w:b/>
          <w:bCs/>
          <w:spacing w:val="5"/>
          <w:sz w:val="32"/>
          <w:szCs w:val="32"/>
          <w:lang w:eastAsia="zh-CN"/>
        </w:rPr>
        <w:t>：</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72.52</w:t>
      </w:r>
      <w:r>
        <w:rPr>
          <w:rFonts w:hint="default" w:ascii="Times New Roman" w:hAnsi="Times New Roman" w:eastAsia="方正仿宋_GBK" w:cs="Times New Roman"/>
          <w:spacing w:val="5"/>
          <w:sz w:val="32"/>
          <w:szCs w:val="32"/>
        </w:rPr>
        <w:t>万元，主要用于：实施养老保险制度后，部门按规定由单位缴纳的基本养老保险费支出。</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lang w:val="en-US" w:eastAsia="zh-CN"/>
        </w:rPr>
      </w:pPr>
      <w:r>
        <w:rPr>
          <w:rFonts w:hint="eastAsia" w:ascii="Times New Roman" w:hAnsi="Times New Roman" w:eastAsia="方正仿宋_GBK" w:cs="Times New Roman"/>
          <w:b/>
          <w:bCs/>
          <w:spacing w:val="5"/>
          <w:sz w:val="32"/>
          <w:szCs w:val="32"/>
          <w:lang w:val="en-US" w:eastAsia="zh-CN"/>
        </w:rPr>
        <w:t>4.社会保障和就业（类）行政事业单位养老支出（款） 机关事业单位职业年金缴费支出：</w:t>
      </w:r>
      <w:r>
        <w:rPr>
          <w:rFonts w:hint="eastAsia" w:ascii="Times New Roman" w:hAnsi="Times New Roman" w:eastAsia="方正仿宋_GBK" w:cs="Times New Roman"/>
          <w:spacing w:val="5"/>
          <w:sz w:val="32"/>
          <w:szCs w:val="32"/>
          <w:lang w:val="en-US" w:eastAsia="zh-CN"/>
        </w:rPr>
        <w:t xml:space="preserve"> </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1.98</w:t>
      </w:r>
      <w:r>
        <w:rPr>
          <w:rFonts w:hint="default" w:ascii="Times New Roman" w:hAnsi="Times New Roman" w:eastAsia="方正仿宋_GBK" w:cs="Times New Roman"/>
          <w:spacing w:val="5"/>
          <w:sz w:val="32"/>
          <w:szCs w:val="32"/>
        </w:rPr>
        <w:t>万元，主要用于：</w:t>
      </w:r>
      <w:r>
        <w:rPr>
          <w:rFonts w:hint="eastAsia" w:ascii="Times New Roman" w:hAnsi="Times New Roman" w:eastAsia="方正仿宋_GBK" w:cs="Times New Roman"/>
          <w:spacing w:val="5"/>
          <w:sz w:val="32"/>
          <w:szCs w:val="32"/>
          <w:lang w:val="en-US" w:eastAsia="zh-CN"/>
        </w:rPr>
        <w:t>调出人员的职业年金做实。</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lang w:val="en-US" w:eastAsia="zh-CN"/>
        </w:rPr>
        <w:t>5</w:t>
      </w:r>
      <w:r>
        <w:rPr>
          <w:rFonts w:hint="eastAsia" w:ascii="Times New Roman" w:hAnsi="Times New Roman" w:eastAsia="方正仿宋_GBK" w:cs="Times New Roman"/>
          <w:b/>
          <w:bCs/>
          <w:spacing w:val="5"/>
          <w:sz w:val="32"/>
          <w:szCs w:val="32"/>
        </w:rPr>
        <w:t>.</w:t>
      </w:r>
      <w:r>
        <w:rPr>
          <w:rFonts w:hint="default" w:ascii="Times New Roman" w:hAnsi="Times New Roman" w:eastAsia="方正仿宋_GBK" w:cs="Times New Roman"/>
          <w:b/>
          <w:bCs/>
          <w:spacing w:val="5"/>
          <w:sz w:val="32"/>
          <w:szCs w:val="32"/>
        </w:rPr>
        <w:t>医疗卫生与计划生育（类）行政事业单位医疗（款）行政单位医疗（项）</w:t>
      </w:r>
      <w:r>
        <w:rPr>
          <w:rFonts w:hint="eastAsia" w:ascii="Times New Roman" w:hAnsi="Times New Roman" w:eastAsia="方正仿宋_GBK" w:cs="Times New Roman"/>
          <w:b/>
          <w:bCs/>
          <w:spacing w:val="5"/>
          <w:sz w:val="32"/>
          <w:szCs w:val="32"/>
          <w:lang w:val="en-US" w:eastAsia="zh-CN"/>
        </w:rPr>
        <w:t>：</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25.41</w:t>
      </w:r>
      <w:r>
        <w:rPr>
          <w:rFonts w:hint="default" w:ascii="Times New Roman" w:hAnsi="Times New Roman" w:eastAsia="方正仿宋_GBK" w:cs="Times New Roman"/>
          <w:spacing w:val="5"/>
          <w:sz w:val="32"/>
          <w:szCs w:val="32"/>
        </w:rPr>
        <w:t>万元，主要用于：机关及参公管理事业单位基本医疗保险缴费支出。</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lang w:val="en-US" w:eastAsia="zh-CN"/>
        </w:rPr>
        <w:t>6</w:t>
      </w:r>
      <w:r>
        <w:rPr>
          <w:rFonts w:hint="eastAsia" w:ascii="Times New Roman" w:hAnsi="Times New Roman" w:eastAsia="方正仿宋_GBK" w:cs="Times New Roman"/>
          <w:b/>
          <w:bCs/>
          <w:spacing w:val="5"/>
          <w:sz w:val="32"/>
          <w:szCs w:val="32"/>
        </w:rPr>
        <w:t>.</w:t>
      </w:r>
      <w:r>
        <w:rPr>
          <w:rFonts w:hint="default" w:ascii="Times New Roman" w:hAnsi="Times New Roman" w:eastAsia="方正仿宋_GBK" w:cs="Times New Roman"/>
          <w:b/>
          <w:bCs/>
          <w:spacing w:val="5"/>
          <w:sz w:val="32"/>
          <w:szCs w:val="32"/>
        </w:rPr>
        <w:t>医疗卫生与计划生育（类）行政事业单位医疗（款）</w:t>
      </w:r>
      <w:r>
        <w:rPr>
          <w:rFonts w:hint="eastAsia" w:ascii="Times New Roman" w:hAnsi="Times New Roman" w:eastAsia="方正仿宋_GBK" w:cs="Times New Roman"/>
          <w:b/>
          <w:bCs/>
          <w:spacing w:val="5"/>
          <w:sz w:val="32"/>
          <w:szCs w:val="32"/>
          <w:lang w:val="en-US" w:eastAsia="zh-CN"/>
        </w:rPr>
        <w:t>事业</w:t>
      </w:r>
      <w:r>
        <w:rPr>
          <w:rFonts w:hint="default" w:ascii="Times New Roman" w:hAnsi="Times New Roman" w:eastAsia="方正仿宋_GBK" w:cs="Times New Roman"/>
          <w:b/>
          <w:bCs/>
          <w:spacing w:val="5"/>
          <w:sz w:val="32"/>
          <w:szCs w:val="32"/>
        </w:rPr>
        <w:t>单位医疗（项）</w:t>
      </w:r>
      <w:r>
        <w:rPr>
          <w:rFonts w:hint="eastAsia" w:ascii="Times New Roman" w:hAnsi="Times New Roman" w:eastAsia="方正仿宋_GBK" w:cs="Times New Roman"/>
          <w:b/>
          <w:bCs/>
          <w:spacing w:val="5"/>
          <w:sz w:val="32"/>
          <w:szCs w:val="32"/>
          <w:lang w:val="en-US" w:eastAsia="zh-CN"/>
        </w:rPr>
        <w:t>：</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5.94</w:t>
      </w:r>
      <w:r>
        <w:rPr>
          <w:rFonts w:hint="default" w:ascii="Times New Roman" w:hAnsi="Times New Roman" w:eastAsia="方正仿宋_GBK" w:cs="Times New Roman"/>
          <w:spacing w:val="5"/>
          <w:sz w:val="32"/>
          <w:szCs w:val="32"/>
        </w:rPr>
        <w:t>万元，主要用于：事业</w:t>
      </w:r>
      <w:r>
        <w:rPr>
          <w:rFonts w:hint="eastAsia" w:ascii="Times New Roman" w:hAnsi="Times New Roman" w:eastAsia="方正仿宋_GBK" w:cs="Times New Roman"/>
          <w:spacing w:val="5"/>
          <w:sz w:val="32"/>
          <w:szCs w:val="32"/>
          <w:lang w:val="en-US" w:eastAsia="zh-CN"/>
        </w:rPr>
        <w:t>人员</w:t>
      </w:r>
      <w:r>
        <w:rPr>
          <w:rFonts w:hint="default" w:ascii="Times New Roman" w:hAnsi="Times New Roman" w:eastAsia="方正仿宋_GBK" w:cs="Times New Roman"/>
          <w:spacing w:val="5"/>
          <w:sz w:val="32"/>
          <w:szCs w:val="32"/>
        </w:rPr>
        <w:t>基本医疗保险缴费支出。</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lang w:val="en-US" w:eastAsia="zh-CN"/>
        </w:rPr>
        <w:t>7</w:t>
      </w:r>
      <w:r>
        <w:rPr>
          <w:rFonts w:hint="eastAsia" w:ascii="Times New Roman" w:hAnsi="Times New Roman" w:eastAsia="方正仿宋_GBK" w:cs="Times New Roman"/>
          <w:b/>
          <w:bCs/>
          <w:spacing w:val="5"/>
          <w:sz w:val="32"/>
          <w:szCs w:val="32"/>
        </w:rPr>
        <w:t>.</w:t>
      </w:r>
      <w:r>
        <w:rPr>
          <w:rFonts w:hint="default" w:ascii="Times New Roman" w:hAnsi="Times New Roman" w:eastAsia="方正仿宋_GBK" w:cs="Times New Roman"/>
          <w:b/>
          <w:bCs/>
          <w:spacing w:val="5"/>
          <w:sz w:val="32"/>
          <w:szCs w:val="32"/>
        </w:rPr>
        <w:t>医疗卫生与计划生育（类）行政事业单位医疗（款）</w:t>
      </w:r>
      <w:r>
        <w:rPr>
          <w:rFonts w:hint="eastAsia" w:ascii="Times New Roman" w:hAnsi="Times New Roman" w:eastAsia="方正仿宋_GBK" w:cs="Times New Roman"/>
          <w:b/>
          <w:bCs/>
          <w:spacing w:val="5"/>
          <w:sz w:val="32"/>
          <w:szCs w:val="32"/>
          <w:lang w:val="en-US" w:eastAsia="zh-CN"/>
        </w:rPr>
        <w:t>公务员</w:t>
      </w:r>
      <w:r>
        <w:rPr>
          <w:rFonts w:hint="default" w:ascii="Times New Roman" w:hAnsi="Times New Roman" w:eastAsia="方正仿宋_GBK" w:cs="Times New Roman"/>
          <w:b/>
          <w:bCs/>
          <w:spacing w:val="5"/>
          <w:sz w:val="32"/>
          <w:szCs w:val="32"/>
        </w:rPr>
        <w:t>医疗</w:t>
      </w:r>
      <w:r>
        <w:rPr>
          <w:rFonts w:hint="eastAsia" w:ascii="Times New Roman" w:hAnsi="Times New Roman" w:eastAsia="方正仿宋_GBK" w:cs="Times New Roman"/>
          <w:b/>
          <w:bCs/>
          <w:spacing w:val="5"/>
          <w:sz w:val="32"/>
          <w:szCs w:val="32"/>
          <w:lang w:val="en-US" w:eastAsia="zh-CN"/>
        </w:rPr>
        <w:t>补助</w:t>
      </w:r>
      <w:r>
        <w:rPr>
          <w:rFonts w:hint="default" w:ascii="Times New Roman" w:hAnsi="Times New Roman" w:eastAsia="方正仿宋_GBK" w:cs="Times New Roman"/>
          <w:b/>
          <w:bCs/>
          <w:spacing w:val="5"/>
          <w:sz w:val="32"/>
          <w:szCs w:val="32"/>
        </w:rPr>
        <w:t>（项）</w:t>
      </w:r>
      <w:r>
        <w:rPr>
          <w:rFonts w:hint="eastAsia" w:ascii="Times New Roman" w:hAnsi="Times New Roman" w:eastAsia="方正仿宋_GBK" w:cs="Times New Roman"/>
          <w:b/>
          <w:bCs/>
          <w:spacing w:val="5"/>
          <w:sz w:val="32"/>
          <w:szCs w:val="32"/>
          <w:lang w:val="en-US" w:eastAsia="zh-CN"/>
        </w:rPr>
        <w:t>：</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6.01</w:t>
      </w:r>
      <w:r>
        <w:rPr>
          <w:rFonts w:hint="default" w:ascii="Times New Roman" w:hAnsi="Times New Roman" w:eastAsia="方正仿宋_GBK" w:cs="Times New Roman"/>
          <w:spacing w:val="5"/>
          <w:sz w:val="32"/>
          <w:szCs w:val="32"/>
        </w:rPr>
        <w:t>万元，主要用于：</w:t>
      </w:r>
      <w:r>
        <w:rPr>
          <w:rFonts w:hint="eastAsia" w:ascii="Times New Roman" w:hAnsi="Times New Roman" w:eastAsia="方正仿宋_GBK" w:cs="Times New Roman"/>
          <w:spacing w:val="5"/>
          <w:sz w:val="32"/>
          <w:szCs w:val="32"/>
          <w:lang w:val="en-US" w:eastAsia="zh-CN"/>
        </w:rPr>
        <w:t>公务员补充</w:t>
      </w:r>
      <w:r>
        <w:rPr>
          <w:rFonts w:hint="default" w:ascii="Times New Roman" w:hAnsi="Times New Roman" w:eastAsia="方正仿宋_GBK" w:cs="Times New Roman"/>
          <w:spacing w:val="5"/>
          <w:sz w:val="32"/>
          <w:szCs w:val="32"/>
        </w:rPr>
        <w:t>医疗保险缴费支出。</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eastAsia"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lang w:val="en-US" w:eastAsia="zh-CN"/>
        </w:rPr>
        <w:t>8</w:t>
      </w:r>
      <w:r>
        <w:rPr>
          <w:rFonts w:hint="eastAsia" w:ascii="Times New Roman" w:hAnsi="Times New Roman" w:eastAsia="方正仿宋_GBK" w:cs="Times New Roman"/>
          <w:b/>
          <w:bCs/>
          <w:spacing w:val="5"/>
          <w:sz w:val="32"/>
          <w:szCs w:val="32"/>
        </w:rPr>
        <w:t>.</w:t>
      </w:r>
      <w:r>
        <w:rPr>
          <w:rFonts w:hint="default" w:ascii="Times New Roman" w:hAnsi="Times New Roman" w:eastAsia="方正仿宋_GBK" w:cs="Times New Roman"/>
          <w:b/>
          <w:bCs/>
          <w:spacing w:val="5"/>
          <w:sz w:val="32"/>
          <w:szCs w:val="32"/>
        </w:rPr>
        <w:t>住房保障（类）住房改革支出（款）住房公积金（项）</w:t>
      </w:r>
      <w:r>
        <w:rPr>
          <w:rFonts w:hint="eastAsia" w:ascii="Times New Roman" w:hAnsi="Times New Roman" w:eastAsia="方正仿宋_GBK" w:cs="Times New Roman"/>
          <w:b/>
          <w:bCs/>
          <w:spacing w:val="5"/>
          <w:sz w:val="32"/>
          <w:szCs w:val="32"/>
          <w:lang w:eastAsia="zh-CN"/>
        </w:rPr>
        <w:t>：</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59.58</w:t>
      </w:r>
      <w:r>
        <w:rPr>
          <w:rFonts w:hint="default" w:ascii="Times New Roman" w:hAnsi="Times New Roman" w:eastAsia="方正仿宋_GBK" w:cs="Times New Roman"/>
          <w:spacing w:val="5"/>
          <w:sz w:val="32"/>
          <w:szCs w:val="32"/>
        </w:rPr>
        <w:t>万元，主要用于：部门按人力资源和社会保障部、财政部规定的基本工资和津贴补贴以及规定比例为职工缴纳的住房公积金支出。</w:t>
      </w:r>
      <w:r>
        <w:rPr>
          <w:rFonts w:hint="eastAsia" w:ascii="Times New Roman" w:hAnsi="Times New Roman" w:eastAsia="方正仿宋_GBK" w:cs="Times New Roman"/>
          <w:spacing w:val="5"/>
          <w:sz w:val="32"/>
          <w:szCs w:val="32"/>
        </w:rPr>
        <w:t xml:space="preserve"> </w:t>
      </w:r>
    </w:p>
    <w:p>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7"/>
          <w:sz w:val="32"/>
          <w:szCs w:val="32"/>
        </w:rPr>
      </w:pPr>
      <w:r>
        <w:rPr>
          <w:rFonts w:hint="eastAsia" w:ascii="黑体" w:hAnsi="黑体" w:eastAsia="黑体" w:cs="黑体"/>
          <w:spacing w:val="8"/>
          <w:sz w:val="32"/>
          <w:szCs w:val="32"/>
        </w:rPr>
        <w:t>四、一般公共预算基本支出情况说</w:t>
      </w:r>
      <w:r>
        <w:rPr>
          <w:rFonts w:hint="eastAsia" w:ascii="黑体" w:hAnsi="黑体" w:eastAsia="黑体" w:cs="黑体"/>
          <w:spacing w:val="7"/>
          <w:sz w:val="32"/>
          <w:szCs w:val="32"/>
        </w:rPr>
        <w:t>明</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区应急管理局</w:t>
      </w:r>
      <w:r>
        <w:rPr>
          <w:rFonts w:hint="default" w:ascii="Times New Roman" w:hAnsi="Times New Roman" w:eastAsia="方正仿宋_GBK" w:cs="Times New Roman"/>
          <w:snapToGrid/>
          <w:color w:val="000000" w:themeColor="text1"/>
          <w:sz w:val="32"/>
          <w:szCs w:val="32"/>
          <w:lang w:eastAsia="zh-CN"/>
          <w14:textFill>
            <w14:solidFill>
              <w14:schemeClr w14:val="tx1"/>
            </w14:solidFill>
          </w14:textFill>
        </w:rPr>
        <w:t>2024年</w:t>
      </w:r>
      <w:r>
        <w:rPr>
          <w:rFonts w:hint="default" w:ascii="Times New Roman" w:hAnsi="Times New Roman" w:eastAsia="方正仿宋_GBK" w:cs="Times New Roman"/>
          <w:snapToGrid/>
          <w:kern w:val="2"/>
          <w:sz w:val="32"/>
          <w:szCs w:val="32"/>
        </w:rPr>
        <w:t>一般公共预算基本支出</w:t>
      </w:r>
      <w:r>
        <w:rPr>
          <w:rFonts w:hint="default" w:ascii="Times New Roman" w:hAnsi="Times New Roman" w:eastAsia="方正仿宋_GBK" w:cs="Times New Roman"/>
          <w:snapToGrid/>
          <w:color w:val="000000" w:themeColor="text1"/>
          <w:sz w:val="32"/>
          <w:szCs w:val="32"/>
          <w:lang w:eastAsia="zh-CN"/>
          <w14:textFill>
            <w14:solidFill>
              <w14:schemeClr w14:val="tx1"/>
            </w14:solidFill>
          </w14:textFill>
        </w:rPr>
        <w:t>870.66</w:t>
      </w:r>
      <w:r>
        <w:rPr>
          <w:rFonts w:hint="default" w:ascii="Times New Roman" w:hAnsi="Times New Roman" w:eastAsia="方正仿宋_GBK" w:cs="Times New Roman"/>
          <w:snapToGrid/>
          <w:color w:val="000000" w:themeColor="text1"/>
          <w:kern w:val="2"/>
          <w:sz w:val="32"/>
          <w:szCs w:val="32"/>
          <w14:textFill>
            <w14:solidFill>
              <w14:schemeClr w14:val="tx1"/>
            </w14:solidFill>
          </w14:textFill>
        </w:rPr>
        <w:t>万元</w:t>
      </w:r>
      <w:r>
        <w:rPr>
          <w:rFonts w:hint="default" w:ascii="Times New Roman" w:hAnsi="Times New Roman" w:eastAsia="方正仿宋_GBK" w:cs="Times New Roman"/>
          <w:snapToGrid/>
          <w:kern w:val="2"/>
          <w:sz w:val="32"/>
          <w:szCs w:val="32"/>
        </w:rPr>
        <w:t>，其中：</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  人员经</w:t>
      </w:r>
      <w:r>
        <w:rPr>
          <w:rFonts w:hint="default" w:ascii="Times New Roman" w:hAnsi="Times New Roman" w:eastAsia="方正仿宋_GBK" w:cs="Times New Roman"/>
          <w:snapToGrid/>
          <w:color w:val="000000" w:themeColor="text1"/>
          <w:kern w:val="2"/>
          <w:sz w:val="32"/>
          <w:szCs w:val="32"/>
          <w14:textFill>
            <w14:solidFill>
              <w14:schemeClr w14:val="tx1"/>
            </w14:solidFill>
          </w14:textFill>
        </w:rPr>
        <w:t>费</w:t>
      </w:r>
      <w:r>
        <w:rPr>
          <w:rFonts w:hint="default" w:ascii="Times New Roman" w:hAnsi="Times New Roman" w:eastAsia="方正仿宋_GBK" w:cs="Times New Roman"/>
          <w:snapToGrid/>
          <w:color w:val="000000" w:themeColor="text1"/>
          <w:sz w:val="32"/>
          <w:szCs w:val="32"/>
          <w:lang w:val="en-US" w:eastAsia="zh-CN"/>
          <w14:textFill>
            <w14:solidFill>
              <w14:schemeClr w14:val="tx1"/>
            </w14:solidFill>
          </w14:textFill>
        </w:rPr>
        <w:t>731.57</w:t>
      </w:r>
      <w:r>
        <w:rPr>
          <w:rFonts w:hint="default" w:ascii="Times New Roman" w:hAnsi="Times New Roman" w:eastAsia="方正仿宋_GBK" w:cs="Times New Roman"/>
          <w:snapToGrid/>
          <w:color w:val="000000" w:themeColor="text1"/>
          <w:kern w:val="2"/>
          <w:sz w:val="32"/>
          <w:szCs w:val="32"/>
          <w14:textFill>
            <w14:solidFill>
              <w14:schemeClr w14:val="tx1"/>
            </w14:solidFill>
          </w14:textFill>
        </w:rPr>
        <w:t>万</w:t>
      </w:r>
      <w:r>
        <w:rPr>
          <w:rFonts w:hint="default" w:ascii="Times New Roman" w:hAnsi="Times New Roman" w:eastAsia="方正仿宋_GBK" w:cs="Times New Roman"/>
          <w:snapToGrid/>
          <w:kern w:val="2"/>
          <w:sz w:val="32"/>
          <w:szCs w:val="32"/>
        </w:rPr>
        <w:t>元，主要包括：基本工资、津贴补贴、奖金、社会保险缴费、绩效工资、机关事业单位基本养老保险缴费、职业年金缴费、其他工资福利支出、离休费、住房公积金、其他对个人和家庭的补助支出。</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公用经费</w:t>
      </w:r>
      <w:r>
        <w:rPr>
          <w:rFonts w:hint="default" w:ascii="Times New Roman" w:hAnsi="Times New Roman" w:eastAsia="方正仿宋_GBK" w:cs="Times New Roman"/>
          <w:snapToGrid/>
          <w:kern w:val="2"/>
          <w:sz w:val="32"/>
          <w:szCs w:val="32"/>
          <w:lang w:val="en-US" w:eastAsia="zh-CN"/>
        </w:rPr>
        <w:t>139.09</w:t>
      </w:r>
      <w:r>
        <w:rPr>
          <w:rFonts w:hint="default" w:ascii="Times New Roman" w:hAnsi="Times New Roman" w:eastAsia="方正仿宋_GBK" w:cs="Times New Roman"/>
          <w:snapToGrid/>
          <w:kern w:val="2"/>
          <w:sz w:val="32"/>
          <w:szCs w:val="32"/>
        </w:rPr>
        <w:t>万元，主要包括：办公费、印刷费、手续费、水费、电费、邮电费、差旅费、维修（护）费、会议费、培训费、劳务费、工会经费、福利费、其他交通费、其他商品和服务支出。</w:t>
      </w:r>
    </w:p>
    <w:p>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五、“三公”经费财政拨款预算安排情况说明</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区应急管理局</w:t>
      </w: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“三公”经费财政拨款预算数</w:t>
      </w:r>
      <w:r>
        <w:rPr>
          <w:rFonts w:hint="eastAsia" w:ascii="Times New Roman" w:hAnsi="Times New Roman" w:eastAsia="方正仿宋_GBK" w:cs="Times New Roman"/>
          <w:snapToGrid/>
          <w:kern w:val="2"/>
          <w:sz w:val="32"/>
          <w:szCs w:val="32"/>
          <w:lang w:val="en-US" w:eastAsia="zh-CN"/>
        </w:rPr>
        <w:t>2.96</w:t>
      </w:r>
      <w:r>
        <w:rPr>
          <w:rFonts w:hint="default" w:ascii="Times New Roman" w:hAnsi="Times New Roman" w:eastAsia="方正仿宋_GBK" w:cs="Times New Roman"/>
          <w:snapToGrid/>
          <w:kern w:val="2"/>
          <w:sz w:val="32"/>
          <w:szCs w:val="32"/>
        </w:rPr>
        <w:t>万元，其中：因公出国（境）经费0万元，公务接待费</w:t>
      </w:r>
      <w:r>
        <w:rPr>
          <w:rFonts w:hint="eastAsia" w:ascii="Times New Roman" w:hAnsi="Times New Roman" w:eastAsia="方正仿宋_GBK" w:cs="Times New Roman"/>
          <w:snapToGrid/>
          <w:kern w:val="2"/>
          <w:sz w:val="32"/>
          <w:szCs w:val="32"/>
          <w:lang w:val="en-US" w:eastAsia="zh-CN"/>
        </w:rPr>
        <w:t>1.46</w:t>
      </w:r>
      <w:r>
        <w:rPr>
          <w:rFonts w:hint="default" w:ascii="Times New Roman" w:hAnsi="Times New Roman" w:eastAsia="方正仿宋_GBK" w:cs="Times New Roman"/>
          <w:snapToGrid/>
          <w:kern w:val="2"/>
          <w:sz w:val="32"/>
          <w:szCs w:val="32"/>
        </w:rPr>
        <w:t>万元，公务用车购置及运行维护费1.5万元。</w:t>
      </w:r>
    </w:p>
    <w:p>
      <w:pPr>
        <w:keepNext w:val="0"/>
        <w:keepLines w:val="0"/>
        <w:pageBreakBefore w:val="0"/>
        <w:widowControl/>
        <w:wordWrap/>
        <w:overflowPunct/>
        <w:topLinePunct w:val="0"/>
        <w:bidi w:val="0"/>
        <w:spacing w:line="560" w:lineRule="exact"/>
        <w:ind w:firstLine="640" w:firstLineChars="200"/>
        <w:outlineLvl w:val="1"/>
        <w:rPr>
          <w:rFonts w:hint="eastAsia" w:ascii="方正楷体_GBK" w:hAnsi="方正楷体_GBK" w:eastAsia="方正楷体_GBK" w:cs="方正楷体_GBK"/>
          <w:snapToGrid/>
          <w:kern w:val="2"/>
          <w:sz w:val="32"/>
          <w:szCs w:val="32"/>
        </w:rPr>
      </w:pP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rPr>
        <w:t>一</w:t>
      </w: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rPr>
        <w:t>)</w:t>
      </w:r>
      <w:bookmarkStart w:id="0" w:name="_GoBack"/>
      <w:bookmarkEnd w:id="0"/>
      <w:r>
        <w:rPr>
          <w:rFonts w:hint="eastAsia" w:ascii="方正楷体_GBK" w:hAnsi="方正楷体_GBK" w:eastAsia="方正楷体_GBK" w:cs="方正楷体_GBK"/>
          <w:snapToGrid/>
          <w:kern w:val="2"/>
          <w:sz w:val="32"/>
          <w:szCs w:val="32"/>
        </w:rPr>
        <w:t>公务接待费与202</w:t>
      </w:r>
      <w:r>
        <w:rPr>
          <w:rFonts w:hint="eastAsia" w:ascii="方正楷体_GBK" w:hAnsi="方正楷体_GBK" w:eastAsia="方正楷体_GBK" w:cs="方正楷体_GBK"/>
          <w:snapToGrid/>
          <w:kern w:val="2"/>
          <w:sz w:val="32"/>
          <w:szCs w:val="32"/>
          <w:lang w:val="en-US" w:eastAsia="zh-CN"/>
        </w:rPr>
        <w:t>2</w:t>
      </w:r>
      <w:r>
        <w:rPr>
          <w:rFonts w:hint="eastAsia" w:ascii="方正楷体_GBK" w:hAnsi="方正楷体_GBK" w:eastAsia="方正楷体_GBK" w:cs="方正楷体_GBK"/>
          <w:snapToGrid/>
          <w:kern w:val="2"/>
          <w:sz w:val="32"/>
          <w:szCs w:val="32"/>
        </w:rPr>
        <w:t>年预算对比情况。</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公务接待与202</w:t>
      </w:r>
      <w:r>
        <w:rPr>
          <w:rFonts w:hint="eastAsia" w:ascii="Times New Roman" w:hAnsi="Times New Roman" w:eastAsia="方正仿宋_GBK" w:cs="Times New Roman"/>
          <w:snapToGrid/>
          <w:kern w:val="2"/>
          <w:sz w:val="32"/>
          <w:szCs w:val="32"/>
          <w:lang w:val="en-US" w:eastAsia="zh-CN"/>
        </w:rPr>
        <w:t>3</w:t>
      </w:r>
      <w:r>
        <w:rPr>
          <w:rFonts w:hint="default" w:ascii="Times New Roman" w:hAnsi="Times New Roman" w:eastAsia="方正仿宋_GBK" w:cs="Times New Roman"/>
          <w:snapToGrid/>
          <w:kern w:val="2"/>
          <w:sz w:val="32"/>
          <w:szCs w:val="32"/>
        </w:rPr>
        <w:t>年持平。</w:t>
      </w: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公务接待费计划用于执行公务、考察调研、检查指导等公务活动开支的交通费、住宿费、用餐费等。</w:t>
      </w:r>
    </w:p>
    <w:p>
      <w:pPr>
        <w:keepNext w:val="0"/>
        <w:keepLines w:val="0"/>
        <w:pageBreakBefore w:val="0"/>
        <w:widowControl/>
        <w:wordWrap/>
        <w:overflowPunct/>
        <w:topLinePunct w:val="0"/>
        <w:bidi w:val="0"/>
        <w:spacing w:line="560" w:lineRule="exact"/>
        <w:ind w:firstLine="640" w:firstLineChars="200"/>
        <w:outlineLvl w:val="1"/>
        <w:rPr>
          <w:rFonts w:hint="default" w:ascii="方正楷体_GBK" w:hAnsi="方正楷体_GBK" w:eastAsia="方正楷体_GBK" w:cs="方正楷体_GBK"/>
          <w:snapToGrid/>
          <w:kern w:val="2"/>
          <w:sz w:val="32"/>
          <w:szCs w:val="32"/>
        </w:rPr>
      </w:pPr>
      <w:r>
        <w:rPr>
          <w:rFonts w:hint="default" w:ascii="方正楷体_GBK" w:hAnsi="方正楷体_GBK" w:eastAsia="方正楷体_GBK" w:cs="方正楷体_GBK"/>
          <w:snapToGrid/>
          <w:kern w:val="2"/>
          <w:sz w:val="32"/>
          <w:szCs w:val="32"/>
        </w:rPr>
        <w:t>（二）公务用车购置及运行维护费与</w:t>
      </w:r>
      <w:r>
        <w:rPr>
          <w:rFonts w:hint="default" w:ascii="方正楷体_GBK" w:hAnsi="方正楷体_GBK" w:eastAsia="方正楷体_GBK" w:cs="方正楷体_GBK"/>
          <w:snapToGrid/>
          <w:kern w:val="2"/>
          <w:sz w:val="32"/>
          <w:szCs w:val="32"/>
          <w:lang w:val="en-US" w:eastAsia="zh-CN"/>
        </w:rPr>
        <w:t>2022</w:t>
      </w:r>
      <w:r>
        <w:rPr>
          <w:rFonts w:hint="default" w:ascii="方正楷体_GBK" w:hAnsi="方正楷体_GBK" w:eastAsia="方正楷体_GBK" w:cs="方正楷体_GBK"/>
          <w:snapToGrid/>
          <w:kern w:val="2"/>
          <w:sz w:val="32"/>
          <w:szCs w:val="32"/>
        </w:rPr>
        <w:t xml:space="preserve">年预算对比情况。   </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安排公务用车运行维护费1.5万元，用于5辆公务用车燃油、过路（桥）、维修、保险等方面支出，主要保障机关及下属单位</w:t>
      </w:r>
      <w:r>
        <w:rPr>
          <w:rFonts w:hint="default" w:ascii="Times New Roman" w:hAnsi="Times New Roman" w:eastAsia="方正仿宋_GBK" w:cs="Times New Roman"/>
          <w:snapToGrid/>
          <w:kern w:val="2"/>
          <w:sz w:val="32"/>
          <w:szCs w:val="32"/>
          <w:lang w:eastAsia="zh-CN"/>
        </w:rPr>
        <w:t>应急</w:t>
      </w:r>
      <w:r>
        <w:rPr>
          <w:rFonts w:hint="default" w:ascii="Times New Roman" w:hAnsi="Times New Roman" w:eastAsia="方正仿宋_GBK" w:cs="Times New Roman"/>
          <w:snapToGrid/>
          <w:kern w:val="2"/>
          <w:sz w:val="32"/>
          <w:szCs w:val="32"/>
        </w:rPr>
        <w:t>工作、</w:t>
      </w:r>
      <w:r>
        <w:rPr>
          <w:rFonts w:hint="default" w:ascii="Times New Roman" w:hAnsi="Times New Roman" w:eastAsia="方正仿宋_GBK" w:cs="Times New Roman"/>
          <w:snapToGrid/>
          <w:kern w:val="2"/>
          <w:sz w:val="32"/>
          <w:szCs w:val="32"/>
          <w:lang w:eastAsia="zh-CN"/>
        </w:rPr>
        <w:t>乡村振兴</w:t>
      </w:r>
      <w:r>
        <w:rPr>
          <w:rFonts w:hint="default" w:ascii="Times New Roman" w:hAnsi="Times New Roman" w:eastAsia="方正仿宋_GBK" w:cs="Times New Roman"/>
          <w:snapToGrid/>
          <w:kern w:val="2"/>
          <w:sz w:val="32"/>
          <w:szCs w:val="32"/>
        </w:rPr>
        <w:t>等工作开展。</w:t>
      </w:r>
    </w:p>
    <w:p>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六、政府性基金预算支出情况说明</w:t>
      </w:r>
    </w:p>
    <w:p>
      <w:pPr>
        <w:keepNext w:val="0"/>
        <w:keepLines w:val="0"/>
        <w:pageBreakBefore w:val="0"/>
        <w:widowControl/>
        <w:wordWrap/>
        <w:overflowPunct/>
        <w:topLinePunct w:val="0"/>
        <w:bidi w:val="0"/>
        <w:spacing w:line="560" w:lineRule="exact"/>
        <w:ind w:firstLine="640" w:firstLineChars="200"/>
        <w:outlineLvl w:val="1"/>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区应急管理局</w:t>
      </w:r>
      <w:r>
        <w:rPr>
          <w:rFonts w:hint="eastAsia" w:ascii="Times New Roman" w:hAnsi="Times New Roman" w:eastAsia="方正仿宋_GBK" w:cs="Times New Roman"/>
          <w:snapToGrid/>
          <w:kern w:val="2"/>
          <w:sz w:val="32"/>
          <w:szCs w:val="32"/>
          <w:lang w:eastAsia="zh-CN"/>
        </w:rPr>
        <w:t>2024年</w:t>
      </w:r>
      <w:r>
        <w:rPr>
          <w:rFonts w:hint="eastAsia" w:ascii="Times New Roman" w:hAnsi="Times New Roman" w:eastAsia="方正仿宋_GBK" w:cs="Times New Roman"/>
          <w:snapToGrid/>
          <w:kern w:val="2"/>
          <w:sz w:val="32"/>
          <w:szCs w:val="32"/>
        </w:rPr>
        <w:t>无政府性基金预算拨款安排的支出。</w:t>
      </w:r>
    </w:p>
    <w:p>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七、国有资本经营预算情况说明</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区应急管理局</w:t>
      </w: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无国有资本经营预算拨款安排的支出。</w:t>
      </w:r>
    </w:p>
    <w:p>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八、其他重要事项的情况说明</w:t>
      </w:r>
    </w:p>
    <w:p>
      <w:pPr>
        <w:keepNext w:val="0"/>
        <w:keepLines w:val="0"/>
        <w:pageBreakBefore w:val="0"/>
        <w:widowControl/>
        <w:wordWrap/>
        <w:overflowPunct/>
        <w:topLinePunct w:val="0"/>
        <w:bidi w:val="0"/>
        <w:spacing w:line="560" w:lineRule="exact"/>
        <w:ind w:firstLine="640" w:firstLineChars="200"/>
        <w:outlineLvl w:val="1"/>
        <w:rPr>
          <w:rFonts w:hint="eastAsia" w:ascii="方正楷体_GBK" w:hAnsi="方正楷体_GBK" w:eastAsia="方正楷体_GBK" w:cs="方正楷体_GBK"/>
          <w:snapToGrid/>
          <w:kern w:val="2"/>
          <w:sz w:val="32"/>
          <w:szCs w:val="32"/>
        </w:rPr>
      </w:pP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rPr>
        <w:t>一</w:t>
      </w: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rPr>
        <w:t>政府采购情况</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，应急管理局安排政府采购预算</w:t>
      </w:r>
      <w:r>
        <w:rPr>
          <w:rFonts w:hint="eastAsia" w:ascii="Times New Roman" w:hAnsi="Times New Roman" w:eastAsia="方正仿宋_GBK" w:cs="Times New Roman"/>
          <w:snapToGrid/>
          <w:kern w:val="2"/>
          <w:sz w:val="32"/>
          <w:szCs w:val="32"/>
          <w:lang w:val="en-US" w:eastAsia="zh-CN"/>
        </w:rPr>
        <w:t>1.8</w:t>
      </w:r>
      <w:r>
        <w:rPr>
          <w:rFonts w:hint="default" w:ascii="Times New Roman" w:hAnsi="Times New Roman" w:eastAsia="方正仿宋_GBK" w:cs="Times New Roman"/>
          <w:snapToGrid/>
          <w:kern w:val="2"/>
          <w:sz w:val="32"/>
          <w:szCs w:val="32"/>
        </w:rPr>
        <w:t>万元，主要用于采购办公设备等。</w:t>
      </w:r>
    </w:p>
    <w:p>
      <w:pPr>
        <w:keepNext w:val="0"/>
        <w:keepLines w:val="0"/>
        <w:pageBreakBefore w:val="0"/>
        <w:widowControl/>
        <w:wordWrap/>
        <w:overflowPunct/>
        <w:topLinePunct w:val="0"/>
        <w:bidi w:val="0"/>
        <w:spacing w:line="560" w:lineRule="exact"/>
        <w:ind w:firstLine="640" w:firstLineChars="200"/>
        <w:outlineLvl w:val="1"/>
        <w:rPr>
          <w:rFonts w:hint="eastAsia" w:ascii="方正楷体_GBK" w:hAnsi="方正楷体_GBK" w:eastAsia="方正楷体_GBK" w:cs="方正楷体_GBK"/>
          <w:snapToGrid/>
          <w:kern w:val="2"/>
          <w:sz w:val="32"/>
          <w:szCs w:val="32"/>
        </w:rPr>
      </w:pP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lang w:val="en-US" w:eastAsia="zh-CN"/>
        </w:rPr>
        <w:t>二</w:t>
      </w: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rPr>
        <w:t>国有资产占有使用情况</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截至202</w:t>
      </w:r>
      <w:r>
        <w:rPr>
          <w:rFonts w:hint="eastAsia" w:ascii="Times New Roman" w:hAnsi="Times New Roman" w:eastAsia="方正仿宋_GBK" w:cs="Times New Roman"/>
          <w:snapToGrid/>
          <w:kern w:val="2"/>
          <w:sz w:val="32"/>
          <w:szCs w:val="32"/>
          <w:lang w:val="en-US" w:eastAsia="zh-CN"/>
        </w:rPr>
        <w:t>3</w:t>
      </w:r>
      <w:r>
        <w:rPr>
          <w:rFonts w:hint="default" w:ascii="Times New Roman" w:hAnsi="Times New Roman" w:eastAsia="方正仿宋_GBK" w:cs="Times New Roman"/>
          <w:snapToGrid/>
          <w:kern w:val="2"/>
          <w:sz w:val="32"/>
          <w:szCs w:val="32"/>
        </w:rPr>
        <w:t>年底，区应急管理局所属各预算单位共有车辆5辆，其中，特种用车1辆，应急保障用车4辆。</w:t>
      </w:r>
    </w:p>
    <w:p>
      <w:pPr>
        <w:keepNext w:val="0"/>
        <w:keepLines w:val="0"/>
        <w:pageBreakBefore w:val="0"/>
        <w:widowControl/>
        <w:wordWrap/>
        <w:overflowPunct/>
        <w:topLinePunct w:val="0"/>
        <w:bidi w:val="0"/>
        <w:spacing w:line="560" w:lineRule="exact"/>
        <w:ind w:firstLine="640" w:firstLineChars="200"/>
        <w:outlineLvl w:val="1"/>
        <w:rPr>
          <w:rFonts w:hint="eastAsia" w:ascii="方正楷体_GBK" w:hAnsi="方正楷体_GBK" w:eastAsia="方正楷体_GBK" w:cs="方正楷体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lang w:val="en-US" w:eastAsia="zh-CN"/>
        </w:rPr>
        <w:t>三</w:t>
      </w:r>
      <w:r>
        <w:rPr>
          <w:rFonts w:hint="eastAsia" w:ascii="方正楷体_GBK" w:hAnsi="方正楷体_GBK" w:eastAsia="方正楷体_GBK" w:cs="方正楷体_GBK"/>
          <w:snapToGrid/>
          <w:kern w:val="2"/>
          <w:sz w:val="32"/>
          <w:szCs w:val="32"/>
          <w:lang w:eastAsia="zh-CN"/>
        </w:rPr>
        <w:t>）预算绩效情况</w:t>
      </w:r>
    </w:p>
    <w:p>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应急管理局部门通用项目和专用项目均按要求实行绩效目标管理，涉及一般公共预算当年拨款</w:t>
      </w:r>
      <w:r>
        <w:rPr>
          <w:rFonts w:hint="eastAsia" w:ascii="Times New Roman" w:hAnsi="Times New Roman" w:eastAsia="方正仿宋_GBK" w:cs="Times New Roman"/>
          <w:snapToGrid/>
          <w:kern w:val="2"/>
          <w:sz w:val="32"/>
          <w:szCs w:val="32"/>
          <w:lang w:val="en-US" w:eastAsia="zh-CN"/>
        </w:rPr>
        <w:t>890.66</w:t>
      </w:r>
      <w:r>
        <w:rPr>
          <w:rFonts w:hint="default" w:ascii="Times New Roman" w:hAnsi="Times New Roman" w:eastAsia="方正仿宋_GBK" w:cs="Times New Roman"/>
          <w:snapToGrid/>
          <w:kern w:val="2"/>
          <w:sz w:val="32"/>
          <w:szCs w:val="32"/>
        </w:rPr>
        <w:t>万元。</w:t>
      </w:r>
    </w:p>
    <w:p>
      <w:pPr>
        <w:keepNext w:val="0"/>
        <w:keepLines w:val="0"/>
        <w:pageBreakBefore w:val="0"/>
        <w:widowControl/>
        <w:wordWrap/>
        <w:overflowPunct/>
        <w:topLinePunct w:val="0"/>
        <w:bidi w:val="0"/>
        <w:spacing w:before="223" w:line="560" w:lineRule="exact"/>
        <w:outlineLvl w:val="0"/>
        <w:rPr>
          <w:rFonts w:hint="eastAsia" w:ascii="仿宋_GB2312" w:hAnsi="仿宋_GB2312" w:eastAsia="仿宋_GB2312" w:cs="仿宋_GB2312"/>
          <w:sz w:val="32"/>
          <w:szCs w:val="32"/>
        </w:rPr>
      </w:pPr>
    </w:p>
    <w:sectPr>
      <w:footerReference r:id="rId17" w:type="default"/>
      <w:pgSz w:w="11906" w:h="16839"/>
      <w:pgMar w:top="1431" w:right="1785" w:bottom="855" w:left="1785" w:header="0" w:footer="575"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ialog . plain">
    <w:altName w:val="Segoe Print"/>
    <w:panose1 w:val="00000000000000000000"/>
    <w:charset w:val="00"/>
    <w:family w:val="auto"/>
    <w:pitch w:val="default"/>
    <w:sig w:usb0="00000000" w:usb1="00000000" w:usb2="00000000" w:usb3="00000000" w:csb0="00000000" w:csb1="00000000"/>
  </w:font>
  <w:font w:name="Dialog . bold">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6587"/>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jc w:val="center"/>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050"/>
      </w:tabs>
      <w:spacing w:line="186" w:lineRule="auto"/>
      <w:ind w:left="3826"/>
      <w:jc w:val="left"/>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宋体" w:hAnsi="宋体" w:eastAsia="宋体" w:cs="宋体"/>
        <w:sz w:val="28"/>
        <w:szCs w:val="2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jc w:val="center"/>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jc w:val="center"/>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58"/>
      </w:tabs>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DAC0E"/>
    <w:multiLevelType w:val="singleLevel"/>
    <w:tmpl w:val="0C4DAC0E"/>
    <w:lvl w:ilvl="0" w:tentative="0">
      <w:start w:val="3"/>
      <w:numFmt w:val="chineseCounting"/>
      <w:suff w:val="nothing"/>
      <w:lvlText w:val="（%1）"/>
      <w:lvlJc w:val="left"/>
      <w:rPr>
        <w:rFonts w:hint="eastAsia"/>
      </w:rPr>
    </w:lvl>
  </w:abstractNum>
  <w:abstractNum w:abstractNumId="1">
    <w:nsid w:val="6A325445"/>
    <w:multiLevelType w:val="multilevel"/>
    <w:tmpl w:val="6A325445"/>
    <w:lvl w:ilvl="0" w:tentative="0">
      <w:start w:val="1"/>
      <w:numFmt w:val="japaneseCounting"/>
      <w:lvlText w:val="%1、"/>
      <w:lvlJc w:val="left"/>
      <w:pPr>
        <w:ind w:left="1392" w:hanging="72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EyOGUzOTdjNTgxMzIzODIzNGQzYmY1NDhkNzM4MWUifQ=="/>
  </w:docVars>
  <w:rsids>
    <w:rsidRoot w:val="00D25071"/>
    <w:rsid w:val="00037032"/>
    <w:rsid w:val="00096065"/>
    <w:rsid w:val="000B1327"/>
    <w:rsid w:val="000B1A7D"/>
    <w:rsid w:val="000B4E59"/>
    <w:rsid w:val="00117CA1"/>
    <w:rsid w:val="001473C6"/>
    <w:rsid w:val="00160D6F"/>
    <w:rsid w:val="001636B1"/>
    <w:rsid w:val="00173CA7"/>
    <w:rsid w:val="001A66FE"/>
    <w:rsid w:val="001C2CF1"/>
    <w:rsid w:val="001E2DC4"/>
    <w:rsid w:val="00253751"/>
    <w:rsid w:val="0025756A"/>
    <w:rsid w:val="00261E16"/>
    <w:rsid w:val="002676F2"/>
    <w:rsid w:val="00285591"/>
    <w:rsid w:val="002B79B2"/>
    <w:rsid w:val="002B7FF1"/>
    <w:rsid w:val="002C6B17"/>
    <w:rsid w:val="002F6713"/>
    <w:rsid w:val="0031057C"/>
    <w:rsid w:val="003175CA"/>
    <w:rsid w:val="00345F3B"/>
    <w:rsid w:val="0036660B"/>
    <w:rsid w:val="00366D4A"/>
    <w:rsid w:val="00381641"/>
    <w:rsid w:val="003F2EAE"/>
    <w:rsid w:val="003F5F2A"/>
    <w:rsid w:val="00405C53"/>
    <w:rsid w:val="0041778B"/>
    <w:rsid w:val="00423F56"/>
    <w:rsid w:val="00425C73"/>
    <w:rsid w:val="00426778"/>
    <w:rsid w:val="00426AF7"/>
    <w:rsid w:val="00446EDD"/>
    <w:rsid w:val="004650B6"/>
    <w:rsid w:val="00472A5B"/>
    <w:rsid w:val="00476248"/>
    <w:rsid w:val="0048243F"/>
    <w:rsid w:val="004C14D6"/>
    <w:rsid w:val="004D2B82"/>
    <w:rsid w:val="004F473D"/>
    <w:rsid w:val="00517327"/>
    <w:rsid w:val="00527B7C"/>
    <w:rsid w:val="0055198D"/>
    <w:rsid w:val="00566DCC"/>
    <w:rsid w:val="005A1D94"/>
    <w:rsid w:val="005A21DE"/>
    <w:rsid w:val="005A49F1"/>
    <w:rsid w:val="005C0A35"/>
    <w:rsid w:val="005C2165"/>
    <w:rsid w:val="005E49B3"/>
    <w:rsid w:val="00603FEF"/>
    <w:rsid w:val="0061392A"/>
    <w:rsid w:val="006218F2"/>
    <w:rsid w:val="0062677A"/>
    <w:rsid w:val="0065393F"/>
    <w:rsid w:val="00675118"/>
    <w:rsid w:val="00682D29"/>
    <w:rsid w:val="00691FB5"/>
    <w:rsid w:val="006B4E30"/>
    <w:rsid w:val="006D716F"/>
    <w:rsid w:val="006F06B6"/>
    <w:rsid w:val="00700605"/>
    <w:rsid w:val="0070536D"/>
    <w:rsid w:val="00705960"/>
    <w:rsid w:val="00722631"/>
    <w:rsid w:val="007512D8"/>
    <w:rsid w:val="00781332"/>
    <w:rsid w:val="007A27F6"/>
    <w:rsid w:val="007C404D"/>
    <w:rsid w:val="007D6ED8"/>
    <w:rsid w:val="007E5CBF"/>
    <w:rsid w:val="0080483B"/>
    <w:rsid w:val="00805E6B"/>
    <w:rsid w:val="0080757C"/>
    <w:rsid w:val="008566EC"/>
    <w:rsid w:val="008832A6"/>
    <w:rsid w:val="008919BB"/>
    <w:rsid w:val="00897083"/>
    <w:rsid w:val="008F2C50"/>
    <w:rsid w:val="008F506F"/>
    <w:rsid w:val="009078F1"/>
    <w:rsid w:val="00913038"/>
    <w:rsid w:val="009B6772"/>
    <w:rsid w:val="009F3615"/>
    <w:rsid w:val="00A062E0"/>
    <w:rsid w:val="00A237CC"/>
    <w:rsid w:val="00A30B96"/>
    <w:rsid w:val="00A43B03"/>
    <w:rsid w:val="00A457CF"/>
    <w:rsid w:val="00A66D71"/>
    <w:rsid w:val="00A7327C"/>
    <w:rsid w:val="00B1054D"/>
    <w:rsid w:val="00B40144"/>
    <w:rsid w:val="00B72238"/>
    <w:rsid w:val="00BB05E6"/>
    <w:rsid w:val="00BB6674"/>
    <w:rsid w:val="00BD0D36"/>
    <w:rsid w:val="00BD64B1"/>
    <w:rsid w:val="00BD6C73"/>
    <w:rsid w:val="00BD71D4"/>
    <w:rsid w:val="00BF0508"/>
    <w:rsid w:val="00C51ED3"/>
    <w:rsid w:val="00C62830"/>
    <w:rsid w:val="00C77553"/>
    <w:rsid w:val="00C844F3"/>
    <w:rsid w:val="00C84A3A"/>
    <w:rsid w:val="00CA7946"/>
    <w:rsid w:val="00CC4D06"/>
    <w:rsid w:val="00CF4F93"/>
    <w:rsid w:val="00D25071"/>
    <w:rsid w:val="00D275EA"/>
    <w:rsid w:val="00D43ABF"/>
    <w:rsid w:val="00DA268B"/>
    <w:rsid w:val="00DB2D1B"/>
    <w:rsid w:val="00DB5CAE"/>
    <w:rsid w:val="00DC2225"/>
    <w:rsid w:val="00DD30BA"/>
    <w:rsid w:val="00DE3911"/>
    <w:rsid w:val="00E00E0C"/>
    <w:rsid w:val="00E01DE0"/>
    <w:rsid w:val="00E5545E"/>
    <w:rsid w:val="00E650B6"/>
    <w:rsid w:val="00E8039D"/>
    <w:rsid w:val="00E931E7"/>
    <w:rsid w:val="00E94277"/>
    <w:rsid w:val="00E943A2"/>
    <w:rsid w:val="00EC0D9F"/>
    <w:rsid w:val="00EC14F8"/>
    <w:rsid w:val="00EC1CCB"/>
    <w:rsid w:val="00ED2BFE"/>
    <w:rsid w:val="00F014E4"/>
    <w:rsid w:val="00F0354B"/>
    <w:rsid w:val="00F05671"/>
    <w:rsid w:val="00F066C3"/>
    <w:rsid w:val="00F169E7"/>
    <w:rsid w:val="00F211EB"/>
    <w:rsid w:val="00F212EE"/>
    <w:rsid w:val="00F25BD8"/>
    <w:rsid w:val="00F26A55"/>
    <w:rsid w:val="00F30688"/>
    <w:rsid w:val="00F30772"/>
    <w:rsid w:val="00F3401D"/>
    <w:rsid w:val="00F4532E"/>
    <w:rsid w:val="00F5625E"/>
    <w:rsid w:val="00F7161A"/>
    <w:rsid w:val="00F873A4"/>
    <w:rsid w:val="00FC1360"/>
    <w:rsid w:val="00FE61C0"/>
    <w:rsid w:val="017D31AE"/>
    <w:rsid w:val="03BE2820"/>
    <w:rsid w:val="041F452F"/>
    <w:rsid w:val="045E5411"/>
    <w:rsid w:val="07072694"/>
    <w:rsid w:val="076646E5"/>
    <w:rsid w:val="08D132F7"/>
    <w:rsid w:val="0A6F1B02"/>
    <w:rsid w:val="0AE14B9F"/>
    <w:rsid w:val="0B4D6210"/>
    <w:rsid w:val="0C1B7BF2"/>
    <w:rsid w:val="0C432E42"/>
    <w:rsid w:val="0F276AFD"/>
    <w:rsid w:val="0FA35C26"/>
    <w:rsid w:val="0FFE19AD"/>
    <w:rsid w:val="102C1E0A"/>
    <w:rsid w:val="10F3555E"/>
    <w:rsid w:val="129810EB"/>
    <w:rsid w:val="12CF361E"/>
    <w:rsid w:val="15115C90"/>
    <w:rsid w:val="1546436C"/>
    <w:rsid w:val="15DB09F4"/>
    <w:rsid w:val="165043CE"/>
    <w:rsid w:val="1654416C"/>
    <w:rsid w:val="16F037F7"/>
    <w:rsid w:val="175423EC"/>
    <w:rsid w:val="17B44FF8"/>
    <w:rsid w:val="183275CF"/>
    <w:rsid w:val="1B4066F8"/>
    <w:rsid w:val="1B854CE1"/>
    <w:rsid w:val="1BFA6A3B"/>
    <w:rsid w:val="1BFE2CE6"/>
    <w:rsid w:val="1C65518B"/>
    <w:rsid w:val="1C7B7251"/>
    <w:rsid w:val="1D3F5364"/>
    <w:rsid w:val="1D5F5E95"/>
    <w:rsid w:val="1DDB565E"/>
    <w:rsid w:val="1E69676A"/>
    <w:rsid w:val="1EAB018D"/>
    <w:rsid w:val="1FBB454E"/>
    <w:rsid w:val="20895738"/>
    <w:rsid w:val="20DD736E"/>
    <w:rsid w:val="21AB7CB3"/>
    <w:rsid w:val="2308357D"/>
    <w:rsid w:val="24782B8A"/>
    <w:rsid w:val="27F31225"/>
    <w:rsid w:val="28542440"/>
    <w:rsid w:val="28953A96"/>
    <w:rsid w:val="29BA2F79"/>
    <w:rsid w:val="2B561B4D"/>
    <w:rsid w:val="2CA8098E"/>
    <w:rsid w:val="2F4D0147"/>
    <w:rsid w:val="30352539"/>
    <w:rsid w:val="304C6368"/>
    <w:rsid w:val="30BF33A7"/>
    <w:rsid w:val="312406A1"/>
    <w:rsid w:val="313703D4"/>
    <w:rsid w:val="31603564"/>
    <w:rsid w:val="319E2239"/>
    <w:rsid w:val="32C51A79"/>
    <w:rsid w:val="340C3D9A"/>
    <w:rsid w:val="34692F9B"/>
    <w:rsid w:val="346E199A"/>
    <w:rsid w:val="34B93D65"/>
    <w:rsid w:val="35895B72"/>
    <w:rsid w:val="361A7738"/>
    <w:rsid w:val="36483097"/>
    <w:rsid w:val="36515D8D"/>
    <w:rsid w:val="374D6BA3"/>
    <w:rsid w:val="39552613"/>
    <w:rsid w:val="3963682F"/>
    <w:rsid w:val="39E20077"/>
    <w:rsid w:val="3A0C56FF"/>
    <w:rsid w:val="3E413B9C"/>
    <w:rsid w:val="3F370997"/>
    <w:rsid w:val="3F5352CD"/>
    <w:rsid w:val="40744A7B"/>
    <w:rsid w:val="41032072"/>
    <w:rsid w:val="42750D5C"/>
    <w:rsid w:val="43046591"/>
    <w:rsid w:val="43332183"/>
    <w:rsid w:val="43AA12F1"/>
    <w:rsid w:val="43E403BF"/>
    <w:rsid w:val="441D16AC"/>
    <w:rsid w:val="44B342AD"/>
    <w:rsid w:val="453B1DF9"/>
    <w:rsid w:val="45706D95"/>
    <w:rsid w:val="45EF52CA"/>
    <w:rsid w:val="468F45D2"/>
    <w:rsid w:val="47222787"/>
    <w:rsid w:val="47743CD8"/>
    <w:rsid w:val="484F2050"/>
    <w:rsid w:val="48952158"/>
    <w:rsid w:val="48F3064B"/>
    <w:rsid w:val="4A657E11"/>
    <w:rsid w:val="4AFC2A74"/>
    <w:rsid w:val="4E5B42DA"/>
    <w:rsid w:val="4F2068C8"/>
    <w:rsid w:val="4F8922EB"/>
    <w:rsid w:val="4F8A49A4"/>
    <w:rsid w:val="4FC86546"/>
    <w:rsid w:val="512B17FC"/>
    <w:rsid w:val="520D083B"/>
    <w:rsid w:val="5235516D"/>
    <w:rsid w:val="52722DD0"/>
    <w:rsid w:val="52FA3367"/>
    <w:rsid w:val="549C6400"/>
    <w:rsid w:val="55241A05"/>
    <w:rsid w:val="55CE220C"/>
    <w:rsid w:val="56C62D48"/>
    <w:rsid w:val="57616494"/>
    <w:rsid w:val="578F2469"/>
    <w:rsid w:val="5999137D"/>
    <w:rsid w:val="5AA20705"/>
    <w:rsid w:val="5B294123"/>
    <w:rsid w:val="5BCA7F13"/>
    <w:rsid w:val="5EC95CD0"/>
    <w:rsid w:val="5FFC6958"/>
    <w:rsid w:val="610C692D"/>
    <w:rsid w:val="618E553F"/>
    <w:rsid w:val="62BF00A6"/>
    <w:rsid w:val="64A524D0"/>
    <w:rsid w:val="65516FAF"/>
    <w:rsid w:val="65606335"/>
    <w:rsid w:val="66774A13"/>
    <w:rsid w:val="6B792D2F"/>
    <w:rsid w:val="6CAA6485"/>
    <w:rsid w:val="6CE46703"/>
    <w:rsid w:val="6D351F83"/>
    <w:rsid w:val="6DB225B5"/>
    <w:rsid w:val="6F6F050C"/>
    <w:rsid w:val="71E1775E"/>
    <w:rsid w:val="72A42E14"/>
    <w:rsid w:val="72AA6A89"/>
    <w:rsid w:val="732E26DE"/>
    <w:rsid w:val="742F6255"/>
    <w:rsid w:val="743106D8"/>
    <w:rsid w:val="763B41A3"/>
    <w:rsid w:val="778F35D7"/>
    <w:rsid w:val="78014865"/>
    <w:rsid w:val="7871654C"/>
    <w:rsid w:val="79FE23DF"/>
    <w:rsid w:val="7B3F4865"/>
    <w:rsid w:val="7BB65DCF"/>
    <w:rsid w:val="7FBD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2"/>
      <w:ind w:left="112"/>
    </w:pPr>
    <w:rPr>
      <w:sz w:val="28"/>
      <w:szCs w:val="28"/>
    </w:rPr>
  </w:style>
  <w:style w:type="paragraph" w:styleId="3">
    <w:name w:val="Salutation"/>
    <w:basedOn w:val="1"/>
    <w:next w:val="1"/>
    <w:semiHidden/>
    <w:unhideWhenUsed/>
    <w:qFormat/>
    <w:uiPriority w:val="99"/>
  </w:style>
  <w:style w:type="paragraph" w:styleId="4">
    <w:name w:val="Body Text Indent"/>
    <w:basedOn w:val="1"/>
    <w:qFormat/>
    <w:uiPriority w:val="99"/>
    <w:pPr>
      <w:spacing w:after="120"/>
      <w:ind w:left="420" w:leftChars="200"/>
    </w:p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pPr>
    <w:rPr>
      <w:sz w:val="18"/>
      <w:szCs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widowControl w:val="0"/>
      <w:kinsoku/>
      <w:autoSpaceDE/>
      <w:autoSpaceDN/>
      <w:adjustRightInd/>
      <w:snapToGrid/>
      <w:spacing w:beforeAutospacing="1" w:afterAutospacing="1"/>
      <w:textAlignment w:val="auto"/>
    </w:pPr>
    <w:rPr>
      <w:rFonts w:cs="Times New Roman" w:asciiTheme="minorHAnsi" w:hAnsiTheme="minorHAnsi" w:eastAsiaTheme="minorEastAsia"/>
      <w:snapToGrid/>
      <w:color w:val="auto"/>
      <w:sz w:val="24"/>
      <w:szCs w:val="24"/>
    </w:rPr>
  </w:style>
  <w:style w:type="paragraph" w:styleId="9">
    <w:name w:val="Body Text First Indent 2"/>
    <w:basedOn w:val="4"/>
    <w:qFormat/>
    <w:uiPriority w:val="99"/>
    <w:pPr>
      <w:ind w:firstLine="420" w:firstLineChars="200"/>
    </w:pPr>
  </w:style>
  <w:style w:type="character" w:styleId="12">
    <w:name w:val="Strong"/>
    <w:basedOn w:val="11"/>
    <w:qFormat/>
    <w:uiPriority w:val="99"/>
    <w:rPr>
      <w:rFonts w:cs="Times New Roman"/>
      <w:b/>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脚 Char"/>
    <w:basedOn w:val="11"/>
    <w:link w:val="6"/>
    <w:qFormat/>
    <w:uiPriority w:val="0"/>
    <w:rPr>
      <w:rFonts w:eastAsia="Arial"/>
      <w:snapToGrid w:val="0"/>
      <w:color w:val="000000"/>
      <w:sz w:val="18"/>
      <w:szCs w:val="18"/>
    </w:rPr>
  </w:style>
  <w:style w:type="paragraph" w:styleId="15">
    <w:name w:val="List Paragraph"/>
    <w:basedOn w:val="1"/>
    <w:unhideWhenUsed/>
    <w:qFormat/>
    <w:uiPriority w:val="99"/>
    <w:pPr>
      <w:ind w:firstLine="420" w:firstLineChars="200"/>
    </w:pPr>
  </w:style>
  <w:style w:type="character" w:customStyle="1" w:styleId="16">
    <w:name w:val="页眉 Char"/>
    <w:basedOn w:val="11"/>
    <w:link w:val="7"/>
    <w:qFormat/>
    <w:uiPriority w:val="99"/>
    <w:rPr>
      <w:rFonts w:eastAsia="Arial"/>
      <w:snapToGrid w:val="0"/>
      <w:color w:val="000000"/>
      <w:sz w:val="18"/>
      <w:szCs w:val="21"/>
    </w:rPr>
  </w:style>
  <w:style w:type="character" w:customStyle="1" w:styleId="17">
    <w:name w:val="批注框文本 Char"/>
    <w:basedOn w:val="11"/>
    <w:link w:val="5"/>
    <w:qFormat/>
    <w:uiPriority w:val="0"/>
    <w:rPr>
      <w:rFonts w:eastAsia="Arial"/>
      <w:snapToGrid w:val="0"/>
      <w:color w:val="000000"/>
      <w:sz w:val="18"/>
      <w:szCs w:val="18"/>
    </w:rPr>
  </w:style>
  <w:style w:type="character" w:customStyle="1" w:styleId="18">
    <w:name w:val="font21"/>
    <w:basedOn w:val="11"/>
    <w:qFormat/>
    <w:uiPriority w:val="0"/>
    <w:rPr>
      <w:rFonts w:hint="eastAsia" w:ascii="宋体" w:hAnsi="宋体" w:eastAsia="宋体" w:cs="宋体"/>
      <w:color w:val="000000"/>
      <w:sz w:val="22"/>
      <w:szCs w:val="22"/>
      <w:u w:val="none"/>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71"/>
    <w:basedOn w:val="11"/>
    <w:qFormat/>
    <w:uiPriority w:val="0"/>
    <w:rPr>
      <w:rFonts w:ascii="Dialog . plain" w:hAnsi="Dialog . plain" w:eastAsia="Dialog . plain" w:cs="Dialog . plain"/>
      <w:color w:val="000000"/>
      <w:sz w:val="22"/>
      <w:szCs w:val="22"/>
      <w:u w:val="none"/>
    </w:rPr>
  </w:style>
  <w:style w:type="character" w:customStyle="1" w:styleId="21">
    <w:name w:val="font81"/>
    <w:basedOn w:val="11"/>
    <w:qFormat/>
    <w:uiPriority w:val="0"/>
    <w:rPr>
      <w:rFonts w:ascii="Dialog . bold" w:hAnsi="Dialog . bold" w:eastAsia="Dialog . bold" w:cs="Dialog . bold"/>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9.emf"/><Relationship Id="rId35" Type="http://schemas.openxmlformats.org/officeDocument/2006/relationships/oleObject" Target="embeddings/oleObject9.bin"/><Relationship Id="rId34" Type="http://schemas.openxmlformats.org/officeDocument/2006/relationships/image" Target="media/image8.emf"/><Relationship Id="rId33" Type="http://schemas.openxmlformats.org/officeDocument/2006/relationships/oleObject" Target="embeddings/oleObject8.bin"/><Relationship Id="rId32" Type="http://schemas.openxmlformats.org/officeDocument/2006/relationships/image" Target="media/image7.emf"/><Relationship Id="rId31" Type="http://schemas.openxmlformats.org/officeDocument/2006/relationships/oleObject" Target="embeddings/oleObject7.bin"/><Relationship Id="rId30" Type="http://schemas.openxmlformats.org/officeDocument/2006/relationships/image" Target="media/image6.emf"/><Relationship Id="rId3" Type="http://schemas.openxmlformats.org/officeDocument/2006/relationships/footer" Target="footer1.xml"/><Relationship Id="rId29" Type="http://schemas.openxmlformats.org/officeDocument/2006/relationships/oleObject" Target="embeddings/oleObject6.bin"/><Relationship Id="rId28" Type="http://schemas.openxmlformats.org/officeDocument/2006/relationships/image" Target="media/image5.emf"/><Relationship Id="rId27" Type="http://schemas.openxmlformats.org/officeDocument/2006/relationships/oleObject" Target="embeddings/oleObject5.bin"/><Relationship Id="rId26" Type="http://schemas.openxmlformats.org/officeDocument/2006/relationships/image" Target="media/image4.emf"/><Relationship Id="rId25" Type="http://schemas.openxmlformats.org/officeDocument/2006/relationships/oleObject" Target="embeddings/oleObject4.bin"/><Relationship Id="rId24" Type="http://schemas.openxmlformats.org/officeDocument/2006/relationships/image" Target="media/image3.emf"/><Relationship Id="rId23" Type="http://schemas.openxmlformats.org/officeDocument/2006/relationships/oleObject" Target="embeddings/oleObject3.bin"/><Relationship Id="rId22" Type="http://schemas.openxmlformats.org/officeDocument/2006/relationships/image" Target="media/image2.emf"/><Relationship Id="rId21" Type="http://schemas.openxmlformats.org/officeDocument/2006/relationships/oleObject" Target="embeddings/oleObject2.bin"/><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80003-C55C-428C-B01A-2C9ECFB6D4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12167</Words>
  <Characters>12572</Characters>
  <Lines>111</Lines>
  <Paragraphs>31</Paragraphs>
  <TotalTime>5</TotalTime>
  <ScaleCrop>false</ScaleCrop>
  <LinksUpToDate>false</LinksUpToDate>
  <CharactersWithSpaces>12692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王晓倩</cp:lastModifiedBy>
  <dcterms:modified xsi:type="dcterms:W3CDTF">2024-06-05T07:25:16Z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2052-12.1.0.16929</vt:lpwstr>
  </property>
  <property fmtid="{D5CDD505-2E9C-101B-9397-08002B2CF9AE}" pid="5" name="ICV">
    <vt:lpwstr>A2035783FF3C4FA0BF0DD7081B909F8C_13</vt:lpwstr>
  </property>
</Properties>
</file>