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401" w:type="dxa"/>
        <w:jc w:val="center"/>
        <w:tblCellSpacing w:w="0" w:type="dxa"/>
        <w:tblLayout w:type="autofit"/>
        <w:tblCellMar>
          <w:top w:w="0" w:type="dxa"/>
          <w:left w:w="0" w:type="dxa"/>
          <w:bottom w:w="0" w:type="dxa"/>
          <w:right w:w="0" w:type="dxa"/>
        </w:tblCellMar>
      </w:tblPr>
      <w:tblGrid>
        <w:gridCol w:w="8401"/>
      </w:tblGrid>
      <w:tr>
        <w:tblPrEx>
          <w:tblCellMar>
            <w:top w:w="0" w:type="dxa"/>
            <w:left w:w="0" w:type="dxa"/>
            <w:bottom w:w="0" w:type="dxa"/>
            <w:right w:w="0" w:type="dxa"/>
          </w:tblCellMar>
        </w:tblPrEx>
        <w:trPr>
          <w:trHeight w:val="7500" w:hRule="atLeast"/>
          <w:tblCellSpacing w:w="0" w:type="dxa"/>
          <w:jc w:val="center"/>
        </w:trPr>
        <w:tc>
          <w:tcPr>
            <w:tcW w:w="8401" w:type="dxa"/>
            <w:tcMar>
              <w:top w:w="150" w:type="dxa"/>
              <w:left w:w="0" w:type="dxa"/>
              <w:bottom w:w="0" w:type="dxa"/>
              <w:right w:w="0" w:type="dxa"/>
            </w:tcMar>
          </w:tcPr>
          <w:p>
            <w:pPr>
              <w:widowControl/>
              <w:spacing w:line="480" w:lineRule="atLeast"/>
              <w:jc w:val="center"/>
              <w:rPr>
                <w:rFonts w:ascii="仿宋_GB2312" w:hAnsi="宋体" w:eastAsia="仿宋_GB2312" w:cs="宋体"/>
                <w:b/>
                <w:color w:val="000000" w:themeColor="text1"/>
                <w:kern w:val="0"/>
                <w:sz w:val="36"/>
                <w:szCs w:val="36"/>
              </w:rPr>
            </w:pPr>
            <w:r>
              <w:rPr>
                <w:rFonts w:hint="eastAsia" w:ascii="仿宋_GB2312" w:hAnsi="宋体" w:eastAsia="仿宋_GB2312" w:cs="宋体"/>
                <w:b/>
                <w:color w:val="000000" w:themeColor="text1"/>
                <w:kern w:val="0"/>
                <w:sz w:val="36"/>
                <w:szCs w:val="36"/>
              </w:rPr>
              <w:t>巴中市巴州区环境卫生事务中心</w:t>
            </w:r>
          </w:p>
          <w:p>
            <w:pPr>
              <w:spacing w:line="600" w:lineRule="auto"/>
              <w:ind w:firstLine="705"/>
              <w:rPr>
                <w:rFonts w:hint="eastAsia" w:ascii="仿宋_GB2312" w:hAnsi="宋体" w:eastAsia="仿宋_GB2312" w:cs="宋体"/>
                <w:b/>
                <w:color w:val="000000" w:themeColor="text1"/>
                <w:kern w:val="0"/>
                <w:sz w:val="36"/>
                <w:szCs w:val="36"/>
                <w:lang w:eastAsia="zh-CN"/>
              </w:rPr>
            </w:pPr>
            <w:r>
              <w:rPr>
                <w:rFonts w:hint="eastAsia" w:ascii="仿宋_GB2312" w:hAnsi="宋体" w:eastAsia="仿宋_GB2312" w:cs="宋体"/>
                <w:b/>
                <w:color w:val="000000" w:themeColor="text1"/>
                <w:kern w:val="0"/>
                <w:sz w:val="36"/>
                <w:szCs w:val="36"/>
              </w:rPr>
              <w:t>　　　 202</w:t>
            </w:r>
            <w:r>
              <w:rPr>
                <w:rFonts w:hint="default" w:ascii="仿宋_GB2312" w:hAnsi="宋体" w:eastAsia="仿宋_GB2312" w:cs="宋体"/>
                <w:b/>
                <w:color w:val="000000" w:themeColor="text1"/>
                <w:kern w:val="0"/>
                <w:sz w:val="36"/>
                <w:szCs w:val="36"/>
                <w:lang w:val="en-US" w:eastAsia="zh-CN"/>
              </w:rPr>
              <w:t>4</w:t>
            </w:r>
            <w:r>
              <w:rPr>
                <w:rFonts w:hint="eastAsia" w:ascii="仿宋_GB2312" w:hAnsi="宋体" w:eastAsia="仿宋_GB2312" w:cs="宋体"/>
                <w:b/>
                <w:color w:val="000000" w:themeColor="text1"/>
                <w:kern w:val="0"/>
                <w:sz w:val="36"/>
                <w:szCs w:val="36"/>
              </w:rPr>
              <w:t>年部门预算编制说明</w:t>
            </w:r>
          </w:p>
          <w:p>
            <w:pPr>
              <w:spacing w:line="600" w:lineRule="auto"/>
              <w:ind w:firstLine="705"/>
              <w:rPr>
                <w:rFonts w:hint="eastAsia" w:ascii="仿宋_GB2312" w:hAnsi="宋体" w:eastAsia="仿宋_GB2312" w:cs="宋体"/>
                <w:b/>
                <w:color w:val="000000" w:themeColor="text1"/>
                <w:kern w:val="0"/>
                <w:sz w:val="36"/>
                <w:szCs w:val="36"/>
                <w:lang w:eastAsia="zh-CN"/>
              </w:rPr>
            </w:pPr>
          </w:p>
          <w:p>
            <w:pPr>
              <w:spacing w:line="600" w:lineRule="auto"/>
              <w:ind w:firstLine="705"/>
              <w:rPr>
                <w:rFonts w:hint="eastAsia" w:ascii="仿宋_GB2312" w:hAnsi="黑体" w:eastAsia="仿宋_GB2312" w:cs="宋体"/>
                <w:b/>
                <w:color w:val="000000" w:themeColor="text1"/>
                <w:kern w:val="0"/>
                <w:sz w:val="36"/>
                <w:szCs w:val="36"/>
                <w:lang w:eastAsia="zh-CN"/>
              </w:rPr>
            </w:pPr>
            <w:r>
              <w:rPr>
                <w:rFonts w:hint="eastAsia" w:ascii="仿宋_GB2312" w:hAnsi="黑体" w:eastAsia="仿宋_GB2312" w:cs="宋体"/>
                <w:b/>
                <w:color w:val="000000" w:themeColor="text1"/>
                <w:kern w:val="0"/>
                <w:sz w:val="36"/>
                <w:szCs w:val="36"/>
              </w:rPr>
              <w:t>　　一、基本职能及主要工作</w:t>
            </w:r>
          </w:p>
          <w:p>
            <w:pPr>
              <w:spacing w:line="600" w:lineRule="auto"/>
              <w:ind w:firstLine="705"/>
              <w:rPr>
                <w:rFonts w:hint="eastAsia" w:ascii="仿宋_GB2312" w:hAnsi="仿宋" w:eastAsia="仿宋_GB2312" w:cs="仿宋"/>
                <w:sz w:val="30"/>
                <w:szCs w:val="30"/>
                <w:lang w:eastAsia="zh-CN"/>
              </w:rPr>
            </w:pPr>
            <w:r>
              <w:rPr>
                <w:rFonts w:hint="eastAsia" w:ascii="仿宋_GB2312" w:hAnsi="宋体" w:eastAsia="仿宋_GB2312" w:cs="宋体"/>
                <w:color w:val="000000" w:themeColor="text1"/>
                <w:kern w:val="0"/>
                <w:sz w:val="30"/>
                <w:szCs w:val="30"/>
              </w:rPr>
              <w:t>　　　1</w:t>
            </w:r>
            <w:r>
              <w:rPr>
                <w:rFonts w:hint="eastAsia" w:ascii="仿宋_GB2312" w:hAnsi="仿宋" w:eastAsia="仿宋_GB2312" w:cs="仿宋"/>
                <w:color w:val="000000" w:themeColor="text1"/>
                <w:kern w:val="0"/>
                <w:sz w:val="30"/>
                <w:szCs w:val="30"/>
              </w:rPr>
              <w:t xml:space="preserve">. </w:t>
            </w:r>
            <w:r>
              <w:rPr>
                <w:rFonts w:hint="eastAsia" w:ascii="仿宋_GB2312" w:hAnsi="仿宋" w:eastAsia="仿宋_GB2312" w:cs="仿宋"/>
                <w:b/>
                <w:sz w:val="30"/>
                <w:szCs w:val="30"/>
              </w:rPr>
              <w:t>强化清扫保洁力度:</w:t>
            </w:r>
            <w:r>
              <w:rPr>
                <w:rFonts w:hint="eastAsia" w:ascii="仿宋_GB2312" w:hAnsi="仿宋" w:eastAsia="仿宋_GB2312" w:cs="仿宋"/>
                <w:sz w:val="30"/>
                <w:szCs w:val="30"/>
              </w:rPr>
              <w:t>实行划段定人、轮班作业、延时服务，保洁时间至晚上11：00，合理增加保洁人员投入和环卫专用作业车辆出勤频次，对责任区域内背街小巷的卫生死角进行及时清理。</w:t>
            </w:r>
          </w:p>
          <w:p>
            <w:pPr>
              <w:spacing w:line="600" w:lineRule="auto"/>
              <w:ind w:firstLine="705"/>
              <w:rPr>
                <w:rFonts w:ascii="仿宋_GB2312" w:hAnsi="仿宋" w:eastAsia="仿宋_GB2312" w:cs="仿宋"/>
                <w:sz w:val="30"/>
                <w:szCs w:val="30"/>
              </w:rPr>
            </w:pPr>
            <w:r>
              <w:rPr>
                <w:rFonts w:hint="eastAsia" w:ascii="仿宋_GB2312" w:hAnsi="宋体" w:eastAsia="仿宋_GB2312" w:cs="宋体"/>
                <w:color w:val="000000" w:themeColor="text1"/>
                <w:kern w:val="0"/>
                <w:sz w:val="30"/>
                <w:szCs w:val="30"/>
              </w:rPr>
              <w:t>　　</w:t>
            </w:r>
            <w:r>
              <w:rPr>
                <w:rFonts w:hint="eastAsia" w:ascii="仿宋_GB2312" w:hAnsi="仿宋" w:eastAsia="仿宋_GB2312" w:cs="仿宋"/>
                <w:b/>
                <w:sz w:val="30"/>
                <w:szCs w:val="30"/>
              </w:rPr>
              <w:t>2、提升巴城洒水降尘成效：</w:t>
            </w:r>
            <w:r>
              <w:rPr>
                <w:rFonts w:hint="eastAsia" w:ascii="仿宋_GB2312" w:hAnsi="仿宋" w:eastAsia="仿宋_GB2312" w:cs="仿宋"/>
                <w:sz w:val="30"/>
                <w:szCs w:val="30"/>
              </w:rPr>
              <w:t>每天早上5点至9点进行大规模机械化清扫，上午9点至晚9点分区域、分时段进行洒水、冲洗作业，晚上9点至11点对城区道路、人行道、广场、桥梁等进行大规模清（冲）洗，有效改善了城市环境卫生面貌和空气质量。</w:t>
            </w:r>
          </w:p>
          <w:p>
            <w:pPr>
              <w:spacing w:line="600" w:lineRule="auto"/>
              <w:rPr>
                <w:rFonts w:ascii="仿宋_GB2312" w:hAnsi="仿宋" w:eastAsia="仿宋_GB2312" w:cs="仿宋"/>
                <w:sz w:val="30"/>
                <w:szCs w:val="30"/>
              </w:rPr>
            </w:pPr>
            <w:r>
              <w:rPr>
                <w:rFonts w:hint="eastAsia" w:ascii="仿宋_GB2312" w:hAnsi="仿宋" w:eastAsia="仿宋_GB2312" w:cs="仿宋"/>
                <w:b/>
                <w:sz w:val="30"/>
                <w:szCs w:val="30"/>
              </w:rPr>
              <w:t xml:space="preserve">    3、加强环卫公益设施运营管理：</w:t>
            </w:r>
            <w:r>
              <w:rPr>
                <w:rFonts w:hint="eastAsia" w:ascii="仿宋_GB2312" w:hAnsi="仿宋" w:eastAsia="仿宋_GB2312" w:cs="仿宋"/>
                <w:sz w:val="30"/>
                <w:szCs w:val="30"/>
              </w:rPr>
              <w:t>定期对巴城环卫垃圾桶、果皮箱、环卫车辆、公厕和垃圾转运站等环卫公益设施进行清洗、消杀、检修，切实保障其正常使用。</w:t>
            </w:r>
          </w:p>
          <w:p>
            <w:pPr>
              <w:spacing w:line="600" w:lineRule="auto"/>
              <w:rPr>
                <w:rFonts w:ascii="仿宋_GB2312" w:hAnsi="仿宋" w:eastAsia="仿宋_GB2312" w:cs="仿宋"/>
                <w:sz w:val="30"/>
                <w:szCs w:val="30"/>
              </w:rPr>
            </w:pPr>
            <w:r>
              <w:rPr>
                <w:rFonts w:hint="eastAsia" w:ascii="仿宋_GB2312" w:hAnsi="Times New Roman" w:eastAsia="仿宋_GB2312" w:cs="Times New Roman"/>
                <w:b/>
                <w:sz w:val="30"/>
                <w:szCs w:val="30"/>
              </w:rPr>
              <w:t xml:space="preserve">   </w:t>
            </w:r>
            <w:r>
              <w:rPr>
                <w:rFonts w:hint="eastAsia" w:ascii="仿宋_GB2312" w:hAnsi="仿宋" w:eastAsia="仿宋_GB2312" w:cs="仿宋"/>
                <w:b/>
                <w:sz w:val="30"/>
                <w:szCs w:val="30"/>
              </w:rPr>
              <w:t>4、</w:t>
            </w:r>
            <w:r>
              <w:rPr>
                <w:rFonts w:hint="eastAsia" w:ascii="仿宋_GB2312" w:hAnsi="仿宋" w:eastAsia="仿宋_GB2312" w:cs="仿宋"/>
                <w:b/>
                <w:spacing w:val="-2"/>
                <w:sz w:val="30"/>
                <w:szCs w:val="30"/>
              </w:rPr>
              <w:t>及时清运生活垃圾</w:t>
            </w:r>
            <w:r>
              <w:rPr>
                <w:rFonts w:hint="eastAsia" w:ascii="仿宋_GB2312" w:hAnsi="宋体" w:eastAsia="仿宋_GB2312" w:cs="宋体"/>
                <w:b/>
                <w:spacing w:val="-2"/>
                <w:sz w:val="30"/>
                <w:szCs w:val="30"/>
              </w:rPr>
              <w:t>：</w:t>
            </w:r>
            <w:r>
              <w:rPr>
                <w:rFonts w:hint="eastAsia" w:ascii="仿宋_GB2312" w:hAnsi="仿宋" w:eastAsia="仿宋_GB2312" w:cs="仿宋"/>
                <w:sz w:val="30"/>
                <w:szCs w:val="30"/>
              </w:rPr>
              <w:t>实行“定人、定车、定路线”工作模式，对城区各经营场所、临街商铺、居民小区产生的生活垃圾进行定点和上门收运，保障巴城日均450吨左右生活垃圾随产随清（运）。</w:t>
            </w:r>
          </w:p>
          <w:p>
            <w:pPr>
              <w:spacing w:line="600" w:lineRule="auto"/>
              <w:rPr>
                <w:rFonts w:ascii="仿宋_GB2312" w:hAnsi="宋体" w:eastAsia="仿宋_GB2312" w:cs="宋体"/>
                <w:color w:val="000000"/>
                <w:sz w:val="30"/>
                <w:szCs w:val="30"/>
              </w:rPr>
            </w:pPr>
            <w:r>
              <w:rPr>
                <w:rFonts w:hint="eastAsia" w:ascii="仿宋_GB2312" w:hAnsi="宋体" w:eastAsia="仿宋_GB2312" w:cs="宋体"/>
                <w:sz w:val="30"/>
                <w:szCs w:val="30"/>
              </w:rPr>
              <w:t xml:space="preserve">  </w:t>
            </w:r>
            <w:r>
              <w:rPr>
                <w:rFonts w:hint="eastAsia" w:ascii="仿宋_GB2312" w:hAnsi="仿宋" w:eastAsia="仿宋_GB2312" w:cs="仿宋"/>
                <w:sz w:val="30"/>
                <w:szCs w:val="30"/>
              </w:rPr>
              <w:t xml:space="preserve"> </w:t>
            </w:r>
            <w:r>
              <w:rPr>
                <w:rFonts w:hint="eastAsia" w:ascii="仿宋_GB2312" w:hAnsi="仿宋" w:eastAsia="仿宋_GB2312" w:cs="仿宋"/>
                <w:b/>
                <w:sz w:val="30"/>
                <w:szCs w:val="30"/>
              </w:rPr>
              <w:t>5、是加大环卫监察执法力度：</w:t>
            </w:r>
            <w:r>
              <w:rPr>
                <w:rFonts w:hint="eastAsia" w:ascii="仿宋_GB2312" w:hAnsi="仿宋" w:eastAsia="仿宋_GB2312" w:cs="仿宋"/>
                <w:color w:val="000000"/>
                <w:sz w:val="30"/>
                <w:szCs w:val="30"/>
              </w:rPr>
              <w:t>配合城市管理部门和各办事处</w:t>
            </w:r>
            <w:r>
              <w:rPr>
                <w:rFonts w:hint="eastAsia" w:ascii="仿宋_GB2312" w:hAnsi="仿宋" w:eastAsia="仿宋_GB2312" w:cs="仿宋"/>
                <w:sz w:val="30"/>
                <w:szCs w:val="30"/>
              </w:rPr>
              <w:t>开展城市管理工作，</w:t>
            </w:r>
            <w:r>
              <w:rPr>
                <w:rFonts w:hint="eastAsia" w:ascii="仿宋_GB2312" w:hAnsi="仿宋" w:eastAsia="仿宋_GB2312" w:cs="仿宋"/>
                <w:color w:val="000000"/>
                <w:sz w:val="30"/>
                <w:szCs w:val="30"/>
              </w:rPr>
              <w:t>规范各经营场所业主和市民违规倾倒垃圾行为。有效提升了市民文明、卫生意识</w:t>
            </w:r>
            <w:r>
              <w:rPr>
                <w:rFonts w:hint="eastAsia" w:ascii="仿宋_GB2312" w:hAnsi="宋体" w:eastAsia="仿宋_GB2312" w:cs="宋体"/>
                <w:color w:val="000000"/>
                <w:sz w:val="30"/>
                <w:szCs w:val="30"/>
              </w:rPr>
              <w:t>。</w:t>
            </w:r>
          </w:p>
          <w:p>
            <w:pPr>
              <w:widowControl/>
              <w:spacing w:line="480" w:lineRule="atLeast"/>
              <w:jc w:val="center"/>
              <w:rPr>
                <w:rFonts w:ascii="仿宋_GB2312" w:hAnsi="仿宋" w:eastAsia="仿宋_GB2312" w:cs="仿宋"/>
                <w:bCs/>
                <w:spacing w:val="-2"/>
                <w:sz w:val="30"/>
                <w:szCs w:val="30"/>
              </w:rPr>
            </w:pPr>
            <w:r>
              <w:rPr>
                <w:rFonts w:hint="eastAsia" w:ascii="仿宋_GB2312" w:hAnsi="宋体" w:eastAsia="仿宋_GB2312" w:cs="宋体"/>
                <w:color w:val="000000"/>
                <w:sz w:val="30"/>
                <w:szCs w:val="30"/>
              </w:rPr>
              <w:t xml:space="preserve">   </w:t>
            </w:r>
            <w:r>
              <w:rPr>
                <w:rFonts w:hint="eastAsia" w:ascii="仿宋_GB2312" w:hAnsi="仿宋" w:eastAsia="仿宋_GB2312" w:cs="仿宋"/>
                <w:b/>
                <w:color w:val="000000"/>
                <w:sz w:val="30"/>
                <w:szCs w:val="30"/>
              </w:rPr>
              <w:t>6、加强</w:t>
            </w:r>
            <w:r>
              <w:rPr>
                <w:rFonts w:hint="eastAsia" w:ascii="仿宋_GB2312" w:hAnsi="仿宋" w:eastAsia="仿宋_GB2312" w:cs="仿宋"/>
                <w:b/>
                <w:spacing w:val="-2"/>
                <w:sz w:val="30"/>
                <w:szCs w:val="30"/>
              </w:rPr>
              <w:t>环卫费征收：</w:t>
            </w:r>
            <w:r>
              <w:rPr>
                <w:rFonts w:hint="eastAsia" w:ascii="仿宋_GB2312" w:hAnsi="仿宋" w:eastAsia="仿宋_GB2312" w:cs="仿宋"/>
                <w:bCs/>
                <w:spacing w:val="-2"/>
                <w:sz w:val="30"/>
                <w:szCs w:val="30"/>
              </w:rPr>
              <w:t>坚持自收与代收相，对城市规划区内党政企事业单位、经营场所、建筑工地等收取环境卫生服务费。</w:t>
            </w:r>
          </w:p>
          <w:p>
            <w:pPr>
              <w:widowControl/>
              <w:spacing w:line="480" w:lineRule="atLeast"/>
              <w:ind w:firstLine="542" w:firstLineChars="150"/>
              <w:rPr>
                <w:rFonts w:ascii="仿宋_GB2312" w:hAnsi="宋体" w:eastAsia="仿宋_GB2312" w:cs="宋体"/>
                <w:b/>
                <w:color w:val="000000" w:themeColor="text1"/>
                <w:kern w:val="0"/>
                <w:sz w:val="36"/>
                <w:szCs w:val="36"/>
              </w:rPr>
            </w:pPr>
            <w:r>
              <w:rPr>
                <w:rFonts w:hint="eastAsia" w:ascii="仿宋_GB2312" w:hAnsi="黑体" w:eastAsia="仿宋_GB2312" w:cs="宋体"/>
                <w:b/>
                <w:color w:val="000000" w:themeColor="text1"/>
                <w:kern w:val="0"/>
                <w:sz w:val="36"/>
                <w:szCs w:val="36"/>
              </w:rPr>
              <w:t>二、部门预算单位构成</w:t>
            </w:r>
          </w:p>
          <w:p>
            <w:pPr>
              <w:widowControl/>
              <w:spacing w:line="480" w:lineRule="atLeast"/>
              <w:jc w:val="center"/>
              <w:rPr>
                <w:rFonts w:ascii="仿宋_GB2312" w:hAnsi="仿宋" w:eastAsia="仿宋_GB2312" w:cs="仿宋"/>
                <w:color w:val="000000" w:themeColor="text1"/>
                <w:kern w:val="0"/>
                <w:sz w:val="30"/>
                <w:szCs w:val="30"/>
              </w:rPr>
            </w:pPr>
            <w:r>
              <w:rPr>
                <w:rFonts w:hint="eastAsia" w:ascii="仿宋_GB2312" w:hAnsi="宋体" w:eastAsia="仿宋_GB2312" w:cs="宋体"/>
                <w:color w:val="000000" w:themeColor="text1"/>
                <w:kern w:val="0"/>
                <w:sz w:val="30"/>
                <w:szCs w:val="30"/>
              </w:rPr>
              <w:t>巴州区环境卫生事务中心</w:t>
            </w:r>
            <w:r>
              <w:rPr>
                <w:rFonts w:hint="eastAsia" w:ascii="仿宋_GB2312" w:hAnsi="仿宋" w:eastAsia="仿宋_GB2312" w:cs="仿宋"/>
                <w:color w:val="000000" w:themeColor="text1"/>
                <w:kern w:val="0"/>
                <w:sz w:val="30"/>
                <w:szCs w:val="30"/>
              </w:rPr>
              <w:t>是巴中市巴州区住房和建设局直属单位</w:t>
            </w:r>
          </w:p>
          <w:p>
            <w:pPr>
              <w:widowControl/>
              <w:spacing w:line="480" w:lineRule="atLeast"/>
              <w:ind w:firstLine="542" w:firstLineChars="150"/>
              <w:rPr>
                <w:rFonts w:hint="eastAsia" w:ascii="仿宋_GB2312" w:hAnsi="黑体" w:eastAsia="仿宋_GB2312" w:cs="宋体"/>
                <w:b/>
                <w:color w:val="000000" w:themeColor="text1"/>
                <w:kern w:val="0"/>
                <w:sz w:val="36"/>
                <w:szCs w:val="36"/>
                <w:lang w:eastAsia="zh-CN"/>
              </w:rPr>
            </w:pPr>
            <w:r>
              <w:rPr>
                <w:rFonts w:hint="eastAsia" w:ascii="仿宋_GB2312" w:hAnsi="黑体" w:eastAsia="仿宋_GB2312" w:cs="宋体"/>
                <w:b/>
                <w:color w:val="000000" w:themeColor="text1"/>
                <w:kern w:val="0"/>
                <w:sz w:val="36"/>
                <w:szCs w:val="36"/>
              </w:rPr>
              <w:t>三、收支预算情况说明</w:t>
            </w:r>
          </w:p>
          <w:p>
            <w:pPr>
              <w:widowControl/>
              <w:spacing w:line="480" w:lineRule="atLeast"/>
              <w:ind w:firstLine="450" w:firstLineChars="150"/>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　　按照综合预算的原则，巴中市巴州区环境卫生事务中心所有收入和支出均纳入部门预算管理。收入包括：一般公共预算拨款收入、上年结转；支出包括：（一般公共服务支出、教育支出）、社会保障和就业支出、医疗卫生与计划生育支出、住房保障支出。</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巴州区环境卫生事务中心202</w:t>
            </w:r>
            <w:r>
              <w:rPr>
                <w:rFonts w:hint="default"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年收</w:t>
            </w:r>
            <w:r>
              <w:rPr>
                <w:rFonts w:hint="eastAsia" w:ascii="仿宋_GB2312" w:hAnsi="宋体" w:eastAsia="仿宋_GB2312" w:cs="宋体"/>
                <w:color w:val="000000" w:themeColor="text1"/>
                <w:kern w:val="0"/>
                <w:sz w:val="30"/>
                <w:szCs w:val="30"/>
                <w:lang w:eastAsia="zh-CN"/>
              </w:rPr>
              <w:t>入</w:t>
            </w:r>
            <w:r>
              <w:rPr>
                <w:rFonts w:hint="eastAsia" w:ascii="仿宋_GB2312" w:hAnsi="宋体" w:eastAsia="仿宋_GB2312" w:cs="宋体"/>
                <w:color w:val="000000" w:themeColor="text1"/>
                <w:kern w:val="0"/>
                <w:sz w:val="30"/>
                <w:szCs w:val="30"/>
              </w:rPr>
              <w:t>总预算</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万元。</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（一）收入预算情况</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color w:val="000000" w:themeColor="text1"/>
                <w:kern w:val="0"/>
                <w:sz w:val="30"/>
                <w:szCs w:val="30"/>
                <w:lang w:eastAsia="zh-CN"/>
              </w:rPr>
              <w:t>巴州区环境卫生事务中心</w:t>
            </w:r>
            <w:r>
              <w:rPr>
                <w:rFonts w:hint="eastAsia" w:ascii="仿宋_GB2312" w:hAnsi="宋体" w:eastAsia="仿宋_GB2312" w:cs="宋体"/>
                <w:color w:val="000000" w:themeColor="text1"/>
                <w:kern w:val="0"/>
                <w:sz w:val="30"/>
                <w:szCs w:val="30"/>
              </w:rPr>
              <w:t>20</w:t>
            </w:r>
            <w:r>
              <w:rPr>
                <w:rFonts w:hint="eastAsia" w:ascii="仿宋_GB2312" w:hAnsi="宋体" w:eastAsia="仿宋_GB2312" w:cs="宋体"/>
                <w:color w:val="000000" w:themeColor="text1"/>
                <w:kern w:val="0"/>
                <w:sz w:val="30"/>
                <w:szCs w:val="30"/>
                <w:lang w:val="en-US" w:eastAsia="zh-CN"/>
              </w:rPr>
              <w:t>24</w:t>
            </w:r>
            <w:r>
              <w:rPr>
                <w:rFonts w:hint="eastAsia" w:ascii="仿宋_GB2312" w:hAnsi="宋体" w:eastAsia="仿宋_GB2312" w:cs="宋体"/>
                <w:color w:val="000000" w:themeColor="text1"/>
                <w:kern w:val="0"/>
                <w:sz w:val="30"/>
                <w:szCs w:val="30"/>
              </w:rPr>
              <w:t xml:space="preserve">年收入预算 </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万元，其中：上年结转</w:t>
            </w:r>
            <w:r>
              <w:rPr>
                <w:rFonts w:hint="eastAsia" w:ascii="仿宋_GB2312" w:hAnsi="宋体" w:eastAsia="仿宋_GB2312" w:cs="宋体"/>
                <w:color w:val="000000" w:themeColor="text1"/>
                <w:kern w:val="0"/>
                <w:sz w:val="30"/>
                <w:szCs w:val="30"/>
                <w:lang w:val="en-US" w:eastAsia="zh-CN"/>
              </w:rPr>
              <w:t>167</w:t>
            </w:r>
            <w:r>
              <w:rPr>
                <w:rFonts w:hint="eastAsia" w:ascii="仿宋_GB2312" w:hAnsi="宋体" w:eastAsia="仿宋_GB2312" w:cs="宋体"/>
                <w:color w:val="000000" w:themeColor="text1"/>
                <w:kern w:val="0"/>
                <w:sz w:val="30"/>
                <w:szCs w:val="30"/>
              </w:rPr>
              <w:t>万元，占</w:t>
            </w:r>
            <w:r>
              <w:rPr>
                <w:rFonts w:hint="eastAsia" w:ascii="仿宋_GB2312" w:hAnsi="宋体" w:eastAsia="仿宋_GB2312" w:cs="宋体"/>
                <w:color w:val="000000" w:themeColor="text1"/>
                <w:kern w:val="0"/>
                <w:sz w:val="30"/>
                <w:szCs w:val="30"/>
                <w:lang w:val="en-US" w:eastAsia="zh-CN"/>
              </w:rPr>
              <w:t>2.5</w:t>
            </w:r>
            <w:r>
              <w:rPr>
                <w:rFonts w:hint="eastAsia" w:ascii="仿宋_GB2312" w:hAnsi="宋体" w:eastAsia="仿宋_GB2312" w:cs="宋体"/>
                <w:color w:val="000000" w:themeColor="text1"/>
                <w:kern w:val="0"/>
                <w:sz w:val="30"/>
                <w:szCs w:val="30"/>
              </w:rPr>
              <w:t>%；一般公共预算拨款收入</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万元，占</w:t>
            </w:r>
            <w:r>
              <w:rPr>
                <w:rFonts w:hint="eastAsia" w:ascii="仿宋_GB2312" w:hAnsi="宋体" w:eastAsia="仿宋_GB2312" w:cs="宋体"/>
                <w:color w:val="000000" w:themeColor="text1"/>
                <w:kern w:val="0"/>
                <w:sz w:val="30"/>
                <w:szCs w:val="30"/>
                <w:lang w:val="en-US" w:eastAsia="zh-CN"/>
              </w:rPr>
              <w:t>97.5</w:t>
            </w:r>
            <w:r>
              <w:rPr>
                <w:rFonts w:hint="eastAsia" w:ascii="仿宋_GB2312" w:hAnsi="宋体" w:eastAsia="仿宋_GB2312" w:cs="宋体"/>
                <w:color w:val="000000" w:themeColor="text1"/>
                <w:kern w:val="0"/>
                <w:sz w:val="30"/>
                <w:szCs w:val="30"/>
              </w:rPr>
              <w:t>%。</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（二）支出预算情况</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巴中市巴州区环境卫生事务中心202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年支出预算</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万元，其中：　收入包括：本年一般公共预算拨款收入</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万元；支出包括：（一般公共服务支出</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万元、教育支出0 万元）、社会保障和就业支出</w:t>
            </w:r>
            <w:r>
              <w:rPr>
                <w:rFonts w:hint="eastAsia" w:ascii="仿宋_GB2312" w:hAnsi="宋体" w:eastAsia="仿宋_GB2312" w:cs="宋体"/>
                <w:color w:val="000000" w:themeColor="text1"/>
                <w:kern w:val="0"/>
                <w:sz w:val="30"/>
                <w:szCs w:val="30"/>
                <w:lang w:val="en-US" w:eastAsia="zh-CN"/>
              </w:rPr>
              <w:t>116.52</w:t>
            </w:r>
            <w:r>
              <w:rPr>
                <w:rFonts w:hint="eastAsia" w:ascii="仿宋_GB2312" w:hAnsi="宋体" w:eastAsia="仿宋_GB2312" w:cs="宋体"/>
                <w:color w:val="000000" w:themeColor="text1"/>
                <w:kern w:val="0"/>
                <w:sz w:val="30"/>
                <w:szCs w:val="30"/>
              </w:rPr>
              <w:t>万元、医疗卫生与计划生育支出</w:t>
            </w:r>
            <w:r>
              <w:rPr>
                <w:rFonts w:hint="eastAsia" w:ascii="仿宋_GB2312" w:hAnsi="宋体" w:eastAsia="仿宋_GB2312" w:cs="宋体"/>
                <w:color w:val="000000" w:themeColor="text1"/>
                <w:kern w:val="0"/>
                <w:sz w:val="30"/>
                <w:szCs w:val="30"/>
                <w:lang w:val="en-US" w:eastAsia="zh-CN"/>
              </w:rPr>
              <w:t>59.01</w:t>
            </w:r>
            <w:r>
              <w:rPr>
                <w:rFonts w:hint="eastAsia" w:ascii="仿宋_GB2312" w:hAnsi="宋体" w:eastAsia="仿宋_GB2312" w:cs="宋体"/>
                <w:color w:val="000000" w:themeColor="text1"/>
                <w:kern w:val="0"/>
                <w:sz w:val="30"/>
                <w:szCs w:val="30"/>
              </w:rPr>
              <w:t>万元、住房保障支出</w:t>
            </w:r>
            <w:r>
              <w:rPr>
                <w:rFonts w:hint="eastAsia" w:ascii="仿宋_GB2312" w:hAnsi="宋体" w:eastAsia="仿宋_GB2312" w:cs="宋体"/>
                <w:color w:val="000000" w:themeColor="text1"/>
                <w:kern w:val="0"/>
                <w:sz w:val="30"/>
                <w:szCs w:val="30"/>
                <w:lang w:val="en-US" w:eastAsia="zh-CN"/>
              </w:rPr>
              <w:t>96.06</w:t>
            </w:r>
            <w:r>
              <w:rPr>
                <w:rFonts w:hint="eastAsia" w:ascii="仿宋_GB2312" w:hAnsi="宋体" w:eastAsia="仿宋_GB2312" w:cs="宋体"/>
                <w:color w:val="000000" w:themeColor="text1"/>
                <w:kern w:val="0"/>
                <w:sz w:val="30"/>
                <w:szCs w:val="30"/>
              </w:rPr>
              <w:t>万元。</w:t>
            </w:r>
          </w:p>
          <w:p>
            <w:pPr>
              <w:widowControl/>
              <w:spacing w:line="480" w:lineRule="atLeast"/>
              <w:rPr>
                <w:rFonts w:hint="eastAsia" w:ascii="仿宋_GB2312" w:hAnsi="黑体" w:eastAsia="仿宋_GB2312" w:cs="宋体"/>
                <w:b/>
                <w:color w:val="000000" w:themeColor="text1"/>
                <w:kern w:val="0"/>
                <w:sz w:val="36"/>
                <w:szCs w:val="36"/>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color w:val="000000" w:themeColor="text1"/>
                <w:kern w:val="0"/>
                <w:sz w:val="36"/>
                <w:szCs w:val="36"/>
              </w:rPr>
              <w:t>　</w:t>
            </w:r>
            <w:r>
              <w:rPr>
                <w:rFonts w:hint="eastAsia" w:ascii="仿宋_GB2312" w:hAnsi="黑体" w:eastAsia="仿宋_GB2312" w:cs="宋体"/>
                <w:b/>
                <w:color w:val="000000" w:themeColor="text1"/>
                <w:kern w:val="0"/>
                <w:sz w:val="36"/>
                <w:szCs w:val="36"/>
              </w:rPr>
              <w:t>四、一般公共预算当年拨款情况说明</w:t>
            </w:r>
          </w:p>
          <w:p>
            <w:pPr>
              <w:widowControl/>
              <w:spacing w:line="480" w:lineRule="atLeast"/>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（一）一般公共预算当年拨款规模变化情况</w:t>
            </w:r>
          </w:p>
          <w:p>
            <w:pPr>
              <w:widowControl/>
              <w:spacing w:line="480" w:lineRule="atLeast"/>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　　巴中市巴州区环境卫生事务中心202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年一般公共预算当年拨款</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w:t>
            </w:r>
            <w:r>
              <w:rPr>
                <w:rFonts w:hint="eastAsia" w:ascii="仿宋_GB2312" w:hAnsi="宋体" w:eastAsia="仿宋_GB2312" w:cs="宋体"/>
                <w:color w:val="000000" w:themeColor="text1"/>
                <w:kern w:val="0"/>
                <w:sz w:val="30"/>
                <w:szCs w:val="30"/>
                <w:lang w:eastAsia="zh-CN"/>
              </w:rPr>
              <w:t>上年结转</w:t>
            </w:r>
            <w:r>
              <w:rPr>
                <w:rFonts w:hint="eastAsia" w:ascii="仿宋_GB2312" w:hAnsi="宋体" w:eastAsia="仿宋_GB2312" w:cs="宋体"/>
                <w:color w:val="000000" w:themeColor="text1"/>
                <w:kern w:val="0"/>
                <w:sz w:val="30"/>
                <w:szCs w:val="30"/>
                <w:lang w:val="en-US" w:eastAsia="zh-CN"/>
              </w:rPr>
              <w:t>167万元，</w:t>
            </w:r>
            <w:r>
              <w:rPr>
                <w:rFonts w:hint="eastAsia" w:ascii="仿宋_GB2312" w:hAnsi="宋体" w:eastAsia="仿宋_GB2312" w:cs="宋体"/>
                <w:color w:val="000000" w:themeColor="text1"/>
                <w:kern w:val="0"/>
                <w:sz w:val="30"/>
                <w:szCs w:val="30"/>
              </w:rPr>
              <w:t>比20</w:t>
            </w:r>
            <w:r>
              <w:rPr>
                <w:rFonts w:hint="eastAsia" w:ascii="仿宋_GB2312" w:hAnsi="宋体" w:eastAsia="仿宋_GB2312" w:cs="宋体"/>
                <w:color w:val="000000" w:themeColor="text1"/>
                <w:kern w:val="0"/>
                <w:sz w:val="30"/>
                <w:szCs w:val="30"/>
                <w:lang w:val="en-US" w:eastAsia="zh-CN"/>
              </w:rPr>
              <w:t>22</w:t>
            </w:r>
            <w:r>
              <w:rPr>
                <w:rFonts w:hint="eastAsia" w:ascii="仿宋_GB2312" w:hAnsi="宋体" w:eastAsia="仿宋_GB2312" w:cs="宋体"/>
                <w:color w:val="000000" w:themeColor="text1"/>
                <w:kern w:val="0"/>
                <w:sz w:val="30"/>
                <w:szCs w:val="30"/>
              </w:rPr>
              <w:t>年预算</w:t>
            </w:r>
            <w:r>
              <w:rPr>
                <w:rFonts w:hint="eastAsia" w:ascii="仿宋_GB2312" w:hAnsi="宋体" w:eastAsia="仿宋_GB2312" w:cs="宋体"/>
                <w:color w:val="000000" w:themeColor="text1"/>
                <w:kern w:val="0"/>
                <w:sz w:val="30"/>
                <w:szCs w:val="30"/>
                <w:lang w:eastAsia="zh-CN"/>
              </w:rPr>
              <w:t>数减少了</w:t>
            </w:r>
            <w:r>
              <w:rPr>
                <w:rFonts w:hint="eastAsia" w:ascii="仿宋_GB2312" w:hAnsi="宋体" w:eastAsia="仿宋_GB2312" w:cs="宋体"/>
                <w:color w:val="000000" w:themeColor="text1"/>
                <w:kern w:val="0"/>
                <w:sz w:val="30"/>
                <w:szCs w:val="30"/>
                <w:lang w:val="en-US" w:eastAsia="zh-CN"/>
              </w:rPr>
              <w:t>2738.9947</w:t>
            </w:r>
            <w:r>
              <w:rPr>
                <w:rFonts w:hint="eastAsia" w:ascii="仿宋_GB2312" w:hAnsi="宋体" w:eastAsia="仿宋_GB2312" w:cs="宋体"/>
                <w:color w:val="000000" w:themeColor="text1"/>
                <w:kern w:val="0"/>
                <w:sz w:val="30"/>
                <w:szCs w:val="30"/>
              </w:rPr>
              <w:t>万元。</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（二）一般公共预算当年拨款结构情况</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年支出</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万元，基本支</w:t>
            </w:r>
            <w:r>
              <w:rPr>
                <w:rFonts w:hint="eastAsia" w:ascii="仿宋_GB2312" w:hAnsi="宋体" w:eastAsia="仿宋_GB2312" w:cs="宋体"/>
                <w:color w:val="000000" w:themeColor="text1"/>
                <w:kern w:val="0"/>
                <w:sz w:val="30"/>
                <w:szCs w:val="30"/>
                <w:lang w:val="en-US" w:eastAsia="zh-CN"/>
              </w:rPr>
              <w:t>5776.54</w:t>
            </w:r>
            <w:r>
              <w:rPr>
                <w:rFonts w:hint="eastAsia" w:ascii="仿宋_GB2312" w:hAnsi="宋体" w:eastAsia="仿宋_GB2312" w:cs="宋体"/>
                <w:color w:val="000000" w:themeColor="text1"/>
                <w:kern w:val="0"/>
                <w:sz w:val="30"/>
                <w:szCs w:val="30"/>
              </w:rPr>
              <w:t xml:space="preserve"> 万元，占 </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 xml:space="preserve"> %；项目支出</w:t>
            </w:r>
            <w:r>
              <w:rPr>
                <w:rFonts w:hint="eastAsia" w:ascii="仿宋_GB2312" w:hAnsi="宋体" w:eastAsia="仿宋_GB2312" w:cs="宋体"/>
                <w:color w:val="000000" w:themeColor="text1"/>
                <w:kern w:val="0"/>
                <w:sz w:val="30"/>
                <w:szCs w:val="30"/>
                <w:lang w:val="en-US" w:eastAsia="zh-CN"/>
              </w:rPr>
              <w:t>677</w:t>
            </w:r>
            <w:r>
              <w:rPr>
                <w:rFonts w:hint="eastAsia" w:ascii="仿宋_GB2312" w:hAnsi="宋体" w:eastAsia="仿宋_GB2312" w:cs="宋体"/>
                <w:color w:val="000000" w:themeColor="text1"/>
                <w:kern w:val="0"/>
                <w:sz w:val="30"/>
                <w:szCs w:val="30"/>
              </w:rPr>
              <w:t xml:space="preserve">万元，占 </w:t>
            </w:r>
            <w:r>
              <w:rPr>
                <w:rFonts w:hint="eastAsia" w:ascii="仿宋_GB2312" w:hAnsi="宋体" w:eastAsia="仿宋_GB2312" w:cs="宋体"/>
                <w:color w:val="000000" w:themeColor="text1"/>
                <w:kern w:val="0"/>
                <w:sz w:val="30"/>
                <w:szCs w:val="30"/>
                <w:lang w:val="en-US" w:eastAsia="zh-CN"/>
              </w:rPr>
              <w:t>10</w:t>
            </w:r>
            <w:r>
              <w:rPr>
                <w:rFonts w:hint="eastAsia" w:ascii="仿宋_GB2312" w:hAnsi="宋体" w:eastAsia="仿宋_GB2312" w:cs="宋体"/>
                <w:color w:val="000000" w:themeColor="text1"/>
                <w:kern w:val="0"/>
                <w:sz w:val="30"/>
                <w:szCs w:val="30"/>
              </w:rPr>
              <w:t>%。</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（三）一般公共预算当年拨款具体使用情况</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1.</w:t>
            </w:r>
            <w:r>
              <w:rPr>
                <w:rFonts w:hint="eastAsia" w:ascii="仿宋_GB2312" w:hAnsi="宋体" w:eastAsia="仿宋_GB2312" w:cs="宋体"/>
                <w:color w:val="000000" w:themeColor="text1"/>
                <w:kern w:val="0"/>
                <w:sz w:val="30"/>
                <w:szCs w:val="30"/>
              </w:rPr>
              <w:t>城乡环境卫生支出</w:t>
            </w:r>
            <w:r>
              <w:rPr>
                <w:rFonts w:hint="eastAsia" w:ascii="仿宋_GB2312" w:hAnsi="宋体" w:eastAsia="仿宋_GB2312" w:cs="宋体"/>
                <w:b/>
                <w:bCs/>
                <w:color w:val="000000" w:themeColor="text1"/>
                <w:kern w:val="0"/>
                <w:sz w:val="30"/>
                <w:szCs w:val="30"/>
              </w:rPr>
              <w:t>:</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年预算数为</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万元，主要用于：机关及所属单位正常运转的基本支出，包括基本工资、津贴补贴等人员经费为：</w:t>
            </w:r>
            <w:r>
              <w:rPr>
                <w:rFonts w:hint="eastAsia" w:ascii="仿宋_GB2312" w:hAnsi="宋体" w:eastAsia="仿宋_GB2312" w:cs="宋体"/>
                <w:color w:val="000000" w:themeColor="text1"/>
                <w:kern w:val="0"/>
                <w:sz w:val="30"/>
                <w:szCs w:val="30"/>
                <w:lang w:val="en-US" w:eastAsia="zh-CN"/>
              </w:rPr>
              <w:t>55500.22</w:t>
            </w:r>
            <w:r>
              <w:rPr>
                <w:rFonts w:hint="eastAsia" w:ascii="仿宋_GB2312" w:hAnsi="宋体" w:eastAsia="仿宋_GB2312" w:cs="宋体"/>
                <w:color w:val="000000" w:themeColor="text1"/>
                <w:kern w:val="0"/>
                <w:sz w:val="30"/>
                <w:szCs w:val="30"/>
              </w:rPr>
              <w:t>万元，以及办公费、印刷费、水电费等日常公用经费为</w:t>
            </w:r>
            <w:r>
              <w:rPr>
                <w:rFonts w:hint="eastAsia" w:ascii="仿宋_GB2312" w:hAnsi="宋体" w:eastAsia="仿宋_GB2312" w:cs="宋体"/>
                <w:color w:val="000000" w:themeColor="text1"/>
                <w:kern w:val="0"/>
                <w:sz w:val="30"/>
                <w:szCs w:val="30"/>
                <w:lang w:val="en-US" w:eastAsia="zh-CN"/>
              </w:rPr>
              <w:t>181.67</w:t>
            </w:r>
            <w:r>
              <w:rPr>
                <w:rFonts w:hint="eastAsia" w:ascii="仿宋_GB2312" w:hAnsi="宋体" w:eastAsia="仿宋_GB2312" w:cs="宋体"/>
                <w:color w:val="000000" w:themeColor="text1"/>
                <w:kern w:val="0"/>
                <w:sz w:val="30"/>
                <w:szCs w:val="30"/>
              </w:rPr>
              <w:t>万元。项目支出</w:t>
            </w:r>
            <w:r>
              <w:rPr>
                <w:rFonts w:hint="eastAsia" w:ascii="仿宋_GB2312" w:hAnsi="宋体" w:eastAsia="仿宋_GB2312" w:cs="宋体"/>
                <w:color w:val="000000" w:themeColor="text1"/>
                <w:kern w:val="0"/>
                <w:sz w:val="30"/>
                <w:szCs w:val="30"/>
                <w:lang w:val="en-US" w:eastAsia="zh-CN"/>
              </w:rPr>
              <w:t>677</w:t>
            </w:r>
            <w:r>
              <w:rPr>
                <w:rFonts w:hint="eastAsia" w:ascii="仿宋_GB2312" w:hAnsi="宋体" w:eastAsia="仿宋_GB2312" w:cs="宋体"/>
                <w:color w:val="000000" w:themeColor="text1"/>
                <w:kern w:val="0"/>
                <w:sz w:val="30"/>
                <w:szCs w:val="30"/>
              </w:rPr>
              <w:t>万元。</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2.</w:t>
            </w:r>
            <w:r>
              <w:rPr>
                <w:rFonts w:hint="eastAsia" w:ascii="仿宋_GB2312" w:hAnsi="宋体" w:eastAsia="仿宋_GB2312" w:cs="宋体"/>
                <w:color w:val="000000" w:themeColor="text1"/>
                <w:kern w:val="0"/>
                <w:sz w:val="30"/>
                <w:szCs w:val="30"/>
              </w:rPr>
              <w:t xml:space="preserve"> 城乡环境卫生支出</w:t>
            </w:r>
            <w:r>
              <w:rPr>
                <w:rFonts w:hint="eastAsia" w:ascii="仿宋_GB2312" w:hAnsi="宋体" w:eastAsia="仿宋_GB2312" w:cs="宋体"/>
                <w:b/>
                <w:bCs/>
                <w:color w:val="000000" w:themeColor="text1"/>
                <w:kern w:val="0"/>
                <w:sz w:val="30"/>
                <w:szCs w:val="30"/>
              </w:rPr>
              <w:t>:</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 xml:space="preserve">年预算数为 </w:t>
            </w:r>
            <w:r>
              <w:rPr>
                <w:rFonts w:hint="eastAsia" w:ascii="仿宋_GB2312" w:hAnsi="宋体" w:eastAsia="仿宋_GB2312" w:cs="宋体"/>
                <w:color w:val="000000" w:themeColor="text1"/>
                <w:kern w:val="0"/>
                <w:sz w:val="30"/>
                <w:szCs w:val="30"/>
                <w:lang w:val="en-US" w:eastAsia="zh-CN"/>
              </w:rPr>
              <w:t>6453.54</w:t>
            </w:r>
            <w:r>
              <w:rPr>
                <w:rFonts w:hint="eastAsia" w:ascii="仿宋_GB2312" w:hAnsi="宋体" w:eastAsia="仿宋_GB2312" w:cs="宋体"/>
                <w:color w:val="000000" w:themeColor="text1"/>
                <w:kern w:val="0"/>
                <w:sz w:val="30"/>
                <w:szCs w:val="30"/>
              </w:rPr>
              <w:t xml:space="preserve">万元， </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3.社会保障和就业（类）行政事业单位离退休（款）机关事业单位基本养老保险缴费支出（项）:</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年预算数为</w:t>
            </w:r>
            <w:r>
              <w:rPr>
                <w:rFonts w:hint="eastAsia" w:ascii="仿宋_GB2312" w:hAnsi="宋体" w:eastAsia="仿宋_GB2312" w:cs="宋体"/>
                <w:color w:val="000000" w:themeColor="text1"/>
                <w:kern w:val="0"/>
                <w:sz w:val="30"/>
                <w:szCs w:val="30"/>
                <w:lang w:val="en-US" w:eastAsia="zh-CN"/>
              </w:rPr>
              <w:t>116.52</w:t>
            </w:r>
            <w:r>
              <w:rPr>
                <w:rFonts w:hint="eastAsia" w:ascii="仿宋_GB2312" w:hAnsi="宋体" w:eastAsia="仿宋_GB2312" w:cs="宋体"/>
                <w:color w:val="000000" w:themeColor="text1"/>
                <w:kern w:val="0"/>
                <w:sz w:val="30"/>
                <w:szCs w:val="30"/>
              </w:rPr>
              <w:t>万元，主要用于：实施养老保险制度后，部门按规定由单位缴纳的基本养老保险费支出。</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4.医疗卫生与计划生育（类）行政事业单位医疗（款）行政单位医疗（项）:</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年预算数为万元，主要用于： 机关及参公管理事业单位基本医疗保险缴费支出。</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5.医疗卫生与计划生育（类）行政事业单位医疗（款）事业单位医疗（项）:</w:t>
            </w:r>
            <w:r>
              <w:rPr>
                <w:rFonts w:hint="eastAsia" w:ascii="仿宋_GB2312" w:hAnsi="宋体" w:eastAsia="仿宋_GB2312" w:cs="宋体"/>
                <w:color w:val="000000" w:themeColor="text1"/>
                <w:kern w:val="0"/>
                <w:sz w:val="30"/>
                <w:szCs w:val="30"/>
              </w:rPr>
              <w:t>20</w:t>
            </w:r>
            <w:r>
              <w:rPr>
                <w:rFonts w:hint="eastAsia" w:ascii="仿宋_GB2312" w:hAnsi="宋体" w:eastAsia="仿宋_GB2312" w:cs="宋体"/>
                <w:color w:val="000000" w:themeColor="text1"/>
                <w:kern w:val="0"/>
                <w:sz w:val="30"/>
                <w:szCs w:val="30"/>
                <w:lang w:val="en-US" w:eastAsia="zh-CN"/>
              </w:rPr>
              <w:t>24</w:t>
            </w:r>
            <w:r>
              <w:rPr>
                <w:rFonts w:hint="eastAsia" w:ascii="仿宋_GB2312" w:hAnsi="宋体" w:eastAsia="仿宋_GB2312" w:cs="宋体"/>
                <w:color w:val="000000" w:themeColor="text1"/>
                <w:kern w:val="0"/>
                <w:sz w:val="30"/>
                <w:szCs w:val="30"/>
              </w:rPr>
              <w:t>年预算数为</w:t>
            </w:r>
            <w:r>
              <w:rPr>
                <w:rFonts w:hint="eastAsia" w:ascii="仿宋_GB2312" w:hAnsi="宋体" w:eastAsia="仿宋_GB2312" w:cs="宋体"/>
                <w:color w:val="000000" w:themeColor="text1"/>
                <w:kern w:val="0"/>
                <w:sz w:val="30"/>
                <w:szCs w:val="30"/>
                <w:lang w:val="en-US" w:eastAsia="zh-CN"/>
              </w:rPr>
              <w:t>59.01</w:t>
            </w:r>
            <w:r>
              <w:rPr>
                <w:rFonts w:hint="eastAsia" w:ascii="仿宋_GB2312" w:hAnsi="宋体" w:eastAsia="仿宋_GB2312" w:cs="宋体"/>
                <w:color w:val="000000" w:themeColor="text1"/>
                <w:kern w:val="0"/>
                <w:sz w:val="30"/>
                <w:szCs w:val="30"/>
              </w:rPr>
              <w:t>万元，主要用于：部门下属事业单位基本医疗保险缴费支出。</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6.医疗卫生与计划生育（类）行政事业单位医疗（款）公务员医疗补助（项）:</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年预算数为 万元，主要用于：厅机关及所属事业单位集中缴纳公务员医疗补助支出。</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宋体" w:eastAsia="仿宋_GB2312" w:cs="宋体"/>
                <w:b/>
                <w:bCs/>
                <w:color w:val="000000" w:themeColor="text1"/>
                <w:kern w:val="0"/>
                <w:sz w:val="30"/>
                <w:szCs w:val="30"/>
              </w:rPr>
              <w:t>7.住房保障（类）住房改革支出（款）住房公积金（项）:</w:t>
            </w:r>
            <w:r>
              <w:rPr>
                <w:rFonts w:hint="eastAsia" w:ascii="仿宋_GB2312" w:hAnsi="宋体" w:eastAsia="仿宋_GB2312" w:cs="宋体"/>
                <w:color w:val="000000" w:themeColor="text1"/>
                <w:kern w:val="0"/>
                <w:sz w:val="30"/>
                <w:szCs w:val="30"/>
              </w:rPr>
              <w:t>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年预算数</w:t>
            </w:r>
            <w:r>
              <w:rPr>
                <w:rFonts w:hint="eastAsia" w:ascii="仿宋_GB2312" w:hAnsi="宋体" w:eastAsia="仿宋_GB2312" w:cs="宋体"/>
                <w:color w:val="000000" w:themeColor="text1"/>
                <w:kern w:val="0"/>
                <w:sz w:val="30"/>
                <w:szCs w:val="30"/>
                <w:lang w:val="en-US" w:eastAsia="zh-CN"/>
              </w:rPr>
              <w:t>96.06</w:t>
            </w:r>
            <w:r>
              <w:rPr>
                <w:rFonts w:hint="eastAsia" w:ascii="仿宋_GB2312" w:hAnsi="宋体" w:eastAsia="仿宋_GB2312" w:cs="宋体"/>
                <w:color w:val="000000" w:themeColor="text1"/>
                <w:kern w:val="0"/>
                <w:sz w:val="30"/>
                <w:szCs w:val="30"/>
              </w:rPr>
              <w:t xml:space="preserve">万元，主要用于：部门按人力资源和社会保障部、财政部规定的基本工资和津贴补贴以及规定比例为职工缴纳的住房公积金支出。 </w:t>
            </w:r>
          </w:p>
          <w:p>
            <w:pPr>
              <w:widowControl/>
              <w:spacing w:line="480" w:lineRule="atLeast"/>
              <w:ind w:firstLine="585"/>
              <w:rPr>
                <w:rFonts w:hint="eastAsia" w:ascii="仿宋_GB2312" w:hAnsi="黑体" w:eastAsia="仿宋_GB2312" w:cs="宋体"/>
                <w:b/>
                <w:color w:val="000000" w:themeColor="text1"/>
                <w:kern w:val="0"/>
                <w:sz w:val="36"/>
                <w:szCs w:val="36"/>
                <w:lang w:eastAsia="zh-CN"/>
              </w:rPr>
            </w:pPr>
            <w:r>
              <w:rPr>
                <w:rFonts w:hint="eastAsia" w:ascii="仿宋_GB2312" w:hAnsi="宋体" w:eastAsia="仿宋_GB2312" w:cs="宋体"/>
                <w:b/>
                <w:color w:val="000000" w:themeColor="text1"/>
                <w:kern w:val="0"/>
                <w:sz w:val="36"/>
                <w:szCs w:val="36"/>
              </w:rPr>
              <w:t>　　</w:t>
            </w:r>
            <w:r>
              <w:rPr>
                <w:rFonts w:hint="eastAsia" w:ascii="仿宋_GB2312" w:hAnsi="黑体" w:eastAsia="仿宋_GB2312" w:cs="宋体"/>
                <w:b/>
                <w:color w:val="000000" w:themeColor="text1"/>
                <w:kern w:val="0"/>
                <w:sz w:val="36"/>
                <w:szCs w:val="36"/>
              </w:rPr>
              <w:t>五、一般公共预算基本支出情况说明</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巴中市巴州区环境卫生事务中心202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年一般公共预算基本支出</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万元，其中：</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人员经费</w:t>
            </w:r>
            <w:r>
              <w:rPr>
                <w:rFonts w:hint="eastAsia" w:ascii="仿宋_GB2312" w:hAnsi="宋体" w:eastAsia="仿宋_GB2312" w:cs="宋体"/>
                <w:color w:val="000000" w:themeColor="text1"/>
                <w:kern w:val="0"/>
                <w:sz w:val="30"/>
                <w:szCs w:val="30"/>
                <w:lang w:val="en-US" w:eastAsia="zh-CN"/>
              </w:rPr>
              <w:t>5500.22</w:t>
            </w:r>
            <w:r>
              <w:rPr>
                <w:rFonts w:hint="eastAsia" w:ascii="仿宋_GB2312" w:hAnsi="宋体" w:eastAsia="仿宋_GB2312" w:cs="宋体"/>
                <w:color w:val="000000" w:themeColor="text1"/>
                <w:kern w:val="0"/>
                <w:sz w:val="30"/>
                <w:szCs w:val="30"/>
              </w:rPr>
              <w:t>万元，主要包括：基本工资、津贴补贴、奖金、社会保险缴费、绩效工资、机关事业单位基本养老保险缴费、职业年金缴费、其他工资福利支出、离休费、住房公积金、其他对个人和家庭的补助支出。</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公用经费</w:t>
            </w:r>
            <w:r>
              <w:rPr>
                <w:rFonts w:hint="eastAsia" w:ascii="仿宋_GB2312" w:hAnsi="宋体" w:eastAsia="仿宋_GB2312" w:cs="宋体"/>
                <w:color w:val="000000" w:themeColor="text1"/>
                <w:kern w:val="0"/>
                <w:sz w:val="30"/>
                <w:szCs w:val="30"/>
                <w:lang w:val="en-US" w:eastAsia="zh-CN"/>
              </w:rPr>
              <w:t>181.67</w:t>
            </w:r>
            <w:r>
              <w:rPr>
                <w:rFonts w:hint="eastAsia" w:ascii="仿宋_GB2312" w:hAnsi="宋体" w:eastAsia="仿宋_GB2312" w:cs="宋体"/>
                <w:color w:val="000000" w:themeColor="text1"/>
                <w:kern w:val="0"/>
                <w:sz w:val="30"/>
                <w:szCs w:val="30"/>
              </w:rPr>
              <w:t>万元，主要包括：办公费、印刷费、手续费、水费、电费、邮电费、差旅费、维修（护）费、会议费、培训费、劳务费、工会经费、福利费、其他交通费、其他商品和服务支出。</w:t>
            </w:r>
          </w:p>
          <w:p>
            <w:pPr>
              <w:widowControl/>
              <w:spacing w:line="480" w:lineRule="atLeast"/>
              <w:ind w:firstLine="585"/>
              <w:rPr>
                <w:rFonts w:hint="eastAsia" w:ascii="仿宋_GB2312" w:hAnsi="黑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黑体" w:eastAsia="仿宋_GB2312" w:cs="宋体"/>
                <w:color w:val="000000" w:themeColor="text1"/>
                <w:kern w:val="0"/>
                <w:sz w:val="30"/>
                <w:szCs w:val="30"/>
              </w:rPr>
              <w:t>七、“三公”经费财政拨款预算安排情况说明</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巴中市巴州区环境卫生事务中心202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 xml:space="preserve">年“三公”经费财政拨款预算数 </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万元，其中：因公出国（境）经费0 万元，公务接待费</w:t>
            </w:r>
            <w:r>
              <w:rPr>
                <w:rFonts w:hint="eastAsia" w:ascii="仿宋_GB2312" w:hAnsi="宋体" w:eastAsia="仿宋_GB2312" w:cs="宋体"/>
                <w:color w:val="000000" w:themeColor="text1"/>
                <w:kern w:val="0"/>
                <w:sz w:val="30"/>
                <w:szCs w:val="30"/>
                <w:lang w:val="en-US" w:eastAsia="zh-CN"/>
              </w:rPr>
              <w:t>0</w:t>
            </w:r>
            <w:r>
              <w:rPr>
                <w:rFonts w:hint="eastAsia" w:ascii="仿宋_GB2312" w:hAnsi="宋体" w:eastAsia="仿宋_GB2312" w:cs="宋体"/>
                <w:color w:val="000000" w:themeColor="text1"/>
                <w:kern w:val="0"/>
                <w:sz w:val="30"/>
                <w:szCs w:val="30"/>
              </w:rPr>
              <w:t xml:space="preserve"> 万元，公务用车购置及运行维护费</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万元。</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（一）因公出国（境）经费较20</w:t>
            </w:r>
            <w:r>
              <w:rPr>
                <w:rFonts w:hint="eastAsia" w:ascii="仿宋_GB2312" w:hAnsi="宋体" w:eastAsia="仿宋_GB2312" w:cs="宋体"/>
                <w:color w:val="000000" w:themeColor="text1"/>
                <w:kern w:val="0"/>
                <w:sz w:val="30"/>
                <w:szCs w:val="30"/>
                <w:lang w:val="en-US" w:eastAsia="zh-CN"/>
              </w:rPr>
              <w:t>23</w:t>
            </w:r>
            <w:r>
              <w:rPr>
                <w:rFonts w:hint="eastAsia" w:ascii="仿宋_GB2312" w:hAnsi="宋体" w:eastAsia="仿宋_GB2312" w:cs="宋体"/>
                <w:color w:val="000000" w:themeColor="text1"/>
                <w:kern w:val="0"/>
                <w:sz w:val="30"/>
                <w:szCs w:val="30"/>
              </w:rPr>
              <w:t>年预算增长0 %。</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xml:space="preserve">　  </w:t>
            </w:r>
            <w:r>
              <w:rPr>
                <w:rFonts w:hint="eastAsia" w:ascii="仿宋_GB2312" w:hAnsi="宋体" w:eastAsia="仿宋_GB2312" w:cs="宋体"/>
                <w:color w:val="000000" w:themeColor="text1"/>
                <w:kern w:val="0"/>
                <w:sz w:val="30"/>
                <w:szCs w:val="30"/>
                <w:lang w:eastAsia="zh-CN"/>
              </w:rPr>
              <w:t>（</w:t>
            </w:r>
            <w:r>
              <w:rPr>
                <w:rFonts w:hint="eastAsia" w:ascii="仿宋_GB2312" w:hAnsi="宋体" w:eastAsia="仿宋_GB2312" w:cs="宋体"/>
                <w:color w:val="000000" w:themeColor="text1"/>
                <w:kern w:val="0"/>
                <w:sz w:val="30"/>
                <w:szCs w:val="30"/>
              </w:rPr>
              <w:t>二）公务接待预算较与202</w:t>
            </w:r>
            <w:r>
              <w:rPr>
                <w:rFonts w:hint="eastAsia" w:ascii="仿宋_GB2312" w:hAnsi="宋体" w:eastAsia="仿宋_GB2312" w:cs="宋体"/>
                <w:color w:val="000000" w:themeColor="text1"/>
                <w:kern w:val="0"/>
                <w:sz w:val="30"/>
                <w:szCs w:val="30"/>
                <w:lang w:val="en-US" w:eastAsia="zh-CN"/>
              </w:rPr>
              <w:t>3</w:t>
            </w:r>
            <w:r>
              <w:rPr>
                <w:rFonts w:hint="eastAsia" w:ascii="仿宋_GB2312" w:hAnsi="宋体" w:eastAsia="仿宋_GB2312" w:cs="宋体"/>
                <w:color w:val="000000" w:themeColor="text1"/>
                <w:kern w:val="0"/>
                <w:sz w:val="30"/>
                <w:szCs w:val="30"/>
              </w:rPr>
              <w:t>年一样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年公务接待费计划用于执行公务、考察调研、检查指导等公务活动开支的交通费、住宿费、用餐费等。</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（三）公务用车购置及运行维护费较202</w:t>
            </w:r>
            <w:r>
              <w:rPr>
                <w:rFonts w:hint="eastAsia" w:ascii="仿宋_GB2312" w:hAnsi="宋体" w:eastAsia="仿宋_GB2312" w:cs="宋体"/>
                <w:color w:val="000000" w:themeColor="text1"/>
                <w:kern w:val="0"/>
                <w:sz w:val="30"/>
                <w:szCs w:val="30"/>
                <w:lang w:val="en-US" w:eastAsia="zh-CN"/>
              </w:rPr>
              <w:t>3</w:t>
            </w:r>
            <w:r>
              <w:rPr>
                <w:rFonts w:hint="eastAsia" w:ascii="仿宋_GB2312" w:hAnsi="宋体" w:eastAsia="仿宋_GB2312" w:cs="宋体"/>
                <w:color w:val="000000" w:themeColor="text1"/>
                <w:kern w:val="0"/>
                <w:sz w:val="30"/>
                <w:szCs w:val="30"/>
              </w:rPr>
              <w:t>年预算增长 0%。主要原因是根据工作实际需求增多、市场公车运行维护价格提升等因素。</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20</w:t>
            </w:r>
            <w:r>
              <w:rPr>
                <w:rFonts w:hint="eastAsia" w:ascii="仿宋_GB2312" w:hAnsi="宋体" w:eastAsia="仿宋_GB2312" w:cs="宋体"/>
                <w:color w:val="000000" w:themeColor="text1"/>
                <w:kern w:val="0"/>
                <w:sz w:val="30"/>
                <w:szCs w:val="30"/>
                <w:lang w:val="en-US" w:eastAsia="zh-CN"/>
              </w:rPr>
              <w:t>24</w:t>
            </w:r>
            <w:r>
              <w:rPr>
                <w:rFonts w:hint="eastAsia" w:ascii="仿宋_GB2312" w:hAnsi="宋体" w:eastAsia="仿宋_GB2312" w:cs="宋体"/>
                <w:color w:val="000000" w:themeColor="text1"/>
                <w:kern w:val="0"/>
                <w:sz w:val="30"/>
                <w:szCs w:val="30"/>
              </w:rPr>
              <w:t>年 安排公务用车购置费0元          。</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年安排公务用车运行维护费</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 xml:space="preserve">万元，用于 </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辆公务用车公务用车燃油、过路（桥）、维修、保险等方面支出，主要保障机关及下属单位  改革工作调研、脱贫攻坚等工作开展。</w:t>
            </w:r>
          </w:p>
          <w:p>
            <w:pPr>
              <w:widowControl/>
              <w:spacing w:line="480" w:lineRule="atLeast"/>
              <w:ind w:firstLine="585"/>
              <w:rPr>
                <w:rFonts w:hint="eastAsia" w:ascii="仿宋_GB2312" w:hAnsi="黑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黑体" w:eastAsia="仿宋_GB2312" w:cs="宋体"/>
                <w:color w:val="000000" w:themeColor="text1"/>
                <w:kern w:val="0"/>
                <w:sz w:val="30"/>
                <w:szCs w:val="30"/>
              </w:rPr>
              <w:t>八、政府性基金预算支出情况说明</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巴中市巴州区环境卫生事务中心202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年没有使用政府性基金预算拨款安排的支出。</w:t>
            </w:r>
          </w:p>
          <w:p>
            <w:pPr>
              <w:widowControl/>
              <w:spacing w:line="480" w:lineRule="atLeast"/>
              <w:ind w:firstLine="585"/>
              <w:rPr>
                <w:rFonts w:hint="eastAsia" w:ascii="仿宋_GB2312" w:hAnsi="黑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w:t>
            </w:r>
            <w:r>
              <w:rPr>
                <w:rFonts w:hint="eastAsia" w:ascii="仿宋_GB2312" w:hAnsi="黑体" w:eastAsia="仿宋_GB2312" w:cs="宋体"/>
                <w:color w:val="000000" w:themeColor="text1"/>
                <w:kern w:val="0"/>
                <w:sz w:val="30"/>
                <w:szCs w:val="30"/>
              </w:rPr>
              <w:t>九、其他重要事项的情况说明</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（一）机关运行经费</w:t>
            </w:r>
          </w:p>
          <w:p>
            <w:pPr>
              <w:widowControl/>
              <w:spacing w:line="480" w:lineRule="atLeast"/>
              <w:ind w:firstLine="585"/>
              <w:rPr>
                <w:rFonts w:ascii="仿宋_GB2312" w:hAnsi="宋体" w:eastAsia="仿宋_GB2312" w:cs="宋体"/>
                <w:color w:val="000000" w:themeColor="text1"/>
                <w:kern w:val="0"/>
                <w:sz w:val="30"/>
                <w:szCs w:val="30"/>
              </w:rPr>
            </w:pPr>
            <w:r>
              <w:rPr>
                <w:rFonts w:hint="eastAsia" w:ascii="仿宋_GB2312" w:hAnsi="宋体" w:eastAsia="仿宋_GB2312" w:cs="宋体"/>
                <w:color w:val="000000" w:themeColor="text1"/>
                <w:kern w:val="0"/>
                <w:sz w:val="30"/>
                <w:szCs w:val="30"/>
              </w:rPr>
              <w:t>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年巴中市巴州区环境卫生事务中心是</w:t>
            </w:r>
            <w:r>
              <w:rPr>
                <w:rFonts w:hint="eastAsia" w:ascii="仿宋_GB2312" w:hAnsi="仿宋" w:eastAsia="仿宋_GB2312" w:cs="仿宋"/>
                <w:color w:val="000000" w:themeColor="text1"/>
                <w:kern w:val="0"/>
                <w:sz w:val="30"/>
                <w:szCs w:val="30"/>
              </w:rPr>
              <w:t>巴中市巴州区住房和建设局下属单位</w:t>
            </w:r>
            <w:r>
              <w:rPr>
                <w:rFonts w:hint="eastAsia" w:ascii="仿宋_GB2312" w:hAnsi="宋体" w:eastAsia="仿宋_GB2312" w:cs="宋体"/>
                <w:color w:val="000000" w:themeColor="text1"/>
                <w:kern w:val="0"/>
                <w:sz w:val="30"/>
                <w:szCs w:val="30"/>
              </w:rPr>
              <w:t>。　</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（二）政府采购情况</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年，安排政府采购预算 0 万元，主要用于采购办公设备、信息化建设运行及维护等。</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（三）国有资产占有使用情况</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截至202</w:t>
            </w:r>
            <w:r>
              <w:rPr>
                <w:rFonts w:hint="eastAsia" w:ascii="仿宋_GB2312" w:hAnsi="宋体" w:eastAsia="仿宋_GB2312" w:cs="宋体"/>
                <w:color w:val="000000" w:themeColor="text1"/>
                <w:kern w:val="0"/>
                <w:sz w:val="30"/>
                <w:szCs w:val="30"/>
                <w:lang w:val="en-US" w:eastAsia="zh-CN"/>
              </w:rPr>
              <w:t>3</w:t>
            </w:r>
            <w:r>
              <w:rPr>
                <w:rFonts w:hint="eastAsia" w:ascii="仿宋_GB2312" w:hAnsi="宋体" w:eastAsia="仿宋_GB2312" w:cs="宋体"/>
                <w:color w:val="000000" w:themeColor="text1"/>
                <w:kern w:val="0"/>
                <w:sz w:val="30"/>
                <w:szCs w:val="30"/>
              </w:rPr>
              <w:t>年底，巴中市巴州区环境卫生事务中心所属各预算单位共有车辆</w:t>
            </w:r>
            <w:r>
              <w:rPr>
                <w:rFonts w:hint="eastAsia" w:ascii="仿宋_GB2312" w:hAnsi="宋体" w:eastAsia="仿宋_GB2312" w:cs="宋体"/>
                <w:color w:val="000000" w:themeColor="text1"/>
                <w:kern w:val="0"/>
                <w:sz w:val="30"/>
                <w:szCs w:val="30"/>
                <w:lang w:val="en-US" w:eastAsia="zh-CN"/>
              </w:rPr>
              <w:t>90</w:t>
            </w:r>
            <w:r>
              <w:rPr>
                <w:rFonts w:hint="eastAsia" w:ascii="仿宋_GB2312" w:hAnsi="宋体" w:eastAsia="仿宋_GB2312" w:cs="宋体"/>
                <w:color w:val="000000" w:themeColor="text1"/>
                <w:kern w:val="0"/>
                <w:sz w:val="30"/>
                <w:szCs w:val="30"/>
              </w:rPr>
              <w:t>辆，其中，定向保障用车2辆、</w:t>
            </w:r>
            <w:r>
              <w:rPr>
                <w:rFonts w:hint="eastAsia" w:ascii="仿宋_GB2312" w:hAnsi="宋体" w:eastAsia="仿宋_GB2312" w:cs="宋体"/>
                <w:color w:val="000000" w:themeColor="text1"/>
                <w:kern w:val="0"/>
                <w:sz w:val="30"/>
                <w:szCs w:val="30"/>
                <w:lang w:eastAsia="zh-CN"/>
              </w:rPr>
              <w:t>专用车辆</w:t>
            </w:r>
            <w:r>
              <w:rPr>
                <w:rFonts w:hint="eastAsia" w:ascii="仿宋_GB2312" w:hAnsi="宋体" w:eastAsia="仿宋_GB2312" w:cs="宋体"/>
                <w:color w:val="000000" w:themeColor="text1"/>
                <w:kern w:val="0"/>
                <w:sz w:val="30"/>
                <w:szCs w:val="30"/>
              </w:rPr>
              <w:t xml:space="preserve"> </w:t>
            </w:r>
            <w:r>
              <w:rPr>
                <w:rFonts w:hint="eastAsia" w:ascii="仿宋_GB2312" w:hAnsi="宋体" w:eastAsia="仿宋_GB2312" w:cs="宋体"/>
                <w:color w:val="000000" w:themeColor="text1"/>
                <w:kern w:val="0"/>
                <w:sz w:val="30"/>
                <w:szCs w:val="30"/>
                <w:lang w:val="en-US" w:eastAsia="zh-CN"/>
              </w:rPr>
              <w:t>88</w:t>
            </w:r>
            <w:r>
              <w:rPr>
                <w:rFonts w:hint="eastAsia" w:ascii="仿宋_GB2312" w:hAnsi="宋体" w:eastAsia="仿宋_GB2312" w:cs="宋体"/>
                <w:color w:val="000000" w:themeColor="text1"/>
                <w:kern w:val="0"/>
                <w:sz w:val="30"/>
                <w:szCs w:val="30"/>
              </w:rPr>
              <w:t xml:space="preserve"> 辆。</w:t>
            </w:r>
            <w:bookmarkStart w:id="0" w:name="_GoBack"/>
            <w:bookmarkEnd w:id="0"/>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（四）绩效目标设置情况</w:t>
            </w:r>
          </w:p>
          <w:p>
            <w:pPr>
              <w:widowControl/>
              <w:spacing w:line="480" w:lineRule="atLeast"/>
              <w:ind w:firstLine="585"/>
              <w:rPr>
                <w:rFonts w:hint="eastAsia" w:ascii="仿宋_GB2312" w:hAnsi="宋体" w:eastAsia="仿宋_GB2312" w:cs="宋体"/>
                <w:color w:val="000000" w:themeColor="text1"/>
                <w:kern w:val="0"/>
                <w:sz w:val="30"/>
                <w:szCs w:val="30"/>
                <w:lang w:eastAsia="zh-CN"/>
              </w:rPr>
            </w:pPr>
            <w:r>
              <w:rPr>
                <w:rFonts w:hint="eastAsia" w:ascii="仿宋_GB2312" w:hAnsi="宋体" w:eastAsia="仿宋_GB2312" w:cs="宋体"/>
                <w:color w:val="000000" w:themeColor="text1"/>
                <w:kern w:val="0"/>
                <w:sz w:val="30"/>
                <w:szCs w:val="30"/>
              </w:rPr>
              <w:t>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年财政厅部门通用项目和专用项目均按要求实行绩效目标管理，涉及一般公共预算当年拨款</w:t>
            </w:r>
            <w:r>
              <w:rPr>
                <w:rFonts w:hint="eastAsia" w:ascii="仿宋_GB2312" w:hAnsi="宋体" w:eastAsia="仿宋_GB2312" w:cs="宋体"/>
                <w:color w:val="000000" w:themeColor="text1"/>
                <w:kern w:val="0"/>
                <w:sz w:val="30"/>
                <w:szCs w:val="30"/>
                <w:lang w:val="en-US" w:eastAsia="zh-CN"/>
              </w:rPr>
              <w:t>6286.54</w:t>
            </w:r>
            <w:r>
              <w:rPr>
                <w:rFonts w:hint="eastAsia" w:ascii="仿宋_GB2312" w:hAnsi="宋体" w:eastAsia="仿宋_GB2312" w:cs="宋体"/>
                <w:color w:val="000000" w:themeColor="text1"/>
                <w:kern w:val="0"/>
                <w:sz w:val="30"/>
                <w:szCs w:val="30"/>
              </w:rPr>
              <w:t>万元。</w:t>
            </w:r>
          </w:p>
          <w:p>
            <w:pPr>
              <w:widowControl/>
              <w:spacing w:line="480" w:lineRule="atLeast"/>
              <w:ind w:firstLine="585"/>
              <w:rPr>
                <w:rFonts w:ascii="方正小标宋简体" w:hAnsi="宋体" w:eastAsia="方正小标宋简体" w:cs="宋体"/>
                <w:color w:val="000000" w:themeColor="text1"/>
                <w:kern w:val="0"/>
                <w:sz w:val="36"/>
                <w:szCs w:val="36"/>
              </w:rPr>
            </w:pPr>
            <w:r>
              <w:rPr>
                <w:rFonts w:hint="eastAsia" w:ascii="仿宋_GB2312" w:hAnsi="宋体" w:eastAsia="仿宋_GB2312" w:cs="宋体"/>
                <w:color w:val="000000" w:themeColor="text1"/>
                <w:kern w:val="0"/>
                <w:sz w:val="30"/>
                <w:szCs w:val="30"/>
              </w:rPr>
              <w:t>　　附件： 202</w:t>
            </w:r>
            <w:r>
              <w:rPr>
                <w:rFonts w:hint="eastAsia" w:ascii="仿宋_GB2312" w:hAnsi="宋体" w:eastAsia="仿宋_GB2312" w:cs="宋体"/>
                <w:color w:val="000000" w:themeColor="text1"/>
                <w:kern w:val="0"/>
                <w:sz w:val="30"/>
                <w:szCs w:val="30"/>
                <w:lang w:val="en-US" w:eastAsia="zh-CN"/>
              </w:rPr>
              <w:t>4</w:t>
            </w:r>
            <w:r>
              <w:rPr>
                <w:rFonts w:hint="eastAsia" w:ascii="仿宋_GB2312" w:hAnsi="宋体" w:eastAsia="仿宋_GB2312" w:cs="宋体"/>
                <w:color w:val="000000" w:themeColor="text1"/>
                <w:kern w:val="0"/>
                <w:sz w:val="30"/>
                <w:szCs w:val="30"/>
              </w:rPr>
              <w:t>年部门预算公开报表</w:t>
            </w:r>
          </w:p>
        </w:tc>
      </w:tr>
      <w:tr>
        <w:tblPrEx>
          <w:tblCellMar>
            <w:top w:w="0" w:type="dxa"/>
            <w:left w:w="0" w:type="dxa"/>
            <w:bottom w:w="0" w:type="dxa"/>
            <w:right w:w="0" w:type="dxa"/>
          </w:tblCellMar>
        </w:tblPrEx>
        <w:trPr>
          <w:tblCellSpacing w:w="0" w:type="dxa"/>
          <w:jc w:val="center"/>
        </w:trPr>
        <w:tc>
          <w:tcPr>
            <w:tcW w:w="8401" w:type="dxa"/>
            <w:vAlign w:val="center"/>
          </w:tcPr>
          <w:p>
            <w:pPr>
              <w:widowControl/>
              <w:wordWrap w:val="0"/>
              <w:spacing w:line="360" w:lineRule="auto"/>
              <w:jc w:val="center"/>
              <w:rPr>
                <w:rFonts w:ascii="仿宋_GB2312" w:hAnsi="宋体" w:eastAsia="仿宋_GB2312" w:cs="宋体"/>
                <w:color w:val="000000" w:themeColor="text1"/>
                <w:kern w:val="0"/>
                <w:sz w:val="30"/>
                <w:szCs w:val="30"/>
              </w:rPr>
            </w:pPr>
            <w:r>
              <w:rPr>
                <w:rFonts w:hint="eastAsia" w:ascii="宋体" w:hAnsi="宋体" w:eastAsia="仿宋_GB2312" w:cs="宋体"/>
                <w:color w:val="000000" w:themeColor="text1"/>
                <w:kern w:val="0"/>
                <w:sz w:val="30"/>
                <w:szCs w:val="30"/>
              </w:rPr>
              <w:t> </w:t>
            </w:r>
          </w:p>
        </w:tc>
      </w:tr>
    </w:tbl>
    <w:p>
      <w:pPr>
        <w:rPr>
          <w:rFonts w:ascii="仿宋_GB2312" w:eastAsia="仿宋_GB2312"/>
          <w:color w:val="000000" w:themeColor="text1"/>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文泉驿微米黑"/>
    <w:panose1 w:val="00000000000000000000"/>
    <w:charset w:val="86"/>
    <w:family w:val="auto"/>
    <w:pitch w:val="default"/>
    <w:sig w:usb0="00000000" w:usb1="00000000"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2OWEwZDQ4ZGJlMDgyY2Y3MTIzYTQ5N2EwYWMwM2MifQ=="/>
  </w:docVars>
  <w:rsids>
    <w:rsidRoot w:val="006452C1"/>
    <w:rsid w:val="00001D75"/>
    <w:rsid w:val="0009310D"/>
    <w:rsid w:val="000A2DE7"/>
    <w:rsid w:val="00117DE2"/>
    <w:rsid w:val="00147A6A"/>
    <w:rsid w:val="001C1EF1"/>
    <w:rsid w:val="001D0AEE"/>
    <w:rsid w:val="001D5D57"/>
    <w:rsid w:val="002757CF"/>
    <w:rsid w:val="002F5B42"/>
    <w:rsid w:val="003531A1"/>
    <w:rsid w:val="00401D60"/>
    <w:rsid w:val="00421083"/>
    <w:rsid w:val="00424E8F"/>
    <w:rsid w:val="00430A67"/>
    <w:rsid w:val="00474DE5"/>
    <w:rsid w:val="00492EDB"/>
    <w:rsid w:val="004B058D"/>
    <w:rsid w:val="0052692D"/>
    <w:rsid w:val="00532C45"/>
    <w:rsid w:val="005474D0"/>
    <w:rsid w:val="0058336D"/>
    <w:rsid w:val="0060491C"/>
    <w:rsid w:val="00617C32"/>
    <w:rsid w:val="006452C1"/>
    <w:rsid w:val="00676AB8"/>
    <w:rsid w:val="00687D24"/>
    <w:rsid w:val="006E7785"/>
    <w:rsid w:val="006F69EE"/>
    <w:rsid w:val="00717704"/>
    <w:rsid w:val="00772179"/>
    <w:rsid w:val="00791213"/>
    <w:rsid w:val="007E4AE7"/>
    <w:rsid w:val="00825A39"/>
    <w:rsid w:val="00830BBB"/>
    <w:rsid w:val="00833A48"/>
    <w:rsid w:val="008640E2"/>
    <w:rsid w:val="008D3308"/>
    <w:rsid w:val="008F701D"/>
    <w:rsid w:val="00906565"/>
    <w:rsid w:val="009354DF"/>
    <w:rsid w:val="00957A93"/>
    <w:rsid w:val="00981437"/>
    <w:rsid w:val="009D12A7"/>
    <w:rsid w:val="009E10B8"/>
    <w:rsid w:val="00A818E3"/>
    <w:rsid w:val="00A93464"/>
    <w:rsid w:val="00AD2F67"/>
    <w:rsid w:val="00AD5E8B"/>
    <w:rsid w:val="00B37DC4"/>
    <w:rsid w:val="00B50B58"/>
    <w:rsid w:val="00BB1AEB"/>
    <w:rsid w:val="00BE7629"/>
    <w:rsid w:val="00BE7A35"/>
    <w:rsid w:val="00C1751A"/>
    <w:rsid w:val="00C40F78"/>
    <w:rsid w:val="00C446E8"/>
    <w:rsid w:val="00CA720C"/>
    <w:rsid w:val="00CF5987"/>
    <w:rsid w:val="00D34013"/>
    <w:rsid w:val="00D54827"/>
    <w:rsid w:val="00D63EB5"/>
    <w:rsid w:val="00DD33A0"/>
    <w:rsid w:val="00E802F4"/>
    <w:rsid w:val="00EA3EB1"/>
    <w:rsid w:val="00EB0203"/>
    <w:rsid w:val="00F24975"/>
    <w:rsid w:val="00F74071"/>
    <w:rsid w:val="00F85F88"/>
    <w:rsid w:val="3F3F76C9"/>
    <w:rsid w:val="611E0B63"/>
    <w:rsid w:val="6FAD3181"/>
    <w:rsid w:val="76F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2362</Words>
  <Characters>2618</Characters>
  <Lines>20</Lines>
  <Paragraphs>5</Paragraphs>
  <TotalTime>156</TotalTime>
  <ScaleCrop>false</ScaleCrop>
  <LinksUpToDate>false</LinksUpToDate>
  <CharactersWithSpaces>2777</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2017-03-21T23:10:00Z</dcterms:created>
  <dc:creator>程凯</dc:creator>
  <cp:lastModifiedBy>lenovo</cp:lastModifiedBy>
  <cp:lastPrinted>2024-06-04T18:55:00Z</cp:lastPrinted>
  <dcterms:modified xsi:type="dcterms:W3CDTF">2024-06-04T11:36:53Z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74B4265503D9404994233CD2C20CBB6E_12</vt:lpwstr>
  </property>
</Properties>
</file>