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74" w:type="dxa"/>
        <w:jc w:val="center"/>
        <w:tblCellSpacing w:w="0" w:type="dxa"/>
        <w:tblLayout w:type="autofit"/>
        <w:tblCellMar>
          <w:top w:w="0" w:type="dxa"/>
          <w:left w:w="0" w:type="dxa"/>
          <w:bottom w:w="0" w:type="dxa"/>
          <w:right w:w="0" w:type="dxa"/>
        </w:tblCellMar>
      </w:tblPr>
      <w:tblGrid>
        <w:gridCol w:w="8874"/>
      </w:tblGrid>
      <w:tr w14:paraId="321CFA19">
        <w:tblPrEx>
          <w:tblCellMar>
            <w:top w:w="0" w:type="dxa"/>
            <w:left w:w="0" w:type="dxa"/>
            <w:bottom w:w="0" w:type="dxa"/>
            <w:right w:w="0" w:type="dxa"/>
          </w:tblCellMar>
        </w:tblPrEx>
        <w:trPr>
          <w:trHeight w:val="7500" w:hRule="atLeast"/>
          <w:tblCellSpacing w:w="0" w:type="dxa"/>
          <w:jc w:val="center"/>
        </w:trPr>
        <w:tc>
          <w:tcPr>
            <w:tcW w:w="8874" w:type="dxa"/>
            <w:tcMar>
              <w:top w:w="150" w:type="dxa"/>
              <w:left w:w="0" w:type="dxa"/>
              <w:bottom w:w="0" w:type="dxa"/>
              <w:right w:w="0" w:type="dxa"/>
            </w:tcMar>
          </w:tcPr>
          <w:p w14:paraId="484F3D8D">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巴中市巴州区白庙乡公共事务服务中心</w:t>
            </w:r>
          </w:p>
          <w:p w14:paraId="4609AB83">
            <w:pPr>
              <w:widowControl/>
              <w:wordWrap w:val="0"/>
              <w:spacing w:line="480" w:lineRule="atLeas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14:paraId="05EFB0BC">
            <w:pPr>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0"/>
                <w:szCs w:val="30"/>
                <w:lang w:val="en-US" w:eastAsia="zh-CN"/>
                <w14:textFill>
                  <w14:solidFill>
                    <w14:schemeClr w14:val="tx1"/>
                  </w14:solidFill>
                </w14:textFill>
              </w:rPr>
              <w:t>2024年06月05日</w:t>
            </w:r>
          </w:p>
          <w:p w14:paraId="69472AC0">
            <w:pPr>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14:paraId="6D55DCA5">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14:paraId="7C45DA5C">
                <w:pPr>
                  <w:spacing w:line="200" w:lineRule="exact"/>
                  <w:jc w:val="center"/>
                  <w:rPr>
                    <w:rFonts w:ascii="方正小标宋_GBK" w:hAnsi="方正小标宋_GBK" w:eastAsia="方正小标宋_GBK" w:cs="方正小标宋_GBK"/>
                    <w:sz w:val="44"/>
                    <w:szCs w:val="44"/>
                  </w:rPr>
                </w:pPr>
              </w:p>
              <w:p w14:paraId="51985FFA">
                <w:pPr>
                  <w:spacing w:line="200" w:lineRule="exact"/>
                  <w:jc w:val="center"/>
                  <w:rPr>
                    <w:rFonts w:ascii="方正小标宋_GBK" w:hAnsi="方正小标宋_GBK" w:eastAsia="方正小标宋_GBK" w:cs="方正小标宋_GBK"/>
                    <w:sz w:val="44"/>
                    <w:szCs w:val="44"/>
                  </w:rPr>
                </w:pPr>
              </w:p>
              <w:p w14:paraId="4485A704">
                <w:pPr>
                  <w:spacing w:line="200" w:lineRule="exact"/>
                  <w:jc w:val="center"/>
                  <w:rPr>
                    <w:rFonts w:ascii="方正小标宋_GBK" w:hAnsi="方正小标宋_GBK" w:eastAsia="方正小标宋_GBK" w:cs="方正小标宋_GBK"/>
                    <w:sz w:val="44"/>
                    <w:szCs w:val="44"/>
                  </w:rPr>
                </w:pPr>
              </w:p>
              <w:p w14:paraId="70A9A16B">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14:paraId="2D0533D6">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14:paraId="31C8C5FB">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白庙乡公共事务服务中心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14:paraId="2A858824">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14:paraId="60F4C050">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14:paraId="7C46F924">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14:paraId="44DA1944">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40656CFB">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14:paraId="69E814C1">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14:paraId="7BCBD059">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320CF667">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14CD1179">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14:paraId="165A190A">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14:paraId="60C20631">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14:paraId="013198E9">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14:paraId="66C9DC1D">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14:paraId="6BFE2DD6">
                <w:pPr>
                  <w:pStyle w:val="12"/>
                  <w:tabs>
                    <w:tab w:val="right" w:leader="dot" w:pos="8844"/>
                  </w:tabs>
                  <w:spacing w:line="500" w:lineRule="exact"/>
                  <w:ind w:left="0" w:leftChars="0" w:firstLine="400" w:firstLineChars="20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14:paraId="559693DF">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5</w:t>
                </w:r>
                <w:r>
                  <w:rPr>
                    <w:rFonts w:ascii="Times New Roman" w:hAnsi="Times New Roman" w:eastAsia="方正仿宋_GBK" w:cs="Times New Roman"/>
                    <w:sz w:val="32"/>
                    <w:szCs w:val="32"/>
                  </w:rPr>
                  <w:fldChar w:fldCharType="end"/>
                </w:r>
              </w:p>
              <w:p w14:paraId="7A2E1118">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14:paraId="5C2806C7">
                <w:pPr>
                  <w:widowControl/>
                  <w:wordWrap w:val="0"/>
                  <w:spacing w:line="480" w:lineRule="atLeast"/>
                  <w:ind w:firstLine="1897" w:firstLineChars="900"/>
                </w:pPr>
                <w:r>
                  <w:rPr>
                    <w:rFonts w:ascii="仿宋_GB2312" w:eastAsia="仿宋_GB2312"/>
                    <w:b/>
                    <w:szCs w:val="32"/>
                  </w:rPr>
                  <w:fldChar w:fldCharType="end"/>
                </w:r>
              </w:p>
            </w:sdtContent>
          </w:sdt>
          <w:p w14:paraId="4F0CB65F">
            <w:pPr>
              <w:widowControl/>
              <w:wordWrap w:val="0"/>
              <w:spacing w:line="480" w:lineRule="atLeast"/>
              <w:ind w:firstLine="560" w:firstLineChars="2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lang w:val="en-US" w:eastAsia="zh-CN"/>
                <w14:textFill>
                  <w14:solidFill>
                    <w14:schemeClr w14:val="tx1"/>
                  </w14:solidFill>
                </w14:textFill>
              </w:rPr>
              <w:t>一、</w:t>
            </w:r>
            <w:r>
              <w:rPr>
                <w:rFonts w:hint="eastAsia" w:ascii="黑体" w:hAnsi="黑体" w:eastAsia="黑体" w:cs="宋体"/>
                <w:color w:val="000000" w:themeColor="text1"/>
                <w:kern w:val="0"/>
                <w:sz w:val="28"/>
                <w:szCs w:val="28"/>
                <w14:textFill>
                  <w14:solidFill>
                    <w14:schemeClr w14:val="tx1"/>
                  </w14:solidFill>
                </w14:textFill>
              </w:rPr>
              <w:t>基本职能及主要工作</w:t>
            </w:r>
          </w:p>
          <w:p w14:paraId="0083E93C">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w:t>
            </w: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14:textFill>
                  <w14:solidFill>
                    <w14:schemeClr w14:val="tx1"/>
                  </w14:solidFill>
                </w14:textFill>
              </w:rPr>
              <w:t>职能简介</w:t>
            </w:r>
          </w:p>
          <w:p w14:paraId="2234D64D">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1.</w:t>
            </w:r>
            <w:r>
              <w:rPr>
                <w:rFonts w:hint="eastAsia" w:ascii="仿宋_GB2312" w:hAnsi="宋体" w:eastAsia="仿宋_GB2312" w:cs="宋体"/>
                <w:color w:val="000000" w:themeColor="text1"/>
                <w:kern w:val="0"/>
                <w:sz w:val="28"/>
                <w:szCs w:val="28"/>
                <w:lang w:eastAsia="zh-CN"/>
                <w14:textFill>
                  <w14:solidFill>
                    <w14:schemeClr w14:val="tx1"/>
                  </w14:solidFill>
                </w14:textFill>
              </w:rPr>
              <w:t>负责</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医保、养老保险、其他社会保险的催缴工作。</w:t>
            </w:r>
          </w:p>
          <w:p w14:paraId="506F0BD8">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负责社保、残联、民政、计生等惠民政策的初审、申报、核实、验证、注销等工作</w:t>
            </w:r>
          </w:p>
          <w:p w14:paraId="03227F25">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负责食药、文化领域的检查、办证、维护等工作。</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14:paraId="2B6D80C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4.</w:t>
            </w:r>
            <w:r>
              <w:rPr>
                <w:rFonts w:hint="eastAsia" w:ascii="仿宋_GB2312" w:hAnsi="宋体" w:eastAsia="仿宋_GB2312" w:cs="宋体"/>
                <w:color w:val="000000" w:themeColor="text1"/>
                <w:kern w:val="0"/>
                <w:sz w:val="28"/>
                <w:szCs w:val="28"/>
                <w:lang w:eastAsia="zh-CN"/>
                <w14:textFill>
                  <w14:solidFill>
                    <w14:schemeClr w14:val="tx1"/>
                  </w14:solidFill>
                </w14:textFill>
              </w:rPr>
              <w:t>负责全镇基本数据、以及经济、农业年报的上报。</w:t>
            </w:r>
          </w:p>
          <w:p w14:paraId="58CEAA7C">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白庙乡公共事务服务中心2024年</w:t>
            </w:r>
            <w:r>
              <w:rPr>
                <w:rFonts w:hint="eastAsia" w:ascii="仿宋_GB2312" w:hAnsi="宋体" w:eastAsia="仿宋_GB2312" w:cs="宋体"/>
                <w:color w:val="000000" w:themeColor="text1"/>
                <w:kern w:val="0"/>
                <w:sz w:val="28"/>
                <w:szCs w:val="28"/>
                <w14:textFill>
                  <w14:solidFill>
                    <w14:schemeClr w14:val="tx1"/>
                  </w14:solidFill>
                </w14:textFill>
              </w:rPr>
              <w:t>重点工作</w:t>
            </w:r>
          </w:p>
          <w:p w14:paraId="7CA5C88C">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一是</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抓好医保社保的宣传工作，使参保率达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14:paraId="1A63B81D">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14:textFill>
                  <w14:solidFill>
                    <w14:schemeClr w14:val="tx1"/>
                  </w14:solidFill>
                </w14:textFill>
              </w:rPr>
              <w:t>是</w:t>
            </w:r>
            <w:r>
              <w:rPr>
                <w:rFonts w:hint="eastAsia" w:ascii="仿宋_GB2312" w:hAnsi="宋体" w:eastAsia="仿宋_GB2312" w:cs="宋体"/>
                <w:color w:val="000000" w:themeColor="text1"/>
                <w:kern w:val="0"/>
                <w:sz w:val="28"/>
                <w:szCs w:val="28"/>
                <w:lang w:eastAsia="zh-CN"/>
                <w14:textFill>
                  <w14:solidFill>
                    <w14:schemeClr w14:val="tx1"/>
                  </w14:solidFill>
                </w14:textFill>
              </w:rPr>
              <w:t>认真做好社保、残联、民政、计生等惠民政策的初审、申报、审核、验证工作，使惠及率达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p>
          <w:p w14:paraId="426B5B62">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w:t>
            </w:r>
            <w:r>
              <w:rPr>
                <w:rFonts w:hint="eastAsia" w:ascii="仿宋_GB2312" w:hAnsi="宋体" w:eastAsia="仿宋_GB2312" w:cs="宋体"/>
                <w:color w:val="000000" w:themeColor="text1"/>
                <w:kern w:val="0"/>
                <w:sz w:val="28"/>
                <w:szCs w:val="28"/>
                <w14:textFill>
                  <w14:solidFill>
                    <w14:schemeClr w14:val="tx1"/>
                  </w14:solidFill>
                </w14:textFill>
              </w:rPr>
              <w:t>是</w:t>
            </w:r>
            <w:r>
              <w:rPr>
                <w:rFonts w:hint="eastAsia" w:ascii="仿宋_GB2312" w:hAnsi="宋体" w:eastAsia="仿宋_GB2312" w:cs="宋体"/>
                <w:color w:val="000000" w:themeColor="text1"/>
                <w:kern w:val="0"/>
                <w:sz w:val="28"/>
                <w:szCs w:val="28"/>
                <w:lang w:eastAsia="zh-CN"/>
                <w14:textFill>
                  <w14:solidFill>
                    <w14:schemeClr w14:val="tx1"/>
                  </w14:solidFill>
                </w14:textFill>
              </w:rPr>
              <w:t>抓好食药、卫生领域的检查、办证、维护等工作</w:t>
            </w:r>
            <w:r>
              <w:rPr>
                <w:rFonts w:hint="eastAsia" w:ascii="仿宋_GB2312" w:hAnsi="宋体" w:eastAsia="仿宋_GB2312" w:cs="宋体"/>
                <w:color w:val="000000" w:themeColor="text1"/>
                <w:kern w:val="0"/>
                <w:sz w:val="28"/>
                <w:szCs w:val="28"/>
                <w14:textFill>
                  <w14:solidFill>
                    <w14:schemeClr w14:val="tx1"/>
                  </w14:solidFill>
                </w14:textFill>
              </w:rPr>
              <w:t xml:space="preserve">  。</w:t>
            </w:r>
          </w:p>
          <w:p w14:paraId="38BDDA9E">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14:paraId="06C640D6">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白庙乡公共事务服务中心下属二级预算单位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个，其中行政单位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个，参照公务员法管理的事业单位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个。主要包括：。</w:t>
            </w:r>
          </w:p>
          <w:p w14:paraId="6D0394BC">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14:paraId="2B05385D">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按照综合预算的原则，白庙乡公共事务服务中心所有收入和支出均纳入部门预算管理。收入包括：一般公共预算拨款收入、上年结转；支出包括：（一般公共服务支出、教育支出）、社会保障和就业支出、医疗卫生与计划生育支出、住房保障支出。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7C5D8505">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（一）收入预算情况</w:t>
            </w:r>
          </w:p>
          <w:p w14:paraId="0FE86B4E">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2024年收入预算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p>
          <w:p w14:paraId="101317E6">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（二）支出预算情况</w:t>
            </w:r>
          </w:p>
          <w:p w14:paraId="75918659">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万元，其中：基本支出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万元，占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p>
          <w:p w14:paraId="1499AD52">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14:paraId="523A4390">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万元。收入包括：本年一般公共预算拨款收入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文化旅游体育与传媒支出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82.09万元、</w:t>
            </w:r>
            <w:r>
              <w:rPr>
                <w:rFonts w:hint="eastAsia" w:ascii="仿宋_GB2312" w:hAnsi="宋体" w:eastAsia="仿宋_GB2312" w:cs="宋体"/>
                <w:color w:val="000000" w:themeColor="text1"/>
                <w:kern w:val="0"/>
                <w:sz w:val="28"/>
                <w:szCs w:val="28"/>
                <w:lang w:eastAsia="zh-CN"/>
                <w14:textFill>
                  <w14:solidFill>
                    <w14:schemeClr w14:val="tx1"/>
                  </w14:solidFill>
                </w14:textFill>
              </w:rPr>
              <w:t>教育支出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10.27</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卫生健康支出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4.50万元</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8.86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3769B361">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14:paraId="08F986AE">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（一）一般公共预算当年拨款规模变化情况</w:t>
            </w:r>
          </w:p>
          <w:p w14:paraId="2371716B">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2024年一般公共预算当年拨款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3410AA30">
            <w:pPr>
              <w:widowControl/>
              <w:numPr>
                <w:ilvl w:val="0"/>
                <w:numId w:val="1"/>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一般公共预算当年拨款结构情况</w:t>
            </w:r>
          </w:p>
          <w:p w14:paraId="106DCAE3">
            <w:pPr>
              <w:widowControl/>
              <w:numPr>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文化旅游体育与传媒支出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82.09万元，占77.65%，</w:t>
            </w:r>
            <w:r>
              <w:rPr>
                <w:rFonts w:hint="eastAsia" w:ascii="仿宋_GB2312" w:hAnsi="宋体" w:eastAsia="仿宋_GB2312" w:cs="宋体"/>
                <w:color w:val="000000" w:themeColor="text1"/>
                <w:kern w:val="0"/>
                <w:sz w:val="28"/>
                <w:szCs w:val="28"/>
                <w:lang w:eastAsia="zh-CN"/>
                <w14:textFill>
                  <w14:solidFill>
                    <w14:schemeClr w14:val="tx1"/>
                  </w14:solidFill>
                </w14:textFill>
              </w:rPr>
              <w:t>教育支出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万元，占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10.27</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9.71</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；卫生健康支出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4.50万元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4.26</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8.86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8.38</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14:paraId="2B93303D">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（三）一般公共预算当年拨款具体使用情况</w:t>
            </w:r>
          </w:p>
          <w:p w14:paraId="35351C66">
            <w:pPr>
              <w:widowControl/>
              <w:wordWrap w:val="0"/>
              <w:spacing w:line="480" w:lineRule="atLeast"/>
              <w:ind w:firstLine="560" w:firstLineChars="200"/>
              <w:rPr>
                <w:rFonts w:hint="default"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1.文化旅游体育与传媒支出（类）文化和旅游（款）群众文化（项）：2024年年初预算为82.09万元，主要用于：</w:t>
            </w:r>
            <w:r>
              <w:rPr>
                <w:rFonts w:hint="eastAsia" w:ascii="仿宋_GB2312" w:hAnsi="宋体" w:eastAsia="仿宋_GB2312" w:cs="宋体"/>
                <w:color w:val="000000" w:themeColor="text1"/>
                <w:kern w:val="0"/>
                <w:sz w:val="28"/>
                <w:szCs w:val="28"/>
                <w:lang w:eastAsia="zh-CN"/>
                <w14:textFill>
                  <w14:solidFill>
                    <w14:schemeClr w14:val="tx1"/>
                  </w14:solidFill>
                </w14:textFill>
              </w:rPr>
              <w:t>机关及所属单位正常运转的基本支出，包括基本工资、津贴补贴等人员经费以及办公费、印刷费、水电费等日常公用经费。</w:t>
            </w:r>
          </w:p>
          <w:p w14:paraId="2B5B34DF">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.社会保障和就业（类）行政事业单位离退休（款）机关事业单位基本养老保险缴费支出（项）: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10.27</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万元，主要用于：实施养老保险制度后，部门按规定由单位缴纳的基本养老保险费支出。</w:t>
            </w:r>
          </w:p>
          <w:p w14:paraId="321F0047">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4.50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万元，主要用于：部门下属事业单位基本医疗保险缴费支出。</w:t>
            </w:r>
          </w:p>
          <w:p w14:paraId="3C7B11BE">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8.86</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万元，主要用于：部门按人力资源和社会保障部、财政部规定的基本工资和津贴补贴以及规定比例为职工缴纳的住房公积金支出。 </w:t>
            </w:r>
          </w:p>
          <w:p w14:paraId="3C16E4B1">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14:paraId="5BF50675">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105.72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万元，其中：</w:t>
            </w:r>
          </w:p>
          <w:p w14:paraId="7D1C2372">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97.82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14:paraId="097F91E9">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7.89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万元，主要包括：办公费、印刷费、手续费、水费、电费、邮电费、差旅费、维修（护）费、会议费、培训费、劳务费、工会经费、福利费、其他交通费、其他商品和服务支出。</w:t>
            </w:r>
          </w:p>
          <w:p w14:paraId="0810BB43">
            <w:pPr>
              <w:widowControl/>
              <w:wordWrap w:val="0"/>
              <w:spacing w:line="480" w:lineRule="atLeast"/>
              <w:ind w:firstLine="560" w:firstLineChars="2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14:paraId="6892BBA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2024年“三公”经费财政拨款预算数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14:paraId="75850D6C">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（一）无因公出国（境）经费，较20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　</w:t>
            </w:r>
          </w:p>
          <w:p w14:paraId="3E4E6B88">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w:t>
            </w:r>
            <w:r>
              <w:rPr>
                <w:rFonts w:hint="eastAsia" w:ascii="仿宋_GB2312" w:hAnsi="宋体" w:eastAsia="仿宋_GB2312" w:cs="宋体"/>
                <w:color w:val="000000" w:themeColor="text1"/>
                <w:kern w:val="0"/>
                <w:sz w:val="28"/>
                <w:szCs w:val="28"/>
                <w:lang w:eastAsia="zh-CN"/>
                <w14:textFill>
                  <w14:solidFill>
                    <w14:schemeClr w14:val="tx1"/>
                  </w14:solidFill>
                </w14:textFill>
              </w:rPr>
              <w:t>无公务接待，与20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  。</w:t>
            </w:r>
          </w:p>
          <w:p w14:paraId="5798FE76">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（三）无公务用车购置及运行维护费，与20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p>
          <w:p w14:paraId="38F5AA50">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14:paraId="1DEE37D2">
            <w:pPr>
              <w:widowControl/>
              <w:numPr>
                <w:ilvl w:val="0"/>
                <w:numId w:val="0"/>
              </w:numPr>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白庙乡公共事务服务中心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2024年没有使用政府性基金预算拨款安排的支出。</w:t>
            </w:r>
          </w:p>
          <w:p w14:paraId="65CFF830">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14:paraId="2721E34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（一）政府采购情况</w:t>
            </w:r>
          </w:p>
          <w:p w14:paraId="0F8097BC">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2024年，白庙乡公共事务服务中心安排政府采购预算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w:t>
            </w:r>
          </w:p>
          <w:p w14:paraId="481C88DC">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（二）国有资产占有使用情况</w:t>
            </w:r>
          </w:p>
          <w:p w14:paraId="03D1C8C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年底，白庙乡公共事务服务中心所属各预算单位共有车辆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辆。</w:t>
            </w:r>
            <w:bookmarkStart w:id="0" w:name="_Toc17659"/>
          </w:p>
          <w:p w14:paraId="2FBC87E5">
            <w:pPr>
              <w:widowControl/>
              <w:numPr>
                <w:ilvl w:val="0"/>
                <w:numId w:val="0"/>
              </w:numPr>
              <w:wordWrap w:val="0"/>
              <w:spacing w:line="480" w:lineRule="atLeast"/>
              <w:ind w:firstLine="643" w:firstLineChars="200"/>
              <w:rPr>
                <w:rFonts w:hint="eastAsia" w:ascii="方正黑体_GBK" w:hAnsi="方正黑体_GBK" w:eastAsia="方正黑体_GBK" w:cs="方正黑体_GBK"/>
                <w:b/>
                <w:bCs w:val="0"/>
                <w:sz w:val="32"/>
                <w:szCs w:val="32"/>
                <w:lang w:eastAsia="zh-CN"/>
              </w:rPr>
            </w:pPr>
            <w:r>
              <w:rPr>
                <w:rFonts w:hint="eastAsia" w:ascii="方正黑体_GBK" w:hAnsi="方正黑体_GBK" w:eastAsia="方正黑体_GBK" w:cs="方正黑体_GBK"/>
                <w:b/>
                <w:bCs w:val="0"/>
                <w:sz w:val="32"/>
                <w:szCs w:val="32"/>
                <w:lang w:eastAsia="zh-CN"/>
              </w:rPr>
              <w:t>十、名词解释</w:t>
            </w:r>
            <w:bookmarkEnd w:id="0"/>
          </w:p>
          <w:p w14:paraId="573DC660">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14:paraId="7A7AC78F">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、一般公共服务（类）财政事务（款）行政运行（项）：指机关及参公管理事业单位用于保障机构正常运行、开展日常工作的基本支出。</w:t>
            </w:r>
          </w:p>
          <w:p w14:paraId="3BDEC175">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14:paraId="71D43B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.医疗卫生与计划生育（类）行政事业单位医疗（款）行政单位医疗（项）：指机关及参公管理事业单位用于缴纳单位基本医疗保险支出。</w:t>
            </w:r>
          </w:p>
          <w:p w14:paraId="04CAFF66">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14:paraId="187F90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14:paraId="02F216C7">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.项目支出：指在基本支出之外为完成特定行政任务和事业发展目标所发生的支出。</w:t>
            </w:r>
          </w:p>
          <w:p w14:paraId="5915AD13">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8</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40F9D8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9</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14:paraId="3697154F">
            <w:pPr>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p>
          <w:p w14:paraId="41B76838">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p>
          <w:p w14:paraId="51391063">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p>
          <w:p w14:paraId="18E7CFAC">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bookmarkStart w:id="1" w:name="_GoBack"/>
            <w:bookmarkEnd w:id="1"/>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14:paraId="1E1E1324">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14:paraId="4E48F03A">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14:paraId="03E040FD">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14:paraId="7F4716E1">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14:paraId="15732090">
            <w:pPr>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14:paraId="6E03DEE2">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14:paraId="385E2E68">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14:paraId="43511A93">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14:paraId="1ACD5179">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14:paraId="2EBFF2FA">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14:paraId="29F1FF20">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14:paraId="01C8C824">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p w14:paraId="1B7A41E5">
            <w:pPr>
              <w:widowControl/>
              <w:numPr>
                <w:ilvl w:val="0"/>
                <w:numId w:val="0"/>
              </w:numPr>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14:paraId="68380190">
        <w:tblPrEx>
          <w:tblCellMar>
            <w:top w:w="0" w:type="dxa"/>
            <w:left w:w="0" w:type="dxa"/>
            <w:bottom w:w="0" w:type="dxa"/>
            <w:right w:w="0" w:type="dxa"/>
          </w:tblCellMar>
        </w:tblPrEx>
        <w:trPr>
          <w:tblCellSpacing w:w="0" w:type="dxa"/>
          <w:jc w:val="center"/>
        </w:trPr>
        <w:tc>
          <w:tcPr>
            <w:tcW w:w="8874" w:type="dxa"/>
            <w:vAlign w:val="center"/>
          </w:tcPr>
          <w:p w14:paraId="36AAF800">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14:paraId="6F66D2BC">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7840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044E5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7044E52">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FCB3E"/>
    <w:multiLevelType w:val="singleLevel"/>
    <w:tmpl w:val="E62FCB3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NWQyMGI0YjZmNjU5ZDExNWM5NzFlZTQ2YzBlNWM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207897"/>
    <w:rsid w:val="02FB5E5E"/>
    <w:rsid w:val="05FC520E"/>
    <w:rsid w:val="068E5133"/>
    <w:rsid w:val="069A65B0"/>
    <w:rsid w:val="07F55AC2"/>
    <w:rsid w:val="09B6760B"/>
    <w:rsid w:val="0CAA0BCF"/>
    <w:rsid w:val="0E6E706B"/>
    <w:rsid w:val="100A024E"/>
    <w:rsid w:val="114710E3"/>
    <w:rsid w:val="14425B91"/>
    <w:rsid w:val="16102EE1"/>
    <w:rsid w:val="19B55975"/>
    <w:rsid w:val="1FDF1E25"/>
    <w:rsid w:val="201840D6"/>
    <w:rsid w:val="234A3F71"/>
    <w:rsid w:val="25490DF3"/>
    <w:rsid w:val="25EB34E2"/>
    <w:rsid w:val="275333CE"/>
    <w:rsid w:val="2E262979"/>
    <w:rsid w:val="2F6A72CE"/>
    <w:rsid w:val="2FAE183F"/>
    <w:rsid w:val="3840505D"/>
    <w:rsid w:val="38E86458"/>
    <w:rsid w:val="3CBF37BE"/>
    <w:rsid w:val="3F2901E7"/>
    <w:rsid w:val="4182744A"/>
    <w:rsid w:val="418B46F7"/>
    <w:rsid w:val="45EF41E5"/>
    <w:rsid w:val="485113A6"/>
    <w:rsid w:val="49725FF6"/>
    <w:rsid w:val="49C4208B"/>
    <w:rsid w:val="4A080708"/>
    <w:rsid w:val="4A2D5BF3"/>
    <w:rsid w:val="4B3001A1"/>
    <w:rsid w:val="4DD55C52"/>
    <w:rsid w:val="500809D0"/>
    <w:rsid w:val="55F54EA8"/>
    <w:rsid w:val="59B800A0"/>
    <w:rsid w:val="5C5B0B6B"/>
    <w:rsid w:val="5E127FEC"/>
    <w:rsid w:val="5E7E55A9"/>
    <w:rsid w:val="61306349"/>
    <w:rsid w:val="6370314E"/>
    <w:rsid w:val="63EE2687"/>
    <w:rsid w:val="68BA4E6C"/>
    <w:rsid w:val="693410C2"/>
    <w:rsid w:val="6A3008D1"/>
    <w:rsid w:val="6BF6440D"/>
    <w:rsid w:val="6FD42CB7"/>
    <w:rsid w:val="714C2FDF"/>
    <w:rsid w:val="78D41197"/>
    <w:rsid w:val="7B7F59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3324</Words>
  <Characters>3667</Characters>
  <Lines>17</Lines>
  <Paragraphs>4</Paragraphs>
  <TotalTime>24</TotalTime>
  <ScaleCrop>false</ScaleCrop>
  <LinksUpToDate>false</LinksUpToDate>
  <CharactersWithSpaces>3829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Q木</cp:lastModifiedBy>
  <cp:lastPrinted>2020-07-02T03:02:00Z</cp:lastPrinted>
  <dcterms:modified xsi:type="dcterms:W3CDTF">2024-06-05T06:11:52Z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DBDC0935075444BDB7F0941D949EFBBB_13</vt:lpwstr>
  </property>
</Properties>
</file>