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944" w:type="dxa"/>
        <w:jc w:val="center"/>
        <w:tblCellSpacing w:w="0" w:type="dxa"/>
        <w:tblLayout w:type="autofit"/>
        <w:tblCellMar>
          <w:top w:w="0" w:type="dxa"/>
          <w:left w:w="0" w:type="dxa"/>
          <w:bottom w:w="0" w:type="dxa"/>
          <w:right w:w="0" w:type="dxa"/>
        </w:tblCellMar>
      </w:tblPr>
      <w:tblGrid>
        <w:gridCol w:w="8944"/>
      </w:tblGrid>
      <w:tr>
        <w:tblPrEx>
          <w:tblCellMar>
            <w:top w:w="0" w:type="dxa"/>
            <w:left w:w="0" w:type="dxa"/>
            <w:bottom w:w="0" w:type="dxa"/>
            <w:right w:w="0" w:type="dxa"/>
          </w:tblCellMar>
        </w:tblPrEx>
        <w:trPr>
          <w:trHeight w:val="7500" w:hRule="atLeast"/>
          <w:tblCellSpacing w:w="0" w:type="dxa"/>
          <w:jc w:val="center"/>
        </w:trPr>
        <w:tc>
          <w:tcPr>
            <w:tcW w:w="8944" w:type="dxa"/>
            <w:tcMar>
              <w:top w:w="150" w:type="dxa"/>
              <w:left w:w="0" w:type="dxa"/>
              <w:bottom w:w="0" w:type="dxa"/>
              <w:right w:w="0" w:type="dxa"/>
            </w:tcMar>
          </w:tcPr>
          <w:p>
            <w:pPr>
              <w:widowControl/>
              <w:wordWrap w:val="0"/>
              <w:spacing w:line="480" w:lineRule="atLeast"/>
              <w:ind w:firstLine="1620" w:firstLineChars="450"/>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巴中市巴州区白庙乡农业综合服务中心</w:t>
            </w: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36"/>
                <w:szCs w:val="36"/>
                <w14:textFill>
                  <w14:solidFill>
                    <w14:schemeClr w14:val="tx1"/>
                  </w14:solidFill>
                </w14:textFill>
              </w:rPr>
              <w:t>部门预算编制说明</w:t>
            </w:r>
          </w:p>
          <w:p>
            <w:pPr>
              <w:jc w:val="center"/>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2024年06月05日</w:t>
            </w:r>
          </w:p>
          <w:p>
            <w:pPr>
              <w:jc w:val="center"/>
              <w:rPr>
                <w:rFonts w:hint="eastAsia" w:ascii="仿宋_GB2312" w:hAnsi="宋体" w:eastAsia="仿宋_GB2312" w:cs="宋体"/>
                <w:color w:val="000000" w:themeColor="text1"/>
                <w:kern w:val="0"/>
                <w:sz w:val="28"/>
                <w:szCs w:val="28"/>
                <w:lang w:val="en-US" w:eastAsia="zh-CN"/>
                <w14:textFill>
                  <w14:solidFill>
                    <w14:schemeClr w14:val="tx1"/>
                  </w14:solidFill>
                </w14:textFill>
              </w:rPr>
            </w:pPr>
          </w:p>
          <w:sdt>
            <w:sdtPr>
              <w:rPr>
                <w:rFonts w:hint="eastAsia" w:ascii="方正小标宋_GBK" w:hAnsi="方正小标宋_GBK" w:eastAsia="方正小标宋_GBK" w:cs="方正小标宋_GBK"/>
                <w:sz w:val="44"/>
                <w:szCs w:val="44"/>
              </w:rPr>
              <w:id w:val="147468229"/>
              <w:docPartObj>
                <w:docPartGallery w:val="Table of Contents"/>
                <w:docPartUnique/>
              </w:docPartObj>
            </w:sdtPr>
            <w:sdtEndPr>
              <w:rPr>
                <w:rFonts w:hint="eastAsia" w:ascii="仿宋_GB2312" w:hAnsi="Calibri" w:eastAsia="仿宋_GB2312" w:cs="Times New Roman"/>
                <w:b/>
                <w:sz w:val="21"/>
                <w:szCs w:val="32"/>
              </w:rPr>
            </w:sdtEndPr>
            <w:sdtContent>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目录</w:t>
                </w:r>
              </w:p>
              <w:p>
                <w:pPr>
                  <w:spacing w:line="200" w:lineRule="exact"/>
                  <w:jc w:val="both"/>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pStyle w:val="11"/>
                  <w:tabs>
                    <w:tab w:val="right" w:leader="dot" w:pos="8844"/>
                  </w:tabs>
                  <w:spacing w:line="500" w:lineRule="exact"/>
                  <w:rPr>
                    <w:rFonts w:ascii="方正仿宋_GBK" w:hAnsi="方正仿宋_GBK" w:eastAsia="方正仿宋_GBK" w:cs="方正仿宋_GBK"/>
                    <w:b/>
                    <w:sz w:val="32"/>
                    <w:szCs w:val="32"/>
                  </w:rPr>
                </w:pPr>
                <w:r>
                  <w:rPr>
                    <w:rFonts w:ascii="仿宋_GB2312" w:eastAsia="仿宋_GB2312"/>
                    <w:sz w:val="32"/>
                    <w:szCs w:val="32"/>
                  </w:rPr>
                  <w:fldChar w:fldCharType="begin"/>
                </w:r>
                <w:r>
                  <w:rPr>
                    <w:rFonts w:ascii="仿宋_GB2312" w:eastAsia="仿宋_GB2312"/>
                    <w:sz w:val="32"/>
                    <w:szCs w:val="32"/>
                  </w:rPr>
                  <w:instrText xml:space="preserve">TOC \o "1-2" \h \u </w:instrText>
                </w:r>
                <w:r>
                  <w:rPr>
                    <w:rFonts w:ascii="仿宋_GB2312" w:eastAsia="仿宋_GB2312"/>
                    <w:sz w:val="32"/>
                    <w:szCs w:val="32"/>
                  </w:rPr>
                  <w:fldChar w:fldCharType="separate"/>
                </w:r>
                <w:r>
                  <w:fldChar w:fldCharType="begin"/>
                </w:r>
                <w:r>
                  <w:instrText xml:space="preserve"> HYPERLINK \l "_Toc28627" </w:instrText>
                </w:r>
                <w:r>
                  <w:fldChar w:fldCharType="separate"/>
                </w:r>
                <w:r>
                  <w:rPr>
                    <w:rFonts w:hint="eastAsia" w:ascii="方正仿宋_GBK" w:hAnsi="方正仿宋_GBK" w:eastAsia="方正仿宋_GBK" w:cs="方正仿宋_GBK"/>
                    <w:b/>
                    <w:sz w:val="32"/>
                    <w:szCs w:val="32"/>
                  </w:rPr>
                  <w:t>一、基本职能及主要工作</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_Toc28627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2</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"_Toc22542" </w:instrText>
                </w:r>
                <w:r>
                  <w:fldChar w:fldCharType="separate"/>
                </w:r>
                <w:r>
                  <w:rPr>
                    <w:rFonts w:hint="eastAsia" w:ascii="方正仿宋_GBK" w:hAnsi="方正仿宋_GBK" w:eastAsia="方正仿宋_GBK" w:cs="方正仿宋_GBK"/>
                    <w:bCs/>
                    <w:sz w:val="32"/>
                    <w:szCs w:val="32"/>
                  </w:rPr>
                  <w:t>（一）基本职能</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_Toc22542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2</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"_Toc21031" </w:instrText>
                </w:r>
                <w:r>
                  <w:fldChar w:fldCharType="separate"/>
                </w:r>
                <w:r>
                  <w:rPr>
                    <w:rFonts w:hint="eastAsia" w:ascii="方正仿宋_GBK" w:hAnsi="方正仿宋_GBK" w:eastAsia="方正仿宋_GBK" w:cs="方正仿宋_GBK"/>
                    <w:bCs/>
                    <w:sz w:val="32"/>
                    <w:szCs w:val="32"/>
                  </w:rPr>
                  <w:t>（二）</w:t>
                </w:r>
                <w:r>
                  <w:rPr>
                    <w:rFonts w:hint="eastAsia" w:ascii="方正仿宋_GBK" w:hAnsi="方正仿宋_GBK" w:eastAsia="方正仿宋_GBK" w:cs="方正仿宋_GBK"/>
                    <w:bCs/>
                    <w:sz w:val="32"/>
                    <w:szCs w:val="32"/>
                    <w:lang w:eastAsia="zh-CN"/>
                  </w:rPr>
                  <w:t>白庙乡农业综合服务中心</w:t>
                </w:r>
                <w:r>
                  <w:rPr>
                    <w:rFonts w:hint="eastAsia" w:ascii="Times New Roman" w:hAnsi="Times New Roman" w:eastAsia="方正仿宋_GBK" w:cs="Times New Roman"/>
                    <w:bCs/>
                    <w:sz w:val="32"/>
                    <w:szCs w:val="32"/>
                    <w:lang w:eastAsia="zh-CN"/>
                  </w:rPr>
                  <w:t>2024年</w:t>
                </w:r>
                <w:r>
                  <w:rPr>
                    <w:rFonts w:hint="eastAsia" w:ascii="方正仿宋_GBK" w:hAnsi="方正仿宋_GBK" w:eastAsia="方正仿宋_GBK" w:cs="方正仿宋_GBK"/>
                    <w:bCs/>
                    <w:sz w:val="32"/>
                    <w:szCs w:val="32"/>
                  </w:rPr>
                  <w:t>重点工作</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"_Toc28207" </w:instrText>
                </w:r>
                <w:r>
                  <w:fldChar w:fldCharType="separate"/>
                </w:r>
                <w:r>
                  <w:rPr>
                    <w:rFonts w:hint="eastAsia" w:ascii="方正仿宋_GBK" w:hAnsi="方正仿宋_GBK" w:eastAsia="方正仿宋_GBK" w:cs="方正仿宋_GBK"/>
                    <w:b/>
                    <w:sz w:val="32"/>
                    <w:szCs w:val="32"/>
                  </w:rPr>
                  <w:t>二、部门预算单位构成</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"_Toc21256" </w:instrText>
                </w:r>
                <w:r>
                  <w:fldChar w:fldCharType="separate"/>
                </w:r>
                <w:r>
                  <w:rPr>
                    <w:rFonts w:hint="eastAsia" w:ascii="方正仿宋_GBK" w:hAnsi="方正仿宋_GBK" w:eastAsia="方正仿宋_GBK" w:cs="方正仿宋_GBK"/>
                    <w:b/>
                    <w:sz w:val="32"/>
                    <w:szCs w:val="32"/>
                  </w:rPr>
                  <w:t>三、收支预算情况说明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"_Toc12766" </w:instrText>
                </w:r>
                <w:r>
                  <w:fldChar w:fldCharType="separate"/>
                </w:r>
                <w:r>
                  <w:rPr>
                    <w:rFonts w:hint="eastAsia" w:ascii="方正仿宋_GBK" w:hAnsi="方正仿宋_GBK" w:eastAsia="方正仿宋_GBK" w:cs="方正仿宋_GBK"/>
                    <w:bCs/>
                    <w:sz w:val="32"/>
                    <w:szCs w:val="32"/>
                  </w:rPr>
                  <w:t>（一）收入预算情况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"_Toc1197" </w:instrText>
                </w:r>
                <w:r>
                  <w:fldChar w:fldCharType="separate"/>
                </w:r>
                <w:r>
                  <w:rPr>
                    <w:rFonts w:hint="eastAsia" w:ascii="方正仿宋_GBK" w:hAnsi="方正仿宋_GBK" w:eastAsia="方正仿宋_GBK" w:cs="方正仿宋_GBK"/>
                    <w:bCs/>
                    <w:sz w:val="32"/>
                    <w:szCs w:val="32"/>
                  </w:rPr>
                  <w:t>（二）支出预算情况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"_Toc14328" </w:instrText>
                </w:r>
                <w:r>
                  <w:fldChar w:fldCharType="separate"/>
                </w:r>
                <w:r>
                  <w:rPr>
                    <w:rFonts w:hint="eastAsia" w:ascii="方正仿宋_GBK" w:hAnsi="方正仿宋_GBK" w:eastAsia="方正仿宋_GBK" w:cs="方正仿宋_GBK"/>
                    <w:b/>
                    <w:sz w:val="32"/>
                    <w:szCs w:val="32"/>
                  </w:rPr>
                  <w:t>四、财政拨款收支预算情况说明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"_Toc28129" </w:instrText>
                </w:r>
                <w:r>
                  <w:fldChar w:fldCharType="separate"/>
                </w:r>
                <w:r>
                  <w:rPr>
                    <w:rFonts w:hint="eastAsia" w:ascii="方正仿宋_GBK" w:hAnsi="方正仿宋_GBK" w:eastAsia="方正仿宋_GBK" w:cs="方正仿宋_GBK"/>
                    <w:b/>
                    <w:sz w:val="32"/>
                    <w:szCs w:val="32"/>
                  </w:rPr>
                  <w:t>五、一般公共预算当年拨款情况说明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"_Toc9214" </w:instrText>
                </w:r>
                <w:r>
                  <w:fldChar w:fldCharType="separate"/>
                </w:r>
                <w:r>
                  <w:rPr>
                    <w:rFonts w:hint="eastAsia" w:ascii="方正仿宋_GBK" w:hAnsi="方正仿宋_GBK" w:eastAsia="方正仿宋_GBK" w:cs="方正仿宋_GBK"/>
                    <w:bCs/>
                    <w:sz w:val="32"/>
                    <w:szCs w:val="32"/>
                  </w:rPr>
                  <w:t>（一）一般公共预算当年拨款规模变化情况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"_Toc25743" </w:instrText>
                </w:r>
                <w:r>
                  <w:fldChar w:fldCharType="separate"/>
                </w:r>
                <w:r>
                  <w:rPr>
                    <w:rFonts w:hint="eastAsia" w:ascii="方正仿宋_GBK" w:hAnsi="方正仿宋_GBK" w:eastAsia="方正仿宋_GBK" w:cs="方正仿宋_GBK"/>
                    <w:bCs/>
                    <w:sz w:val="32"/>
                    <w:szCs w:val="32"/>
                  </w:rPr>
                  <w:t>（二）一般公共预算当年拨款结构情况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"_Toc31441" </w:instrText>
                </w:r>
                <w:r>
                  <w:fldChar w:fldCharType="separate"/>
                </w:r>
                <w:r>
                  <w:rPr>
                    <w:rFonts w:hint="eastAsia" w:ascii="方正仿宋_GBK" w:hAnsi="方正仿宋_GBK" w:eastAsia="方正仿宋_GBK" w:cs="方正仿宋_GBK"/>
                    <w:bCs/>
                    <w:sz w:val="32"/>
                    <w:szCs w:val="32"/>
                  </w:rPr>
                  <w:t>（三）一般公共预算当年拨款具体使用情况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"_Toc28184" </w:instrText>
                </w:r>
                <w:r>
                  <w:fldChar w:fldCharType="separate"/>
                </w:r>
                <w:r>
                  <w:rPr>
                    <w:rFonts w:hint="eastAsia" w:ascii="方正仿宋_GBK" w:hAnsi="方正仿宋_GBK" w:eastAsia="方正仿宋_GBK" w:cs="方正仿宋_GBK"/>
                    <w:b/>
                    <w:sz w:val="32"/>
                    <w:szCs w:val="32"/>
                  </w:rPr>
                  <w:t>六、一般公共预算基本支出情况说明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4</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"_Toc30800" </w:instrText>
                </w:r>
                <w:r>
                  <w:fldChar w:fldCharType="separate"/>
                </w:r>
                <w:r>
                  <w:rPr>
                    <w:rFonts w:hint="eastAsia" w:ascii="方正仿宋_GBK" w:hAnsi="方正仿宋_GBK" w:eastAsia="方正仿宋_GBK" w:cs="方正仿宋_GBK"/>
                    <w:b/>
                    <w:sz w:val="32"/>
                    <w:szCs w:val="32"/>
                  </w:rPr>
                  <w:t>七、“三公”经费财政拨款预算安排情况说明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"_Toc23283" </w:instrText>
                </w:r>
                <w:r>
                  <w:fldChar w:fldCharType="separate"/>
                </w:r>
                <w:r>
                  <w:rPr>
                    <w:rFonts w:hint="eastAsia" w:ascii="方正仿宋_GBK" w:hAnsi="方正仿宋_GBK" w:eastAsia="方正仿宋_GBK" w:cs="方正仿宋_GBK"/>
                    <w:b/>
                    <w:sz w:val="32"/>
                    <w:szCs w:val="32"/>
                  </w:rPr>
                  <w:t>八、政府性基金预算支出情况说明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"_Toc26330" </w:instrText>
                </w:r>
                <w:r>
                  <w:fldChar w:fldCharType="separate"/>
                </w:r>
                <w:r>
                  <w:rPr>
                    <w:rFonts w:hint="eastAsia" w:ascii="方正仿宋_GBK" w:hAnsi="方正仿宋_GBK" w:eastAsia="方正仿宋_GBK" w:cs="方正仿宋_GBK"/>
                    <w:b/>
                    <w:sz w:val="32"/>
                    <w:szCs w:val="32"/>
                  </w:rPr>
                  <w:t>九、其他重要事项的情况说明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0" w:leftChars="0" w:firstLine="400" w:firstLineChars="200"/>
                  <w:rPr>
                    <w:rFonts w:ascii="方正仿宋_GBK" w:hAnsi="方正仿宋_GBK" w:eastAsia="方正仿宋_GBK" w:cs="方正仿宋_GBK"/>
                    <w:sz w:val="32"/>
                    <w:szCs w:val="32"/>
                  </w:rPr>
                </w:pPr>
                <w:r>
                  <w:fldChar w:fldCharType="begin"/>
                </w:r>
                <w:r>
                  <w:instrText xml:space="preserve"> HYPERLINK \l "_Toc12300"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一</w:t>
                </w:r>
                <w:r>
                  <w:rPr>
                    <w:rFonts w:hint="eastAsia" w:ascii="方正仿宋_GBK" w:hAnsi="方正仿宋_GBK" w:eastAsia="方正仿宋_GBK" w:cs="方正仿宋_GBK"/>
                    <w:bCs/>
                    <w:sz w:val="32"/>
                    <w:szCs w:val="32"/>
                  </w:rPr>
                  <w:t>）政府采购情况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"_Toc19457"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二</w:t>
                </w:r>
                <w:r>
                  <w:rPr>
                    <w:rFonts w:hint="eastAsia" w:ascii="方正仿宋_GBK" w:hAnsi="方正仿宋_GBK" w:eastAsia="方正仿宋_GBK" w:cs="方正仿宋_GBK"/>
                    <w:bCs/>
                    <w:sz w:val="32"/>
                    <w:szCs w:val="32"/>
                  </w:rPr>
                  <w:t>）国有资产占有使用情况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b/>
                  </w:rPr>
                </w:pPr>
                <w:r>
                  <w:fldChar w:fldCharType="begin"/>
                </w:r>
                <w:r>
                  <w:instrText xml:space="preserve"> HYPERLINK \l "_Toc30601" </w:instrText>
                </w:r>
                <w:r>
                  <w:fldChar w:fldCharType="separate"/>
                </w:r>
                <w:r>
                  <w:rPr>
                    <w:rFonts w:hint="eastAsia" w:ascii="方正仿宋_GBK" w:hAnsi="方正仿宋_GBK" w:eastAsia="方正仿宋_GBK" w:cs="方正仿宋_GBK"/>
                    <w:b/>
                    <w:sz w:val="32"/>
                    <w:szCs w:val="32"/>
                  </w:rPr>
                  <w:t>十、名词解释</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widowControl/>
                  <w:wordWrap w:val="0"/>
                  <w:spacing w:line="480" w:lineRule="atLeast"/>
                  <w:ind w:firstLine="2424" w:firstLineChars="1150"/>
                </w:pPr>
                <w:r>
                  <w:rPr>
                    <w:rFonts w:ascii="仿宋_GB2312" w:eastAsia="仿宋_GB2312"/>
                    <w:b/>
                    <w:szCs w:val="32"/>
                  </w:rPr>
                  <w:fldChar w:fldCharType="end"/>
                </w:r>
              </w:p>
            </w:sdtContent>
          </w:sdt>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一、基本职能及主要工作</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w:t>
            </w:r>
            <w:r>
              <w:rPr>
                <w:rFonts w:hint="eastAsia" w:ascii="仿宋_GB2312" w:hAnsi="宋体" w:eastAsia="仿宋_GB2312" w:cs="宋体"/>
                <w:color w:val="000000" w:themeColor="text1"/>
                <w:kern w:val="0"/>
                <w:sz w:val="28"/>
                <w:szCs w:val="28"/>
                <w:lang w:eastAsia="zh-CN"/>
                <w14:textFill>
                  <w14:solidFill>
                    <w14:schemeClr w14:val="tx1"/>
                  </w14:solidFill>
                </w14:textFill>
              </w:rPr>
              <w:t>白庙乡农业综合服务中心</w:t>
            </w:r>
            <w:r>
              <w:rPr>
                <w:rFonts w:hint="eastAsia" w:ascii="仿宋_GB2312" w:hAnsi="宋体" w:eastAsia="仿宋_GB2312" w:cs="宋体"/>
                <w:color w:val="000000" w:themeColor="text1"/>
                <w:kern w:val="0"/>
                <w:sz w:val="28"/>
                <w:szCs w:val="28"/>
                <w14:textFill>
                  <w14:solidFill>
                    <w14:schemeClr w14:val="tx1"/>
                  </w14:solidFill>
                </w14:textFill>
              </w:rPr>
              <w:t>职能简介</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1.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负责农村产业发展的技术支撑、保障服务工作</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2. </w:t>
            </w:r>
            <w:r>
              <w:rPr>
                <w:rFonts w:hint="eastAsia" w:ascii="仿宋_GB2312" w:hAnsi="宋体" w:eastAsia="仿宋_GB2312" w:cs="宋体"/>
                <w:color w:val="000000" w:themeColor="text1"/>
                <w:kern w:val="0"/>
                <w:sz w:val="28"/>
                <w:szCs w:val="28"/>
                <w:lang w:eastAsia="zh-CN"/>
                <w14:textFill>
                  <w14:solidFill>
                    <w14:schemeClr w14:val="tx1"/>
                  </w14:solidFill>
                </w14:textFill>
              </w:rPr>
              <w:t>抓好畜牧业发展，做好技术指导；</w:t>
            </w:r>
          </w:p>
          <w:p>
            <w:pPr>
              <w:widowControl/>
              <w:wordWrap w:val="0"/>
              <w:spacing w:line="480" w:lineRule="atLeast"/>
              <w:ind w:left="559" w:leftChars="266" w:firstLine="0" w:firstLineChars="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3. </w:t>
            </w:r>
            <w:r>
              <w:rPr>
                <w:rFonts w:hint="eastAsia" w:ascii="仿宋_GB2312" w:hAnsi="宋体" w:eastAsia="仿宋_GB2312" w:cs="宋体"/>
                <w:color w:val="000000" w:themeColor="text1"/>
                <w:kern w:val="0"/>
                <w:sz w:val="28"/>
                <w:szCs w:val="28"/>
                <w:lang w:eastAsia="zh-CN"/>
                <w14:textFill>
                  <w14:solidFill>
                    <w14:schemeClr w14:val="tx1"/>
                  </w14:solidFill>
                </w14:textFill>
              </w:rPr>
              <w:t>抓好农技工作，对全镇的农业合作社，家庭农场进行技术指导；</w:t>
            </w:r>
            <w:r>
              <w:rPr>
                <w:rFonts w:hint="eastAsia" w:ascii="仿宋_GB2312" w:hAnsi="宋体" w:eastAsia="仿宋_GB2312" w:cs="宋体"/>
                <w:color w:val="000000" w:themeColor="text1"/>
                <w:kern w:val="0"/>
                <w:sz w:val="28"/>
                <w:szCs w:val="28"/>
                <w14:textFill>
                  <w14:solidFill>
                    <w14:schemeClr w14:val="tx1"/>
                  </w14:solidFill>
                </w14:textFill>
              </w:rPr>
              <w:t xml:space="preserve">4. </w:t>
            </w:r>
            <w:r>
              <w:rPr>
                <w:rFonts w:hint="eastAsia" w:ascii="仿宋_GB2312" w:hAnsi="宋体" w:eastAsia="仿宋_GB2312" w:cs="宋体"/>
                <w:color w:val="000000" w:themeColor="text1"/>
                <w:kern w:val="0"/>
                <w:sz w:val="28"/>
                <w:szCs w:val="28"/>
                <w:lang w:eastAsia="zh-CN"/>
                <w14:textFill>
                  <w14:solidFill>
                    <w14:schemeClr w14:val="tx1"/>
                  </w14:solidFill>
                </w14:textFill>
              </w:rPr>
              <w:t>负责水利工作。</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二）</w:t>
            </w:r>
            <w:r>
              <w:rPr>
                <w:rFonts w:hint="eastAsia" w:ascii="仿宋_GB2312" w:hAnsi="宋体" w:eastAsia="仿宋_GB2312" w:cs="宋体"/>
                <w:color w:val="000000" w:themeColor="text1"/>
                <w:kern w:val="0"/>
                <w:sz w:val="28"/>
                <w:szCs w:val="28"/>
                <w:lang w:eastAsia="zh-CN"/>
                <w14:textFill>
                  <w14:solidFill>
                    <w14:schemeClr w14:val="tx1"/>
                  </w14:solidFill>
                </w14:textFill>
              </w:rPr>
              <w:t>白庙乡农业综合服务中心2024年</w:t>
            </w:r>
            <w:r>
              <w:rPr>
                <w:rFonts w:hint="eastAsia" w:ascii="仿宋_GB2312" w:hAnsi="宋体" w:eastAsia="仿宋_GB2312" w:cs="宋体"/>
                <w:color w:val="000000" w:themeColor="text1"/>
                <w:kern w:val="0"/>
                <w:sz w:val="28"/>
                <w:szCs w:val="28"/>
                <w14:textFill>
                  <w14:solidFill>
                    <w14:schemeClr w14:val="tx1"/>
                  </w14:solidFill>
                </w14:textFill>
              </w:rPr>
              <w:t>重点工作</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1. </w:t>
            </w:r>
            <w:r>
              <w:rPr>
                <w:rFonts w:hint="eastAsia" w:ascii="仿宋_GB2312" w:hAnsi="宋体" w:eastAsia="仿宋_GB2312" w:cs="宋体"/>
                <w:color w:val="000000" w:themeColor="text1"/>
                <w:kern w:val="0"/>
                <w:sz w:val="28"/>
                <w:szCs w:val="28"/>
                <w:lang w:eastAsia="zh-CN"/>
                <w14:textFill>
                  <w14:solidFill>
                    <w14:schemeClr w14:val="tx1"/>
                  </w14:solidFill>
                </w14:textFill>
              </w:rPr>
              <w:t>抓好农村产业的发展，做</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好中药材栽植及管理的技术指导</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2. </w:t>
            </w:r>
            <w:r>
              <w:rPr>
                <w:rFonts w:hint="eastAsia" w:ascii="仿宋_GB2312" w:hAnsi="宋体" w:eastAsia="仿宋_GB2312" w:cs="宋体"/>
                <w:color w:val="000000" w:themeColor="text1"/>
                <w:kern w:val="0"/>
                <w:sz w:val="28"/>
                <w:szCs w:val="28"/>
                <w:lang w:eastAsia="zh-CN"/>
                <w14:textFill>
                  <w14:solidFill>
                    <w14:schemeClr w14:val="tx1"/>
                  </w14:solidFill>
                </w14:textFill>
              </w:rPr>
              <w:t>抓好畜牧业发展重点以生猪监测点为补栏重点稳产保量，强化疫情监管，搞好春秋两季动物疫苗注射</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3. </w:t>
            </w:r>
            <w:r>
              <w:rPr>
                <w:rFonts w:hint="eastAsia" w:ascii="仿宋_GB2312" w:hAnsi="宋体" w:eastAsia="仿宋_GB2312" w:cs="宋体"/>
                <w:color w:val="000000" w:themeColor="text1"/>
                <w:kern w:val="0"/>
                <w:sz w:val="28"/>
                <w:szCs w:val="28"/>
                <w:lang w:eastAsia="zh-CN"/>
                <w14:textFill>
                  <w14:solidFill>
                    <w14:schemeClr w14:val="tx1"/>
                  </w14:solidFill>
                </w14:textFill>
              </w:rPr>
              <w:t>水利工作建立巡河制度，制定管理保护方案</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加强农村饮水安全工程大排查</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pPr>
              <w:widowControl/>
              <w:numPr>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widowControl/>
              <w:numPr>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白庙乡农业综合服务中心</w:t>
            </w:r>
            <w:r>
              <w:rPr>
                <w:rFonts w:hint="eastAsia" w:ascii="仿宋_GB2312" w:hAnsi="宋体" w:eastAsia="仿宋_GB2312" w:cs="宋体"/>
                <w:color w:val="000000" w:themeColor="text1"/>
                <w:kern w:val="0"/>
                <w:sz w:val="28"/>
                <w:szCs w:val="28"/>
                <w14:textFill>
                  <w14:solidFill>
                    <w14:schemeClr w14:val="tx1"/>
                  </w14:solidFill>
                </w14:textFill>
              </w:rPr>
              <w:t xml:space="preserve">下属二级预算单位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 xml:space="preserve">个，其中行政单位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 xml:space="preserve">个，参照公务员法管理的事业单位 </w:t>
            </w:r>
            <w:r>
              <w:rPr>
                <w:rFonts w:hint="eastAsia" w:ascii="仿宋_GB2312" w:hAnsi="宋体" w:eastAsia="仿宋_GB2312" w:cs="宋体"/>
                <w:color w:val="000000" w:themeColor="text1"/>
                <w:kern w:val="0"/>
                <w:sz w:val="28"/>
                <w:szCs w:val="28"/>
                <w14:textFill>
                  <w14:solidFill>
                    <w14:schemeClr w14:val="tx1"/>
                  </w14:solidFill>
                </w14:textFill>
              </w:rPr>
              <w:t>个，其他事业单位</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个。</w:t>
            </w:r>
          </w:p>
          <w:p>
            <w:pPr>
              <w:widowControl/>
              <w:numPr>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widowControl/>
              <w:numPr>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按照综合预算的原则，白庙乡农业综合服务中心所有收入和支出均纳入部门预算管理。收入包括：一般公共预算拨款收入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127.49万元</w:t>
            </w:r>
            <w:r>
              <w:rPr>
                <w:rFonts w:hint="eastAsia" w:ascii="仿宋_GB2312" w:hAnsi="宋体" w:eastAsia="仿宋_GB2312" w:cs="宋体"/>
                <w:color w:val="000000" w:themeColor="text1"/>
                <w:kern w:val="0"/>
                <w:sz w:val="28"/>
                <w:szCs w:val="28"/>
                <w:lang w:eastAsia="zh-CN"/>
                <w14:textFill>
                  <w14:solidFill>
                    <w14:schemeClr w14:val="tx1"/>
                  </w14:solidFill>
                </w14:textFill>
              </w:rPr>
              <w:t>、上年结转</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0万元</w:t>
            </w:r>
            <w:r>
              <w:rPr>
                <w:rFonts w:hint="eastAsia" w:ascii="仿宋_GB2312" w:hAnsi="宋体" w:eastAsia="仿宋_GB2312" w:cs="宋体"/>
                <w:color w:val="000000" w:themeColor="text1"/>
                <w:kern w:val="0"/>
                <w:sz w:val="28"/>
                <w:szCs w:val="28"/>
                <w:lang w:eastAsia="zh-CN"/>
                <w14:textFill>
                  <w14:solidFill>
                    <w14:schemeClr w14:val="tx1"/>
                  </w14:solidFill>
                </w14:textFill>
              </w:rPr>
              <w:t>；支出包括：（一般公共服务支出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万元、教育支出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万元、农林水支出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99.13万元</w:t>
            </w:r>
            <w:r>
              <w:rPr>
                <w:rFonts w:hint="eastAsia" w:ascii="仿宋_GB2312" w:hAnsi="宋体" w:eastAsia="仿宋_GB2312" w:cs="宋体"/>
                <w:color w:val="000000" w:themeColor="text1"/>
                <w:kern w:val="0"/>
                <w:sz w:val="28"/>
                <w:szCs w:val="28"/>
                <w:lang w:eastAsia="zh-CN"/>
                <w14:textFill>
                  <w14:solidFill>
                    <w14:schemeClr w14:val="tx1"/>
                  </w14:solidFill>
                </w14:textFill>
              </w:rPr>
              <w:t>）、社会保障和就业支出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12.14万元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、医疗卫生与计划生育支出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5.79万元</w:t>
            </w:r>
            <w:r>
              <w:rPr>
                <w:rFonts w:hint="eastAsia" w:ascii="仿宋_GB2312" w:hAnsi="宋体" w:eastAsia="仿宋_GB2312" w:cs="宋体"/>
                <w:color w:val="000000" w:themeColor="text1"/>
                <w:kern w:val="0"/>
                <w:sz w:val="28"/>
                <w:szCs w:val="28"/>
                <w:lang w:eastAsia="zh-CN"/>
                <w14:textFill>
                  <w14:solidFill>
                    <w14:schemeClr w14:val="tx1"/>
                  </w14:solidFill>
                </w14:textFill>
              </w:rPr>
              <w:t>、住房保障支出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10.42万元</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p>
          <w:p>
            <w:pPr>
              <w:widowControl/>
              <w:numPr>
                <w:ilvl w:val="0"/>
                <w:numId w:val="1"/>
              </w:numPr>
              <w:wordWrap w:val="0"/>
              <w:spacing w:line="480" w:lineRule="atLeast"/>
              <w:ind w:firstLine="560" w:firstLineChars="20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收入预算情况</w:t>
            </w:r>
          </w:p>
          <w:p>
            <w:pPr>
              <w:widowControl/>
              <w:numPr>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 xml:space="preserve">收入预算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127.49</w:t>
            </w:r>
            <w:r>
              <w:rPr>
                <w:rFonts w:hint="eastAsia" w:ascii="仿宋_GB2312" w:hAnsi="宋体" w:eastAsia="仿宋_GB2312" w:cs="宋体"/>
                <w:color w:val="000000" w:themeColor="text1"/>
                <w:kern w:val="0"/>
                <w:sz w:val="28"/>
                <w:szCs w:val="28"/>
                <w14:textFill>
                  <w14:solidFill>
                    <w14:schemeClr w14:val="tx1"/>
                  </w14:solidFill>
                </w14:textFill>
              </w:rPr>
              <w:t>万元，其中：一般公共预算拨款收入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127.49</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numPr>
                <w:ilvl w:val="0"/>
                <w:numId w:val="0"/>
              </w:numPr>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127.49</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127.49</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万元，占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%；项目支出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2024年财政拨款收支总预算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127.49</w:t>
            </w:r>
            <w:r>
              <w:rPr>
                <w:rFonts w:hint="eastAsia" w:ascii="仿宋_GB2312" w:hAnsi="宋体" w:eastAsia="仿宋_GB2312" w:cs="宋体"/>
                <w:color w:val="000000" w:themeColor="text1"/>
                <w:kern w:val="0"/>
                <w:sz w:val="28"/>
                <w:szCs w:val="28"/>
                <w:lang w:eastAsia="zh-CN"/>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127.49</w:t>
            </w:r>
            <w:r>
              <w:rPr>
                <w:rFonts w:hint="eastAsia" w:ascii="仿宋_GB2312" w:hAnsi="宋体" w:eastAsia="仿宋_GB2312" w:cs="宋体"/>
                <w:color w:val="000000" w:themeColor="text1"/>
                <w:kern w:val="0"/>
                <w:sz w:val="28"/>
                <w:szCs w:val="28"/>
                <w:lang w:eastAsia="zh-CN"/>
                <w14:textFill>
                  <w14:solidFill>
                    <w14:schemeClr w14:val="tx1"/>
                  </w14:solidFill>
                </w14:textFill>
              </w:rPr>
              <w:t>万元；支出包括：（一般公共服务支出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万元、教育支出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、农林水支出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99.13万元</w:t>
            </w:r>
            <w:r>
              <w:rPr>
                <w:rFonts w:hint="eastAsia" w:ascii="仿宋_GB2312" w:hAnsi="宋体" w:eastAsia="仿宋_GB2312" w:cs="宋体"/>
                <w:color w:val="000000" w:themeColor="text1"/>
                <w:kern w:val="0"/>
                <w:sz w:val="28"/>
                <w:szCs w:val="28"/>
                <w:lang w:eastAsia="zh-CN"/>
                <w14:textFill>
                  <w14:solidFill>
                    <w14:schemeClr w14:val="tx1"/>
                  </w14:solidFill>
                </w14:textFill>
              </w:rPr>
              <w:t>）、社会保障和就业支出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12.14</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卫生健康支出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5.79</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10.42</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p>
          <w:p>
            <w:pPr>
              <w:widowControl/>
              <w:numPr>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（一）一般公共预算当年拨款规模变化情况</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127.49</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（二）一般公共预算当年拨款结构情况</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农林水支出支出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99.13</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占比</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77.76</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%；医疗卫生支出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5.79</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万元，占</w:t>
            </w:r>
            <w:r>
              <w:rPr>
                <w:rFonts w:hint="eastAsia" w:ascii="仿宋_GB2312" w:hAnsi="宋体" w:eastAsia="仿宋_GB2312" w:cs="宋体"/>
                <w:color w:val="000000" w:themeColor="text1"/>
                <w:kern w:val="0"/>
                <w:sz w:val="28"/>
                <w:szCs w:val="28"/>
                <w:lang w:eastAsia="zh-CN"/>
                <w14:textFill>
                  <w14:solidFill>
                    <w14:schemeClr w14:val="tx1"/>
                  </w14:solidFill>
                </w14:textFill>
              </w:rPr>
              <w:t>比</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4.54</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12.14</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9.52</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10.42</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，占8.18%</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（三）一般公共预算当年拨款具体使用情况</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1. 农林水支出（类）农业农村（款）事业运行（项）: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万元，农林水支出（类）林业和草原（款）事业机构（项）: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，农林水支出（类）水利（款）水利技术推广（项）: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99.13</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万元主要用于：机关及所属单位正常运转的基本支出，包括基本工资、津贴补贴等人员经费以及办公费、印刷费、水电费等日常公用经费。</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color w:val="000000" w:themeColor="text1"/>
                <w:kern w:val="0"/>
                <w:sz w:val="28"/>
                <w:szCs w:val="28"/>
                <w:lang w:eastAsia="zh-CN"/>
                <w14:textFill>
                  <w14:solidFill>
                    <w14:schemeClr w14:val="tx1"/>
                  </w14:solidFill>
                </w14:textFill>
              </w:rPr>
              <w:t>.社会保障和就业（类）行政事业单位离退休（款）机关事业单位基本养老保险缴费支出（项）: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12.14</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万元，主要用于：实施养老保险制度后，部门按规定由单位缴纳的基本养老保险费支出</w:t>
            </w:r>
            <w:r>
              <w:rPr>
                <w:rFonts w:hint="eastAsia" w:ascii="仿宋_GB2312" w:hAnsi="宋体" w:eastAsia="仿宋_GB2312" w:cs="宋体"/>
                <w:color w:val="000000" w:themeColor="text1"/>
                <w:kern w:val="0"/>
                <w:sz w:val="28"/>
                <w:szCs w:val="28"/>
                <w:lang w:eastAsia="zh-CN"/>
                <w14:textFill>
                  <w14:solidFill>
                    <w14:schemeClr w14:val="tx1"/>
                  </w14:solidFill>
                </w14:textFill>
              </w:rPr>
              <w:t>，职业年金缴费支出（项）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0万元。</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color w:val="000000" w:themeColor="text1"/>
                <w:kern w:val="0"/>
                <w:sz w:val="28"/>
                <w:szCs w:val="28"/>
                <w:lang w:eastAsia="zh-CN"/>
                <w14:textFill>
                  <w14:solidFill>
                    <w14:schemeClr w14:val="tx1"/>
                  </w14:solidFill>
                </w14:textFill>
              </w:rPr>
              <w:t>.医疗卫生与计划生育（类）行政事业单位医疗（款）事业单位医疗（项）: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5.79</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万元，主要用于：部门下属事业单位基本医疗保险缴费支出。</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r>
              <w:rPr>
                <w:rFonts w:hint="eastAsia" w:ascii="仿宋_GB2312" w:hAnsi="宋体" w:eastAsia="仿宋_GB2312" w:cs="宋体"/>
                <w:color w:val="000000" w:themeColor="text1"/>
                <w:kern w:val="0"/>
                <w:sz w:val="28"/>
                <w:szCs w:val="28"/>
                <w:lang w:eastAsia="zh-CN"/>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2024年预算数为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10.42</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万元，主要用于：部门按人力资源和社会保障部、财政部规定的基本工资和津贴补贴以及规定比例为职工缴纳的住房公</w:t>
            </w:r>
            <w:r>
              <w:rPr>
                <w:rFonts w:hint="eastAsia" w:ascii="仿宋_GB2312" w:hAnsi="宋体" w:eastAsia="仿宋_GB2312" w:cs="宋体"/>
                <w:color w:val="000000" w:themeColor="text1"/>
                <w:kern w:val="0"/>
                <w:sz w:val="28"/>
                <w:szCs w:val="28"/>
                <w14:textFill>
                  <w14:solidFill>
                    <w14:schemeClr w14:val="tx1"/>
                  </w14:solidFill>
                </w14:textFill>
              </w:rPr>
              <w:t xml:space="preserve">积金支出。 </w:t>
            </w:r>
          </w:p>
          <w:p>
            <w:pPr>
              <w:widowControl/>
              <w:numPr>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127.49</w:t>
            </w:r>
            <w:r>
              <w:rPr>
                <w:rFonts w:hint="eastAsia" w:ascii="仿宋_GB2312" w:hAnsi="宋体" w:eastAsia="仿宋_GB2312" w:cs="宋体"/>
                <w:color w:val="000000" w:themeColor="text1"/>
                <w:kern w:val="0"/>
                <w:sz w:val="28"/>
                <w:szCs w:val="28"/>
                <w14:textFill>
                  <w14:solidFill>
                    <w14:schemeClr w14:val="tx1"/>
                  </w14:solidFill>
                </w14:textFill>
              </w:rPr>
              <w:t>万元，其中：</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116.03</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pPr>
              <w:widowControl/>
              <w:numPr>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10.06</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p>
          <w:p>
            <w:pPr>
              <w:widowControl/>
              <w:numPr>
                <w:numId w:val="0"/>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（一）无因公出国（境）经费，与20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lang w:eastAsia="zh-CN"/>
                <w14:textFill>
                  <w14:solidFill>
                    <w14:schemeClr w14:val="tx1"/>
                  </w14:solidFill>
                </w14:textFill>
              </w:rPr>
              <w:t>年持平。</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（二）无公务接待费，与20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lang w:eastAsia="zh-CN"/>
                <w14:textFill>
                  <w14:solidFill>
                    <w14:schemeClr w14:val="tx1"/>
                  </w14:solidFill>
                </w14:textFill>
              </w:rPr>
              <w:t>年持平  。　　</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（三）无公务用车购置及运行维护费，与20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lang w:eastAsia="zh-CN"/>
                <w14:textFill>
                  <w14:solidFill>
                    <w14:schemeClr w14:val="tx1"/>
                  </w14:solidFill>
                </w14:textFill>
              </w:rPr>
              <w:t>年持平主要原因是</w:t>
            </w:r>
            <w:r>
              <w:rPr>
                <w:rFonts w:hint="eastAsia" w:ascii="仿宋_GB2312" w:hAnsi="宋体" w:eastAsia="仿宋_GB2312" w:cs="宋体"/>
                <w:color w:val="000000" w:themeColor="text1"/>
                <w:kern w:val="0"/>
                <w:sz w:val="28"/>
                <w:szCs w:val="28"/>
                <w:lang w:eastAsia="zh-CN"/>
                <w14:textFill>
                  <w14:solidFill>
                    <w14:schemeClr w14:val="tx1"/>
                  </w14:solidFill>
                </w14:textFill>
              </w:rPr>
              <w:t>严格执行中央“八项”规定，严控各项接待支出。</w:t>
            </w:r>
          </w:p>
          <w:p>
            <w:pPr>
              <w:widowControl/>
              <w:numPr>
                <w:ilvl w:val="0"/>
                <w:numId w:val="0"/>
              </w:numPr>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白庙乡农业综合服务中心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2024年没有使用政府性基金预算拨款安排的支出。</w:t>
            </w:r>
          </w:p>
          <w:p>
            <w:pPr>
              <w:widowControl/>
              <w:numPr>
                <w:ilvl w:val="0"/>
                <w:numId w:val="0"/>
              </w:numPr>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（一）政府采购情况</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2024年，白庙乡农业综合服务中心安排政府采购预算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（二）国有资产占有使用情况</w:t>
            </w:r>
          </w:p>
          <w:p>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截至20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年底，白庙乡农业综合服务中心所属各预算单位共有车辆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辆。</w:t>
            </w:r>
            <w:bookmarkStart w:id="1" w:name="_GoBack"/>
            <w:bookmarkEnd w:id="1"/>
          </w:p>
          <w:p>
            <w:pPr>
              <w:pStyle w:val="2"/>
              <w:keepNext/>
              <w:keepLines/>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方正黑体_GBK" w:hAnsi="方正黑体_GBK" w:eastAsia="方正黑体_GBK" w:cs="方正黑体_GBK"/>
                <w:b/>
                <w:sz w:val="28"/>
                <w:szCs w:val="28"/>
                <w:lang w:eastAsia="zh-CN"/>
              </w:rPr>
            </w:pPr>
            <w:bookmarkStart w:id="0" w:name="_Toc12260"/>
          </w:p>
          <w:p>
            <w:pPr>
              <w:pStyle w:val="2"/>
              <w:keepNext/>
              <w:keepLines/>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方正黑体_GBK" w:hAnsi="方正黑体_GBK" w:eastAsia="方正黑体_GBK" w:cs="方正黑体_GBK"/>
                <w:b/>
                <w:sz w:val="28"/>
                <w:szCs w:val="28"/>
                <w:lang w:eastAsia="zh-CN"/>
              </w:rPr>
            </w:pPr>
          </w:p>
          <w:p>
            <w:pPr>
              <w:pStyle w:val="2"/>
              <w:keepNext/>
              <w:keepLines/>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方正黑体_GBK" w:hAnsi="方正黑体_GBK" w:eastAsia="方正黑体_GBK" w:cs="方正黑体_GBK"/>
                <w:b/>
                <w:sz w:val="28"/>
                <w:szCs w:val="28"/>
                <w:lang w:eastAsia="zh-CN"/>
              </w:rPr>
            </w:pPr>
            <w:r>
              <w:rPr>
                <w:rFonts w:hint="eastAsia" w:ascii="方正黑体_GBK" w:hAnsi="方正黑体_GBK" w:eastAsia="方正黑体_GBK" w:cs="方正黑体_GBK"/>
                <w:b/>
                <w:sz w:val="28"/>
                <w:szCs w:val="28"/>
                <w:lang w:eastAsia="zh-CN"/>
              </w:rPr>
              <w:t>十、名词解释</w:t>
            </w:r>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.一般公共预算拨款收入：指省级财政当年拨付的资金。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.社会保障和就业（类）其他社会保障和就业（款）其他社会保障和就业支出（项）：指除上述项目外，其他用于行政事业单位离退休方面的支出。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.医疗卫生与计划生育（类）行政事业单位医疗（款）事业单位医疗（项）：指事业单位用于缴纳单位基本医疗保险支出。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.住房保障（类）住房改革支出（款）住房公积金（项）：指按照《住房公积金管理条例》的规定，由单位及其在职职工缴存的长期住房储金。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.基本支出：指为保证机构正常运转，完成日常工作任务而发生的人员支出和公用支出。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6</w:t>
            </w:r>
            <w:r>
              <w:rPr>
                <w:rFonts w:hint="eastAsia" w:ascii="方正仿宋_GBK" w:hAnsi="方正仿宋_GBK" w:eastAsia="方正仿宋_GBK" w:cs="方正仿宋_GBK"/>
                <w:color w:val="000000" w:themeColor="text1"/>
                <w:sz w:val="28"/>
                <w:szCs w:val="28"/>
                <w14:textFill>
                  <w14:solidFill>
                    <w14:schemeClr w14:val="tx1"/>
                  </w14:solidFill>
                </w14:textFill>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7</w:t>
            </w:r>
            <w:r>
              <w:rPr>
                <w:rFonts w:hint="eastAsia" w:ascii="方正仿宋_GBK" w:hAnsi="方正仿宋_GBK" w:eastAsia="方正仿宋_GBK" w:cs="方正仿宋_GBK"/>
                <w:color w:val="000000" w:themeColor="text1"/>
                <w:sz w:val="28"/>
                <w:szCs w:val="28"/>
                <w14:textFill>
                  <w14:solidFill>
                    <w14:schemeClr w14:val="tx1"/>
                  </w14:solidFill>
                </w14:textFill>
              </w:rPr>
              <w:t>.机关运行经费：为保障行政单位（包含参照公务员法管理的事业单位）运行用于购买货物和服务的各项资金。包括办公及办公费、水费、电费、印刷费、邮电费、差旅费、会议费等费用开支。</w:t>
            </w:r>
          </w:p>
          <w:p>
            <w:pPr>
              <w:keepNext w:val="0"/>
              <w:keepLines w:val="0"/>
              <w:pageBreakBefore w:val="0"/>
              <w:kinsoku/>
              <w:overflowPunct/>
              <w:topLinePunct w:val="0"/>
              <w:autoSpaceDE/>
              <w:autoSpaceDN/>
              <w:bidi w:val="0"/>
              <w:adjustRightInd/>
              <w:snapToGrid/>
              <w:spacing w:line="240" w:lineRule="auto"/>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附件：</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巴州区单位部门收支总表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巴州区单位部门收入总表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巴州区单位部门支出总表</w:t>
            </w:r>
          </w:p>
          <w:p>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巴州区单位财政拨款收支预算总表</w:t>
            </w:r>
          </w:p>
          <w:p>
            <w:pPr>
              <w:ind w:firstLine="560" w:firstLineChars="200"/>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表</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2-1</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支出</w:t>
            </w:r>
            <w:r>
              <w:rPr>
                <w:rFonts w:hint="eastAsia" w:ascii="方正仿宋_GBK" w:hAnsi="方正仿宋_GBK" w:eastAsia="方正仿宋_GBK" w:cs="方正仿宋_GBK"/>
                <w:color w:val="000000" w:themeColor="text1"/>
                <w:sz w:val="28"/>
                <w:szCs w:val="28"/>
                <w14:textFill>
                  <w14:solidFill>
                    <w14:schemeClr w14:val="tx1"/>
                  </w14:solidFill>
                </w14:textFill>
              </w:rPr>
              <w:t>预算表</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（部门经济分类科目）</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巴州区单位一般公共预算支出预算表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单位一般公共预算基本支出预算表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单位一般公共预算项目支出预算表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单位一般公共预算“三公”经费预算表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政府性基金支出预算表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政府基金预算“三公”经费支出预算表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国有资本经营预算支出预算表</w:t>
            </w:r>
          </w:p>
          <w:p>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p>
          <w:p>
            <w:pPr>
              <w:widowControl/>
              <w:numPr>
                <w:ilvl w:val="0"/>
                <w:numId w:val="0"/>
              </w:numPr>
              <w:wordWrap w:val="0"/>
              <w:spacing w:line="480" w:lineRule="atLeast"/>
              <w:ind w:left="1050" w:leftChars="0"/>
              <w:rPr>
                <w:rFonts w:hint="eastAsia" w:ascii="仿宋_GB2312" w:hAnsi="宋体" w:eastAsia="仿宋_GB2312" w:cs="宋体"/>
                <w:color w:val="000000" w:themeColor="text1"/>
                <w:kern w:val="0"/>
                <w:sz w:val="28"/>
                <w:szCs w:val="28"/>
                <w:lang w:eastAsia="zh-CN"/>
                <w14:textFill>
                  <w14:solidFill>
                    <w14:schemeClr w14:val="tx1"/>
                  </w14:solidFill>
                </w14:textFill>
              </w:rPr>
            </w:pPr>
          </w:p>
          <w:p>
            <w:pPr>
              <w:widowControl/>
              <w:numPr>
                <w:ilvl w:val="0"/>
                <w:numId w:val="0"/>
              </w:numPr>
              <w:wordWrap w:val="0"/>
              <w:spacing w:line="480" w:lineRule="atLeast"/>
              <w:ind w:firstLine="560" w:firstLineChars="20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tblPrEx>
          <w:tblCellMar>
            <w:top w:w="0" w:type="dxa"/>
            <w:left w:w="0" w:type="dxa"/>
            <w:bottom w:w="0" w:type="dxa"/>
            <w:right w:w="0" w:type="dxa"/>
          </w:tblCellMar>
        </w:tblPrEx>
        <w:trPr>
          <w:tblCellSpacing w:w="0" w:type="dxa"/>
          <w:jc w:val="center"/>
        </w:trPr>
        <w:tc>
          <w:tcPr>
            <w:tcW w:w="8944"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106E31"/>
    <w:multiLevelType w:val="singleLevel"/>
    <w:tmpl w:val="9F106E3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2NWQyMGI0YjZmNjU5ZDExNWM5NzFlZTQ2YzBlNWM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2F07826"/>
    <w:rsid w:val="052D1535"/>
    <w:rsid w:val="07651A2A"/>
    <w:rsid w:val="0A083DE5"/>
    <w:rsid w:val="0AFD710E"/>
    <w:rsid w:val="0B9B1A70"/>
    <w:rsid w:val="0E5E4367"/>
    <w:rsid w:val="0EA9768C"/>
    <w:rsid w:val="102C448D"/>
    <w:rsid w:val="12490403"/>
    <w:rsid w:val="129F0AAB"/>
    <w:rsid w:val="12B927AA"/>
    <w:rsid w:val="15974429"/>
    <w:rsid w:val="1F841754"/>
    <w:rsid w:val="20C938C2"/>
    <w:rsid w:val="20DD360B"/>
    <w:rsid w:val="21845091"/>
    <w:rsid w:val="218C0828"/>
    <w:rsid w:val="24443260"/>
    <w:rsid w:val="25035E09"/>
    <w:rsid w:val="27B73709"/>
    <w:rsid w:val="2AA9206F"/>
    <w:rsid w:val="2D2924D0"/>
    <w:rsid w:val="2D355E3C"/>
    <w:rsid w:val="2D560EF9"/>
    <w:rsid w:val="2E5C22AF"/>
    <w:rsid w:val="300E12F2"/>
    <w:rsid w:val="30FC55EE"/>
    <w:rsid w:val="32123864"/>
    <w:rsid w:val="34A00391"/>
    <w:rsid w:val="34FB4AEE"/>
    <w:rsid w:val="35BC70FA"/>
    <w:rsid w:val="36B5658A"/>
    <w:rsid w:val="3AA53616"/>
    <w:rsid w:val="3C2A0145"/>
    <w:rsid w:val="3E6E29A7"/>
    <w:rsid w:val="40F77B80"/>
    <w:rsid w:val="507251F5"/>
    <w:rsid w:val="50E13EEA"/>
    <w:rsid w:val="51E07738"/>
    <w:rsid w:val="58226886"/>
    <w:rsid w:val="594808D3"/>
    <w:rsid w:val="5E677C9B"/>
    <w:rsid w:val="617316F4"/>
    <w:rsid w:val="67AF0CBE"/>
    <w:rsid w:val="69C8107B"/>
    <w:rsid w:val="6DDA15D6"/>
    <w:rsid w:val="6F266DA9"/>
    <w:rsid w:val="72D504FA"/>
    <w:rsid w:val="78791F42"/>
    <w:rsid w:val="7A3E078A"/>
    <w:rsid w:val="7D3338A6"/>
    <w:rsid w:val="7DD00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WPSOffice手动目录 1"/>
    <w:qFormat/>
    <w:uiPriority w:val="0"/>
    <w:rPr>
      <w:rFonts w:asciiTheme="minorHAnsi" w:hAnsiTheme="minorHAnsi" w:eastAsiaTheme="minorEastAsia" w:cstheme="minorBidi"/>
      <w:lang w:val="en-US" w:eastAsia="zh-CN" w:bidi="ar-SA"/>
    </w:rPr>
  </w:style>
  <w:style w:type="paragraph" w:customStyle="1" w:styleId="12">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2827</Words>
  <Characters>3110</Characters>
  <Lines>17</Lines>
  <Paragraphs>4</Paragraphs>
  <TotalTime>49</TotalTime>
  <ScaleCrop>false</ScaleCrop>
  <LinksUpToDate>false</LinksUpToDate>
  <CharactersWithSpaces>3306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Q木</cp:lastModifiedBy>
  <cp:lastPrinted>2020-07-02T03:02:00Z</cp:lastPrinted>
  <dcterms:modified xsi:type="dcterms:W3CDTF">2024-06-05T05:02:41Z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C2411F220F18436BAE504A5CC6087BD1_13</vt:lpwstr>
  </property>
</Properties>
</file>