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883" w:type="dxa"/>
        <w:jc w:val="center"/>
        <w:tblCellSpacing w:w="0" w:type="dxa"/>
        <w:tblLayout w:type="autofit"/>
        <w:tblCellMar>
          <w:top w:w="0" w:type="dxa"/>
          <w:left w:w="0" w:type="dxa"/>
          <w:bottom w:w="0" w:type="dxa"/>
          <w:right w:w="0" w:type="dxa"/>
        </w:tblCellMar>
      </w:tblPr>
      <w:tblGrid>
        <w:gridCol w:w="8883"/>
      </w:tblGrid>
      <w:tr>
        <w:tblPrEx>
          <w:tblCellMar>
            <w:top w:w="0" w:type="dxa"/>
            <w:left w:w="0" w:type="dxa"/>
            <w:bottom w:w="0" w:type="dxa"/>
            <w:right w:w="0" w:type="dxa"/>
          </w:tblCellMar>
        </w:tblPrEx>
        <w:trPr>
          <w:trHeight w:val="13790" w:hRule="atLeast"/>
          <w:tblCellSpacing w:w="0" w:type="dxa"/>
          <w:jc w:val="center"/>
        </w:trPr>
        <w:tc>
          <w:tcPr>
            <w:tcW w:w="8883" w:type="dxa"/>
            <w:tcMar>
              <w:top w:w="150" w:type="dxa"/>
              <w:left w:w="0" w:type="dxa"/>
              <w:bottom w:w="0" w:type="dxa"/>
              <w:right w:w="0" w:type="dxa"/>
            </w:tcMar>
          </w:tcPr>
          <w:p>
            <w:pPr>
              <w:widowControl/>
              <w:spacing w:line="480" w:lineRule="atLeast"/>
              <w:jc w:val="center"/>
              <w:rPr>
                <w:rFonts w:ascii="方正小标宋简体" w:hAnsi="宋体" w:eastAsia="方正小标宋简体" w:cs="宋体"/>
                <w:color w:val="000000" w:themeColor="text1"/>
                <w:kern w:val="0"/>
                <w:sz w:val="36"/>
                <w:szCs w:val="36"/>
                <w14:textFill>
                  <w14:solidFill>
                    <w14:schemeClr w14:val="tx1"/>
                  </w14:solidFill>
                </w14:textFill>
              </w:rPr>
            </w:pPr>
            <w:r>
              <w:rPr>
                <w:rFonts w:hint="eastAsia" w:ascii="楷体_GB2312" w:hAnsi="宋体" w:eastAsia="楷体_GB2312" w:cs="宋体"/>
                <w:color w:val="000000" w:themeColor="text1"/>
                <w:kern w:val="0"/>
                <w:sz w:val="36"/>
                <w:szCs w:val="36"/>
                <w:lang w:val="en-US" w:eastAsia="zh-CN"/>
                <w14:textFill>
                  <w14:solidFill>
                    <w14:schemeClr w14:val="tx1"/>
                  </w14:solidFill>
                </w14:textFill>
              </w:rPr>
              <w:t xml:space="preserve">   </w:t>
            </w:r>
            <w:r>
              <w:rPr>
                <w:rFonts w:hint="eastAsia" w:ascii="楷体_GB2312" w:hAnsi="宋体" w:eastAsia="楷体_GB2312" w:cs="宋体"/>
                <w:color w:val="000000" w:themeColor="text1"/>
                <w:kern w:val="0"/>
                <w:sz w:val="36"/>
                <w:szCs w:val="36"/>
                <w:lang w:eastAsia="zh-CN"/>
                <w14:textFill>
                  <w14:solidFill>
                    <w14:schemeClr w14:val="tx1"/>
                  </w14:solidFill>
                </w14:textFill>
              </w:rPr>
              <w:t>巴中市巴州区清江镇人民政府财政所</w:t>
            </w:r>
          </w:p>
          <w:p>
            <w:pPr>
              <w:ind w:left="359" w:leftChars="171" w:firstLine="360" w:firstLineChars="100"/>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p>
          <w:p>
            <w:pPr>
              <w:ind w:left="359" w:leftChars="171" w:firstLine="280" w:firstLineChars="100"/>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2024年5月15</w:t>
            </w:r>
            <w:bookmarkStart w:id="1" w:name="_GoBack"/>
            <w:bookmarkEnd w:id="1"/>
            <w:r>
              <w:rPr>
                <w:rFonts w:hint="eastAsia" w:ascii="仿宋_GB2312" w:hAnsi="宋体" w:eastAsia="仿宋_GB2312" w:cs="宋体"/>
                <w:color w:val="000000" w:themeColor="text1"/>
                <w:kern w:val="0"/>
                <w:sz w:val="28"/>
                <w:szCs w:val="28"/>
                <w:lang w:val="en-US" w:eastAsia="zh-CN"/>
                <w14:textFill>
                  <w14:solidFill>
                    <w14:schemeClr w14:val="tx1"/>
                  </w14:solidFill>
                </w14:textFill>
              </w:rPr>
              <w:t>日</w:t>
            </w:r>
          </w:p>
          <w:sdt>
            <w:sdtPr>
              <w:rPr>
                <w:rFonts w:hint="eastAsia" w:ascii="方正小标宋_GBK" w:hAnsi="方正小标宋_GBK" w:eastAsia="方正小标宋_GBK" w:cs="方正小标宋_GBK"/>
                <w:sz w:val="44"/>
                <w:szCs w:val="44"/>
              </w:rPr>
              <w:id w:val="147468229"/>
              <w:docPartObj>
                <w:docPartGallery w:val="Table of Contents"/>
                <w:docPartUnique/>
              </w:docPartObj>
            </w:sdtPr>
            <w:sdtEndPr>
              <w:rPr>
                <w:rFonts w:hint="eastAsia" w:ascii="仿宋_GB2312" w:hAnsi="Calibri" w:eastAsia="仿宋_GB2312" w:cs="Times New Roman"/>
                <w:b/>
                <w:sz w:val="21"/>
                <w:szCs w:val="32"/>
              </w:rPr>
            </w:sdtEndPr>
            <w:sdtContent>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目录</w:t>
                </w: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pStyle w:val="11"/>
                  <w:tabs>
                    <w:tab w:val="right" w:leader="dot" w:pos="8844"/>
                  </w:tabs>
                  <w:spacing w:line="500" w:lineRule="exact"/>
                  <w:rPr>
                    <w:rFonts w:ascii="方正仿宋_GBK" w:hAnsi="方正仿宋_GBK" w:eastAsia="方正仿宋_GBK" w:cs="方正仿宋_GBK"/>
                    <w:b/>
                    <w:sz w:val="32"/>
                    <w:szCs w:val="32"/>
                  </w:rPr>
                </w:pPr>
                <w:r>
                  <w:rPr>
                    <w:rFonts w:ascii="仿宋_GB2312" w:eastAsia="仿宋_GB2312"/>
                    <w:sz w:val="32"/>
                    <w:szCs w:val="32"/>
                  </w:rPr>
                  <w:fldChar w:fldCharType="begin"/>
                </w:r>
                <w:r>
                  <w:rPr>
                    <w:rFonts w:ascii="仿宋_GB2312" w:eastAsia="仿宋_GB2312"/>
                    <w:sz w:val="32"/>
                    <w:szCs w:val="32"/>
                  </w:rPr>
                  <w:instrText xml:space="preserve">TOC \o "1-2" \h \u </w:instrText>
                </w:r>
                <w:r>
                  <w:rPr>
                    <w:rFonts w:ascii="仿宋_GB2312" w:eastAsia="仿宋_GB2312"/>
                    <w:sz w:val="32"/>
                    <w:szCs w:val="32"/>
                  </w:rPr>
                  <w:fldChar w:fldCharType="separate"/>
                </w:r>
                <w:r>
                  <w:fldChar w:fldCharType="begin"/>
                </w:r>
                <w:r>
                  <w:instrText xml:space="preserve"> HYPERLINK \l "_Toc28627" </w:instrText>
                </w:r>
                <w:r>
                  <w:fldChar w:fldCharType="separate"/>
                </w:r>
                <w:r>
                  <w:rPr>
                    <w:rFonts w:hint="eastAsia" w:ascii="方正仿宋_GBK" w:hAnsi="方正仿宋_GBK" w:eastAsia="方正仿宋_GBK" w:cs="方正仿宋_GBK"/>
                    <w:b/>
                    <w:sz w:val="32"/>
                    <w:szCs w:val="32"/>
                  </w:rPr>
                  <w:t>一、基本职能及主要工作</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_Toc28627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2</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"_Toc22542" </w:instrText>
                </w:r>
                <w:r>
                  <w:fldChar w:fldCharType="separate"/>
                </w:r>
                <w:r>
                  <w:rPr>
                    <w:rFonts w:hint="eastAsia" w:ascii="方正仿宋_GBK" w:hAnsi="方正仿宋_GBK" w:eastAsia="方正仿宋_GBK" w:cs="方正仿宋_GBK"/>
                    <w:bCs/>
                    <w:sz w:val="32"/>
                    <w:szCs w:val="32"/>
                  </w:rPr>
                  <w:t>（一）基本职能</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_Toc22542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2</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"_Toc21031" </w:instrText>
                </w:r>
                <w:r>
                  <w:fldChar w:fldCharType="separate"/>
                </w:r>
                <w:r>
                  <w:rPr>
                    <w:rFonts w:hint="eastAsia" w:ascii="方正仿宋_GBK" w:hAnsi="方正仿宋_GBK" w:eastAsia="方正仿宋_GBK" w:cs="方正仿宋_GBK"/>
                    <w:bCs/>
                    <w:sz w:val="32"/>
                    <w:szCs w:val="32"/>
                  </w:rPr>
                  <w:t>（二）</w:t>
                </w:r>
                <w:r>
                  <w:rPr>
                    <w:rFonts w:hint="eastAsia" w:ascii="方正仿宋_GBK" w:hAnsi="方正仿宋_GBK" w:eastAsia="方正仿宋_GBK" w:cs="方正仿宋_GBK"/>
                    <w:bCs/>
                    <w:sz w:val="32"/>
                    <w:szCs w:val="32"/>
                    <w:lang w:eastAsia="zh-CN"/>
                  </w:rPr>
                  <w:t>清江镇人民政府财政所</w:t>
                </w:r>
                <w:r>
                  <w:rPr>
                    <w:rFonts w:hint="eastAsia" w:ascii="Times New Roman" w:hAnsi="Times New Roman" w:eastAsia="方正仿宋_GBK" w:cs="Times New Roman"/>
                    <w:bCs/>
                    <w:sz w:val="32"/>
                    <w:szCs w:val="32"/>
                    <w:lang w:eastAsia="zh-CN"/>
                  </w:rPr>
                  <w:t>2024年</w:t>
                </w:r>
                <w:r>
                  <w:rPr>
                    <w:rFonts w:hint="eastAsia" w:ascii="方正仿宋_GBK" w:hAnsi="方正仿宋_GBK" w:eastAsia="方正仿宋_GBK" w:cs="方正仿宋_GBK"/>
                    <w:bCs/>
                    <w:sz w:val="32"/>
                    <w:szCs w:val="32"/>
                  </w:rPr>
                  <w:t>重点工作</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"_Toc28207" </w:instrText>
                </w:r>
                <w:r>
                  <w:fldChar w:fldCharType="separate"/>
                </w:r>
                <w:r>
                  <w:rPr>
                    <w:rFonts w:hint="eastAsia" w:ascii="方正仿宋_GBK" w:hAnsi="方正仿宋_GBK" w:eastAsia="方正仿宋_GBK" w:cs="方正仿宋_GBK"/>
                    <w:b/>
                    <w:sz w:val="32"/>
                    <w:szCs w:val="32"/>
                  </w:rPr>
                  <w:t>二、部门预算单位构成</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"_Toc21256" </w:instrText>
                </w:r>
                <w:r>
                  <w:fldChar w:fldCharType="separate"/>
                </w:r>
                <w:r>
                  <w:rPr>
                    <w:rFonts w:hint="eastAsia" w:ascii="方正仿宋_GBK" w:hAnsi="方正仿宋_GBK" w:eastAsia="方正仿宋_GBK" w:cs="方正仿宋_GBK"/>
                    <w:b/>
                    <w:sz w:val="32"/>
                    <w:szCs w:val="32"/>
                  </w:rPr>
                  <w:t>三、收支预算情况说明</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_Toc21256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3</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"_Toc12766" </w:instrText>
                </w:r>
                <w:r>
                  <w:fldChar w:fldCharType="separate"/>
                </w:r>
                <w:r>
                  <w:rPr>
                    <w:rFonts w:hint="eastAsia" w:ascii="方正仿宋_GBK" w:hAnsi="方正仿宋_GBK" w:eastAsia="方正仿宋_GBK" w:cs="方正仿宋_GBK"/>
                    <w:bCs/>
                    <w:sz w:val="32"/>
                    <w:szCs w:val="32"/>
                  </w:rPr>
                  <w:t>（一）收入预算情况</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_Toc12766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3</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"_Toc1197" </w:instrText>
                </w:r>
                <w:r>
                  <w:fldChar w:fldCharType="separate"/>
                </w:r>
                <w:r>
                  <w:rPr>
                    <w:rFonts w:hint="eastAsia" w:ascii="方正仿宋_GBK" w:hAnsi="方正仿宋_GBK" w:eastAsia="方正仿宋_GBK" w:cs="方正仿宋_GBK"/>
                    <w:bCs/>
                    <w:sz w:val="32"/>
                    <w:szCs w:val="32"/>
                  </w:rPr>
                  <w:t>（二）支出预算情况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"_Toc14328" </w:instrText>
                </w:r>
                <w:r>
                  <w:fldChar w:fldCharType="separate"/>
                </w:r>
                <w:r>
                  <w:rPr>
                    <w:rFonts w:hint="eastAsia" w:ascii="方正仿宋_GBK" w:hAnsi="方正仿宋_GBK" w:eastAsia="方正仿宋_GBK" w:cs="方正仿宋_GBK"/>
                    <w:b/>
                    <w:sz w:val="32"/>
                    <w:szCs w:val="32"/>
                  </w:rPr>
                  <w:t>四、财政拨款收支预算情况说明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"_Toc28129" </w:instrText>
                </w:r>
                <w:r>
                  <w:fldChar w:fldCharType="separate"/>
                </w:r>
                <w:r>
                  <w:rPr>
                    <w:rFonts w:hint="eastAsia" w:ascii="方正仿宋_GBK" w:hAnsi="方正仿宋_GBK" w:eastAsia="方正仿宋_GBK" w:cs="方正仿宋_GBK"/>
                    <w:b/>
                    <w:sz w:val="32"/>
                    <w:szCs w:val="32"/>
                  </w:rPr>
                  <w:t>五、一般公共预算当年拨款情况说明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"_Toc9214" </w:instrText>
                </w:r>
                <w:r>
                  <w:fldChar w:fldCharType="separate"/>
                </w:r>
                <w:r>
                  <w:rPr>
                    <w:rFonts w:hint="eastAsia" w:ascii="方正仿宋_GBK" w:hAnsi="方正仿宋_GBK" w:eastAsia="方正仿宋_GBK" w:cs="方正仿宋_GBK"/>
                    <w:bCs/>
                    <w:sz w:val="32"/>
                    <w:szCs w:val="32"/>
                  </w:rPr>
                  <w:t>（一）一般公共预算当年拨款规模变化情况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"_Toc25743" </w:instrText>
                </w:r>
                <w:r>
                  <w:fldChar w:fldCharType="separate"/>
                </w:r>
                <w:r>
                  <w:rPr>
                    <w:rFonts w:hint="eastAsia" w:ascii="方正仿宋_GBK" w:hAnsi="方正仿宋_GBK" w:eastAsia="方正仿宋_GBK" w:cs="方正仿宋_GBK"/>
                    <w:bCs/>
                    <w:sz w:val="32"/>
                    <w:szCs w:val="32"/>
                  </w:rPr>
                  <w:t>（二）一般公共预算当年拨款结构情况</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_Toc25743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4</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"_Toc31441" </w:instrText>
                </w:r>
                <w:r>
                  <w:fldChar w:fldCharType="separate"/>
                </w:r>
                <w:r>
                  <w:rPr>
                    <w:rFonts w:hint="eastAsia" w:ascii="方正仿宋_GBK" w:hAnsi="方正仿宋_GBK" w:eastAsia="方正仿宋_GBK" w:cs="方正仿宋_GBK"/>
                    <w:bCs/>
                    <w:sz w:val="32"/>
                    <w:szCs w:val="32"/>
                  </w:rPr>
                  <w:t>（三）一般公共预算当年拨款具体使用情况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"_Toc28184" </w:instrText>
                </w:r>
                <w:r>
                  <w:fldChar w:fldCharType="separate"/>
                </w:r>
                <w:r>
                  <w:rPr>
                    <w:rFonts w:hint="eastAsia" w:ascii="方正仿宋_GBK" w:hAnsi="方正仿宋_GBK" w:eastAsia="方正仿宋_GBK" w:cs="方正仿宋_GBK"/>
                    <w:b/>
                    <w:sz w:val="32"/>
                    <w:szCs w:val="32"/>
                  </w:rPr>
                  <w:t>六、一般公共预算基本支出情况说明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"_Toc30800" </w:instrText>
                </w:r>
                <w:r>
                  <w:fldChar w:fldCharType="separate"/>
                </w:r>
                <w:r>
                  <w:rPr>
                    <w:rFonts w:hint="eastAsia" w:ascii="方正仿宋_GBK" w:hAnsi="方正仿宋_GBK" w:eastAsia="方正仿宋_GBK" w:cs="方正仿宋_GBK"/>
                    <w:b/>
                    <w:sz w:val="32"/>
                    <w:szCs w:val="32"/>
                  </w:rPr>
                  <w:t>七、“三公”经费财政拨款预算安排情况说明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"_Toc23283" </w:instrText>
                </w:r>
                <w:r>
                  <w:fldChar w:fldCharType="separate"/>
                </w:r>
                <w:r>
                  <w:rPr>
                    <w:rFonts w:hint="eastAsia" w:ascii="方正仿宋_GBK" w:hAnsi="方正仿宋_GBK" w:eastAsia="方正仿宋_GBK" w:cs="方正仿宋_GBK"/>
                    <w:b/>
                    <w:sz w:val="32"/>
                    <w:szCs w:val="32"/>
                  </w:rPr>
                  <w:t>八、政府性基金预算支出情况说明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"_Toc26330" </w:instrText>
                </w:r>
                <w:r>
                  <w:fldChar w:fldCharType="separate"/>
                </w:r>
                <w:r>
                  <w:rPr>
                    <w:rFonts w:hint="eastAsia" w:ascii="方正仿宋_GBK" w:hAnsi="方正仿宋_GBK" w:eastAsia="方正仿宋_GBK" w:cs="方正仿宋_GBK"/>
                    <w:b/>
                    <w:sz w:val="32"/>
                    <w:szCs w:val="32"/>
                  </w:rPr>
                  <w:t>九、其他重要事项的情况说明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6</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"_Toc12300"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一</w:t>
                </w:r>
                <w:r>
                  <w:rPr>
                    <w:rFonts w:hint="eastAsia" w:ascii="方正仿宋_GBK" w:hAnsi="方正仿宋_GBK" w:eastAsia="方正仿宋_GBK" w:cs="方正仿宋_GBK"/>
                    <w:bCs/>
                    <w:sz w:val="32"/>
                    <w:szCs w:val="32"/>
                  </w:rPr>
                  <w:t>）政府采购情况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"_Toc19457"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二</w:t>
                </w:r>
                <w:r>
                  <w:rPr>
                    <w:rFonts w:hint="eastAsia" w:ascii="方正仿宋_GBK" w:hAnsi="方正仿宋_GBK" w:eastAsia="方正仿宋_GBK" w:cs="方正仿宋_GBK"/>
                    <w:bCs/>
                    <w:sz w:val="32"/>
                    <w:szCs w:val="32"/>
                  </w:rPr>
                  <w:t>）国有资产占有使用情况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Times New Roman" w:hAnsi="Times New Roman" w:eastAsia="方正仿宋_GBK" w:cs="Times New Roman"/>
                    <w:sz w:val="32"/>
                    <w:szCs w:val="32"/>
                  </w:rPr>
                </w:pPr>
                <w:r>
                  <w:fldChar w:fldCharType="begin"/>
                </w:r>
                <w:r>
                  <w:instrText xml:space="preserve"> HYPERLINK \l "_Toc22569"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三</w:t>
                </w:r>
                <w:r>
                  <w:rPr>
                    <w:rFonts w:hint="eastAsia" w:ascii="方正仿宋_GBK" w:hAnsi="方正仿宋_GBK" w:eastAsia="方正仿宋_GBK" w:cs="方正仿宋_GBK"/>
                    <w:bCs/>
                    <w:sz w:val="32"/>
                    <w:szCs w:val="32"/>
                  </w:rPr>
                  <w:t>）绩效目标设置情况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b/>
                  </w:rPr>
                </w:pPr>
                <w:r>
                  <w:fldChar w:fldCharType="begin"/>
                </w:r>
                <w:r>
                  <w:instrText xml:space="preserve"> HYPERLINK \l "_Toc30601" </w:instrText>
                </w:r>
                <w:r>
                  <w:fldChar w:fldCharType="separate"/>
                </w:r>
                <w:r>
                  <w:rPr>
                    <w:rFonts w:hint="eastAsia" w:ascii="方正仿宋_GBK" w:hAnsi="方正仿宋_GBK" w:eastAsia="方正仿宋_GBK" w:cs="方正仿宋_GBK"/>
                    <w:b/>
                    <w:sz w:val="32"/>
                    <w:szCs w:val="32"/>
                  </w:rPr>
                  <w:t>十、名词解释</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7</w:t>
                </w:r>
                <w:r>
                  <w:rPr>
                    <w:rFonts w:ascii="Times New Roman" w:hAnsi="Times New Roman" w:eastAsia="方正仿宋_GBK" w:cs="Times New Roman"/>
                    <w:b/>
                    <w:sz w:val="32"/>
                    <w:szCs w:val="32"/>
                  </w:rPr>
                  <w:fldChar w:fldCharType="end"/>
                </w:r>
              </w:p>
              <w:p>
                <w:pPr>
                  <w:ind w:left="359" w:leftChars="171" w:firstLine="211" w:firstLineChars="100"/>
                  <w:rPr>
                    <w:rFonts w:hint="eastAsia" w:ascii="仿宋_GB2312" w:hAnsi="Calibri" w:eastAsia="仿宋_GB2312" w:cs="Times New Roman"/>
                    <w:b/>
                    <w:sz w:val="21"/>
                    <w:szCs w:val="32"/>
                  </w:rPr>
                </w:pPr>
                <w:r>
                  <w:rPr>
                    <w:rFonts w:ascii="仿宋_GB2312" w:eastAsia="仿宋_GB2312"/>
                    <w:b/>
                    <w:szCs w:val="32"/>
                  </w:rPr>
                  <w:fldChar w:fldCharType="end"/>
                </w:r>
              </w:p>
            </w:sdtContent>
          </w:sdt>
          <w:p>
            <w:pPr>
              <w:ind w:left="359" w:leftChars="171" w:firstLine="280" w:firstLineChars="100"/>
              <w:rPr>
                <w:rFonts w:hint="eastAsia" w:ascii="黑体" w:hAnsi="黑体" w:eastAsia="黑体" w:cs="宋体"/>
                <w:color w:val="000000" w:themeColor="text1"/>
                <w:kern w:val="0"/>
                <w:sz w:val="28"/>
                <w:szCs w:val="28"/>
                <w:lang w:eastAsia="zh-CN"/>
                <w14:textFill>
                  <w14:solidFill>
                    <w14:schemeClr w14:val="tx1"/>
                  </w14:solidFill>
                </w14:textFill>
              </w:rPr>
            </w:pPr>
          </w:p>
          <w:p>
            <w:pPr>
              <w:ind w:left="359" w:leftChars="171" w:firstLine="280" w:firstLineChars="1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一、基本职能及主要工作</w:t>
            </w:r>
          </w:p>
          <w:p>
            <w:pPr>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巴中市巴州区清江镇财政所</w:t>
            </w:r>
            <w:r>
              <w:rPr>
                <w:rFonts w:hint="eastAsia" w:ascii="楷体_GB2312" w:hAnsi="宋体" w:eastAsia="楷体_GB2312" w:cs="宋体"/>
                <w:color w:val="000000" w:themeColor="text1"/>
                <w:kern w:val="0"/>
                <w:sz w:val="28"/>
                <w:szCs w:val="28"/>
                <w14:textFill>
                  <w14:solidFill>
                    <w14:schemeClr w14:val="tx1"/>
                  </w14:solidFill>
                </w14:textFill>
              </w:rPr>
              <w:t>职能简介</w:t>
            </w:r>
          </w:p>
          <w:p>
            <w:pPr>
              <w:ind w:left="359" w:leftChars="171" w:firstLine="280" w:firstLineChars="1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 xml:space="preserve"> 贯彻执行国家各项财经法律、法规和制度；</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 编报年度收支预决算、强化预算执行和监管；</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 加强财政资金监管、落实强农惠民补贴政策；</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 负责财税法规宣传、协助执收部门强化征管；</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 指导监督乡村财务、负责会计委托代理服务；</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6</w:t>
            </w:r>
            <w:r>
              <w:rPr>
                <w:rFonts w:hint="eastAsia" w:ascii="方正仿宋_GBK" w:hAnsi="方正仿宋_GBK" w:eastAsia="方正仿宋_GBK" w:cs="方正仿宋_GBK"/>
                <w:color w:val="000000" w:themeColor="text1"/>
                <w:sz w:val="28"/>
                <w:szCs w:val="28"/>
                <w14:textFill>
                  <w14:solidFill>
                    <w14:schemeClr w14:val="tx1"/>
                  </w14:solidFill>
                </w14:textFill>
              </w:rPr>
              <w:t>. 全面负责乡镇国有资产和乡村债权债务管理；</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7</w:t>
            </w:r>
            <w:r>
              <w:rPr>
                <w:rFonts w:hint="eastAsia" w:ascii="方正仿宋_GBK" w:hAnsi="方正仿宋_GBK" w:eastAsia="方正仿宋_GBK" w:cs="方正仿宋_GBK"/>
                <w:color w:val="000000" w:themeColor="text1"/>
                <w:sz w:val="28"/>
                <w:szCs w:val="28"/>
                <w14:textFill>
                  <w14:solidFill>
                    <w14:schemeClr w14:val="tx1"/>
                  </w14:solidFill>
                </w14:textFill>
              </w:rPr>
              <w:t>. 监管乡镇政府采购、负责乡镇财政信息公开；</w:t>
            </w:r>
          </w:p>
          <w:p>
            <w:pPr>
              <w:ind w:firstLine="56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8</w:t>
            </w:r>
            <w:r>
              <w:rPr>
                <w:rFonts w:hint="eastAsia" w:ascii="方正仿宋_GBK" w:hAnsi="方正仿宋_GBK" w:eastAsia="方正仿宋_GBK" w:cs="方正仿宋_GBK"/>
                <w:color w:val="000000" w:themeColor="text1"/>
                <w:sz w:val="28"/>
                <w:szCs w:val="28"/>
                <w14:textFill>
                  <w14:solidFill>
                    <w14:schemeClr w14:val="tx1"/>
                  </w14:solidFill>
                </w14:textFill>
              </w:rPr>
              <w:t>. 承办上级财政和党委、政府交办的其他事项</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巴中市巴州区清江镇财政所2024年</w:t>
            </w:r>
            <w:r>
              <w:rPr>
                <w:rFonts w:hint="eastAsia" w:ascii="楷体_GB2312" w:hAnsi="宋体" w:eastAsia="楷体_GB2312" w:cs="宋体"/>
                <w:color w:val="000000" w:themeColor="text1"/>
                <w:kern w:val="0"/>
                <w:sz w:val="28"/>
                <w:szCs w:val="28"/>
                <w14:textFill>
                  <w14:solidFill>
                    <w14:schemeClr w14:val="tx1"/>
                  </w14:solidFill>
                </w14:textFill>
              </w:rPr>
              <w:t>重点工作</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是按照国家相关法律法规编报年度收支预决算，预算执行和监管；</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是国有资产及集体三资管理 ；</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是 宣传国家强农惠民政策；</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是</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本镇</w:t>
            </w:r>
            <w:r>
              <w:rPr>
                <w:rFonts w:hint="eastAsia" w:ascii="方正仿宋_GBK" w:hAnsi="方正仿宋_GBK" w:eastAsia="方正仿宋_GBK" w:cs="方正仿宋_GBK"/>
                <w:color w:val="000000" w:themeColor="text1"/>
                <w:sz w:val="28"/>
                <w:szCs w:val="28"/>
                <w14:textFill>
                  <w14:solidFill>
                    <w14:schemeClr w14:val="tx1"/>
                  </w14:solidFill>
                </w14:textFill>
              </w:rPr>
              <w:t>各单位及村（社区）、社账账务核算和资金管理；</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lang w:eastAsia="zh-CN"/>
                <w14:textFill>
                  <w14:solidFill>
                    <w14:schemeClr w14:val="tx1"/>
                  </w14:solidFill>
                </w14:textFill>
              </w:rPr>
              <w:t>清江镇财政所下</w:t>
            </w:r>
            <w:r>
              <w:rPr>
                <w:rFonts w:hint="eastAsia" w:ascii="仿宋_GB2312" w:hAnsi="宋体" w:eastAsia="仿宋_GB2312" w:cs="宋体"/>
                <w:color w:val="000000" w:themeColor="text1"/>
                <w:kern w:val="0"/>
                <w:sz w:val="28"/>
                <w:szCs w:val="28"/>
                <w14:textFill>
                  <w14:solidFill>
                    <w14:schemeClr w14:val="tx1"/>
                  </w14:solidFill>
                </w14:textFill>
              </w:rPr>
              <w:t>属二级预算单位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个，其中行政单位</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个，参照公务员法管理的事业单位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个，其他事业单位</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w:t>
            </w:r>
          </w:p>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巴中市巴州区清江镇财政所</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巴中市巴州区清江镇财政所</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171.77</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清江镇财政所2024年</w:t>
            </w:r>
            <w:r>
              <w:rPr>
                <w:rFonts w:hint="eastAsia" w:ascii="仿宋_GB2312" w:hAnsi="宋体" w:eastAsia="仿宋_GB2312" w:cs="宋体"/>
                <w:color w:val="000000" w:themeColor="text1"/>
                <w:kern w:val="0"/>
                <w:sz w:val="28"/>
                <w:szCs w:val="28"/>
                <w14:textFill>
                  <w14:solidFill>
                    <w14:schemeClr w14:val="tx1"/>
                  </w14:solidFill>
                </w14:textFill>
              </w:rPr>
              <w:t>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171.77</w:t>
            </w:r>
            <w:r>
              <w:rPr>
                <w:rFonts w:hint="eastAsia" w:ascii="仿宋_GB2312" w:hAnsi="宋体" w:eastAsia="仿宋_GB2312" w:cs="宋体"/>
                <w:color w:val="000000" w:themeColor="text1"/>
                <w:kern w:val="0"/>
                <w:sz w:val="28"/>
                <w:szCs w:val="28"/>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171.77</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巴中市巴州区清江镇财政所</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171.77</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171.77</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巴中市巴州区清江镇财政所</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171.77</w:t>
            </w:r>
            <w:r>
              <w:rPr>
                <w:rFonts w:hint="eastAsia" w:ascii="仿宋_GB2312" w:hAnsi="宋体" w:eastAsia="仿宋_GB2312" w:cs="宋体"/>
                <w:color w:val="000000" w:themeColor="text1"/>
                <w:kern w:val="0"/>
                <w:sz w:val="28"/>
                <w:szCs w:val="28"/>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171.77</w:t>
            </w:r>
            <w:r>
              <w:rPr>
                <w:rFonts w:hint="eastAsia" w:ascii="仿宋_GB2312" w:hAnsi="宋体" w:eastAsia="仿宋_GB2312" w:cs="宋体"/>
                <w:color w:val="000000" w:themeColor="text1"/>
                <w:kern w:val="0"/>
                <w:sz w:val="28"/>
                <w:szCs w:val="28"/>
                <w14:textFill>
                  <w14:solidFill>
                    <w14:schemeClr w14:val="tx1"/>
                  </w14:solidFill>
                </w14:textFill>
              </w:rPr>
              <w:t>万元；支出包括：一般公共服务支出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145.61</w:t>
            </w:r>
            <w:r>
              <w:rPr>
                <w:rFonts w:hint="eastAsia" w:ascii="仿宋_GB2312" w:hAnsi="宋体" w:eastAsia="仿宋_GB2312" w:cs="宋体"/>
                <w:color w:val="000000" w:themeColor="text1"/>
                <w:kern w:val="0"/>
                <w:sz w:val="28"/>
                <w:szCs w:val="28"/>
                <w14:textFill>
                  <w14:solidFill>
                    <w14:schemeClr w14:val="tx1"/>
                  </w14:solidFill>
                </w14:textFill>
              </w:rPr>
              <w:t>万元、社会保障和就业支出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11.32</w:t>
            </w:r>
            <w:r>
              <w:rPr>
                <w:rFonts w:hint="eastAsia" w:ascii="仿宋_GB2312" w:hAnsi="宋体" w:eastAsia="仿宋_GB2312" w:cs="宋体"/>
                <w:color w:val="000000" w:themeColor="text1"/>
                <w:kern w:val="0"/>
                <w:sz w:val="28"/>
                <w:szCs w:val="28"/>
                <w14:textFill>
                  <w14:solidFill>
                    <w14:schemeClr w14:val="tx1"/>
                  </w14:solidFill>
                </w14:textFill>
              </w:rPr>
              <w:t>万元、医疗卫生与计划生育支出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5.2</w:t>
            </w:r>
            <w:r>
              <w:rPr>
                <w:rFonts w:hint="eastAsia" w:ascii="仿宋_GB2312" w:hAnsi="宋体" w:eastAsia="仿宋_GB2312" w:cs="宋体"/>
                <w:color w:val="000000" w:themeColor="text1"/>
                <w:kern w:val="0"/>
                <w:sz w:val="28"/>
                <w:szCs w:val="28"/>
                <w14:textFill>
                  <w14:solidFill>
                    <w14:schemeClr w14:val="tx1"/>
                  </w14:solidFill>
                </w14:textFill>
              </w:rPr>
              <w:t>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9.64</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widowControl/>
              <w:wordWrap w:val="0"/>
              <w:spacing w:line="480" w:lineRule="atLeas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巴中市巴州区清江镇财政所</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171.77</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与</w:t>
            </w:r>
            <w:r>
              <w:rPr>
                <w:rFonts w:hint="eastAsia" w:ascii="仿宋_GB2312" w:hAnsi="宋体" w:eastAsia="仿宋_GB2312" w:cs="宋体"/>
                <w:color w:val="000000" w:themeColor="text1"/>
                <w:kern w:val="0"/>
                <w:sz w:val="28"/>
                <w:szCs w:val="28"/>
                <w14:textFill>
                  <w14:solidFill>
                    <w14:schemeClr w14:val="tx1"/>
                  </w14:solidFill>
                </w14:textFill>
              </w:rPr>
              <w:t>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14:textFill>
                  <w14:solidFill>
                    <w14:schemeClr w14:val="tx1"/>
                  </w14:solidFill>
                </w14:textFill>
              </w:rPr>
              <w:t>年预算数</w:t>
            </w:r>
            <w:r>
              <w:rPr>
                <w:rFonts w:hint="eastAsia" w:ascii="仿宋_GB2312" w:hAnsi="宋体" w:eastAsia="仿宋_GB2312" w:cs="宋体"/>
                <w:color w:val="000000" w:themeColor="text1"/>
                <w:kern w:val="0"/>
                <w:sz w:val="28"/>
                <w:szCs w:val="28"/>
                <w:lang w:eastAsia="zh-CN"/>
                <w14:textFill>
                  <w14:solidFill>
                    <w14:schemeClr w14:val="tx1"/>
                  </w14:solidFill>
                </w14:textFill>
              </w:rPr>
              <w:t>持平</w:t>
            </w:r>
            <w:r>
              <w:rPr>
                <w:rFonts w:hint="eastAsia" w:ascii="仿宋_GB2312" w:hAnsi="宋体" w:eastAsia="仿宋_GB2312" w:cs="宋体"/>
                <w:color w:val="000000" w:themeColor="text1"/>
                <w:kern w:val="0"/>
                <w:sz w:val="28"/>
                <w:szCs w:val="28"/>
                <w14:textFill>
                  <w14:solidFill>
                    <w14:schemeClr w14:val="tx1"/>
                  </w14:solidFill>
                </w14:textFill>
              </w:rPr>
              <w:t>。主要是部门</w:t>
            </w:r>
            <w:r>
              <w:rPr>
                <w:rFonts w:hint="eastAsia" w:ascii="仿宋_GB2312" w:hAnsi="宋体" w:eastAsia="仿宋_GB2312" w:cs="宋体"/>
                <w:color w:val="000000" w:themeColor="text1"/>
                <w:kern w:val="0"/>
                <w:sz w:val="28"/>
                <w:szCs w:val="28"/>
                <w:lang w:eastAsia="zh-CN"/>
                <w14:textFill>
                  <w14:solidFill>
                    <w14:schemeClr w14:val="tx1"/>
                  </w14:solidFill>
                </w14:textFill>
              </w:rPr>
              <w:t>人员经费和公用经费未发生改变</w:t>
            </w:r>
            <w:r>
              <w:rPr>
                <w:rFonts w:hint="eastAsia" w:ascii="仿宋_GB2312" w:hAnsi="宋体" w:eastAsia="仿宋_GB2312" w:cs="宋体"/>
                <w:color w:val="000000" w:themeColor="text1"/>
                <w:kern w:val="0"/>
                <w:sz w:val="28"/>
                <w:szCs w:val="28"/>
                <w14:textFill>
                  <w14:solidFill>
                    <w14:schemeClr w14:val="tx1"/>
                  </w14:solidFill>
                </w14:textFill>
              </w:rPr>
              <w:t>以及根据部门年度工作计划</w:t>
            </w:r>
            <w:r>
              <w:rPr>
                <w:rFonts w:hint="eastAsia" w:ascii="仿宋_GB2312" w:hAnsi="宋体" w:eastAsia="仿宋_GB2312" w:cs="宋体"/>
                <w:color w:val="000000" w:themeColor="text1"/>
                <w:kern w:val="0"/>
                <w:sz w:val="28"/>
                <w:szCs w:val="28"/>
                <w:lang w:eastAsia="zh-CN"/>
                <w14:textFill>
                  <w14:solidFill>
                    <w14:schemeClr w14:val="tx1"/>
                  </w14:solidFill>
                </w14:textFill>
              </w:rPr>
              <w:t>都未发生变动</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4"/>
                <w:szCs w:val="24"/>
                <w14:textFill>
                  <w14:solidFill>
                    <w14:schemeClr w14:val="tx1"/>
                  </w14:solidFill>
                </w14:textFill>
              </w:rPr>
              <w:t>　</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一般公共服务</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145.61</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84.77</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社会保障和就业</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11.32</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6.6</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4"/>
                <w:szCs w:val="24"/>
                <w:lang w:eastAsia="zh-CN"/>
                <w14:textFill>
                  <w14:solidFill>
                    <w14:schemeClr w14:val="tx1"/>
                  </w14:solidFill>
                </w14:textFill>
              </w:rPr>
              <w:t>医疗卫生</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5.2</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3.03</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9.64万元，占5.61%</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14:textFill>
                  <w14:solidFill>
                    <w14:schemeClr w14:val="tx1"/>
                  </w14:solidFill>
                </w14:textFill>
              </w:rPr>
              <w:t>1.</w:t>
            </w:r>
            <w:r>
              <w:rPr>
                <w:rFonts w:ascii="方正小标宋简体" w:hAnsi="宋体" w:eastAsia="方正小标宋简体" w:cs="宋体"/>
                <w:color w:val="000000" w:themeColor="text1"/>
                <w:kern w:val="0"/>
                <w:sz w:val="24"/>
                <w:szCs w:val="24"/>
                <w14:textFill>
                  <w14:solidFill>
                    <w14:schemeClr w14:val="tx1"/>
                  </w14:solidFill>
                </w14:textFill>
              </w:rPr>
              <w:t xml:space="preserve"> </w:t>
            </w:r>
            <w:r>
              <w:rPr>
                <w:rFonts w:hint="eastAsia" w:ascii="方正小标宋简体" w:hAnsi="宋体" w:eastAsia="方正小标宋简体" w:cs="宋体"/>
                <w:color w:val="000000" w:themeColor="text1"/>
                <w:kern w:val="0"/>
                <w:sz w:val="24"/>
                <w:szCs w:val="24"/>
                <w:lang w:val="en-US" w:eastAsia="zh-CN"/>
                <w14:textFill>
                  <w14:solidFill>
                    <w14:schemeClr w14:val="tx1"/>
                  </w14:solidFill>
                </w14:textFill>
              </w:rPr>
              <w:t>2010601</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财政事务</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行政运行</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145.61</w:t>
            </w:r>
            <w:r>
              <w:rPr>
                <w:rFonts w:hint="eastAsia" w:ascii="仿宋_GB2312" w:hAnsi="宋体" w:eastAsia="仿宋_GB2312" w:cs="宋体"/>
                <w:color w:val="000000" w:themeColor="text1"/>
                <w:kern w:val="0"/>
                <w:sz w:val="28"/>
                <w:szCs w:val="28"/>
                <w14:textFill>
                  <w14:solidFill>
                    <w14:schemeClr w14:val="tx1"/>
                  </w14:solidFill>
                </w14:textFill>
              </w:rPr>
              <w:t>万元，主要用于：机关及所属单位正常运转的基本支出，包括基本工资、津贴补贴等人员经费以及办公费、印刷费、水电费等日常公用经费。</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b/>
                <w:bCs/>
                <w:color w:val="000000" w:themeColor="text1"/>
                <w:kern w:val="0"/>
                <w:sz w:val="28"/>
                <w:szCs w:val="28"/>
                <w14:textFill>
                  <w14:solidFill>
                    <w14:schemeClr w14:val="tx1"/>
                  </w14:solidFill>
                </w14:textFill>
              </w:rPr>
              <w:t>.社会保障和就业（类）行政事业单位离退休（款）机关事业单位基本养老保险缴费支出（项）: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11.32</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万元，主要用于：实施养老保险制度后，部门按规定由单位缴纳的基本养老保险费支出。</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b/>
                <w:bCs/>
                <w:color w:val="000000" w:themeColor="text1"/>
                <w:kern w:val="0"/>
                <w:sz w:val="28"/>
                <w:szCs w:val="28"/>
                <w14:textFill>
                  <w14:solidFill>
                    <w14:schemeClr w14:val="tx1"/>
                  </w14:solidFill>
                </w14:textFill>
              </w:rPr>
              <w:t>.医疗卫生与计划生育（类）行政事业单位医疗（款）行政单位医疗（项）: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2.46</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万元，主要用于： 机关及参公管理事业单位基本医疗保险缴费支出。</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4</w:t>
            </w:r>
            <w:r>
              <w:rPr>
                <w:rFonts w:hint="eastAsia" w:ascii="仿宋_GB2312" w:hAnsi="宋体" w:eastAsia="仿宋_GB2312" w:cs="宋体"/>
                <w:b/>
                <w:bCs/>
                <w:color w:val="000000" w:themeColor="text1"/>
                <w:kern w:val="0"/>
                <w:sz w:val="28"/>
                <w:szCs w:val="28"/>
                <w14:textFill>
                  <w14:solidFill>
                    <w14:schemeClr w14:val="tx1"/>
                  </w14:solidFill>
                </w14:textFill>
              </w:rPr>
              <w:t>.医疗卫生与计划生育（类）行政事业单位医疗（款）事业单位医疗（项）: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2.74</w:t>
            </w:r>
            <w:r>
              <w:rPr>
                <w:rFonts w:hint="eastAsia" w:ascii="仿宋_GB2312" w:hAnsi="宋体" w:eastAsia="仿宋_GB2312" w:cs="宋体"/>
                <w:color w:val="000000" w:themeColor="text1"/>
                <w:kern w:val="0"/>
                <w:sz w:val="28"/>
                <w:szCs w:val="28"/>
                <w14:textFill>
                  <w14:solidFill>
                    <w14:schemeClr w14:val="tx1"/>
                  </w14:solidFill>
                </w14:textFill>
              </w:rPr>
              <w:t>万元，主要用于：部门下属事业单位基本医疗保险缴费支出。</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5</w:t>
            </w:r>
            <w:r>
              <w:rPr>
                <w:rFonts w:hint="eastAsia" w:ascii="仿宋_GB2312" w:hAnsi="宋体" w:eastAsia="仿宋_GB2312" w:cs="宋体"/>
                <w:b/>
                <w:bCs/>
                <w:color w:val="000000" w:themeColor="text1"/>
                <w:kern w:val="0"/>
                <w:sz w:val="28"/>
                <w:szCs w:val="28"/>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9.64</w:t>
            </w:r>
            <w:r>
              <w:rPr>
                <w:rFonts w:hint="eastAsia" w:ascii="仿宋_GB2312" w:hAnsi="宋体" w:eastAsia="仿宋_GB2312" w:cs="宋体"/>
                <w:color w:val="000000" w:themeColor="text1"/>
                <w:kern w:val="0"/>
                <w:sz w:val="28"/>
                <w:szCs w:val="28"/>
                <w14:textFill>
                  <w14:solidFill>
                    <w14:schemeClr w14:val="tx1"/>
                  </w14:solidFill>
                </w14:textFill>
              </w:rPr>
              <w:t xml:space="preserve">万元，主要用于：部门按人力资源和社会保障部、财政部规定的基本工资和津贴补贴以及规定比例为职工缴纳的住房公积金支出。 </w:t>
            </w:r>
          </w:p>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巴中市巴州区清江镇财政所</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171.77</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万元，其中：</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（一）、</w:t>
            </w:r>
            <w:r>
              <w:rPr>
                <w:rFonts w:hint="eastAsia" w:ascii="仿宋_GB2312" w:hAnsi="宋体" w:eastAsia="仿宋_GB2312" w:cs="宋体"/>
                <w:color w:val="000000" w:themeColor="text1"/>
                <w:kern w:val="0"/>
                <w:sz w:val="28"/>
                <w:szCs w:val="28"/>
                <w14:textFill>
                  <w14:solidFill>
                    <w14:schemeClr w14:val="tx1"/>
                  </w14:solidFill>
                </w14:textFill>
              </w:rPr>
              <w:t>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153.42</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（二）、</w:t>
            </w:r>
            <w:r>
              <w:rPr>
                <w:rFonts w:hint="eastAsia" w:ascii="仿宋_GB2312" w:hAnsi="宋体" w:eastAsia="仿宋_GB2312" w:cs="宋体"/>
                <w:color w:val="000000" w:themeColor="text1"/>
                <w:kern w:val="0"/>
                <w:sz w:val="28"/>
                <w:szCs w:val="28"/>
                <w14:textFill>
                  <w14:solidFill>
                    <w14:schemeClr w14:val="tx1"/>
                  </w14:solidFill>
                </w14:textFill>
              </w:rPr>
              <w:t>公用经费</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18.35</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巴中市巴州区清江镇财政所</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未安排</w:t>
            </w:r>
            <w:r>
              <w:rPr>
                <w:rFonts w:hint="eastAsia" w:ascii="楷体_GB2312" w:hAnsi="宋体" w:eastAsia="楷体_GB2312" w:cs="宋体"/>
                <w:color w:val="000000" w:themeColor="text1"/>
                <w:kern w:val="0"/>
                <w:sz w:val="28"/>
                <w:szCs w:val="28"/>
                <w14:textFill>
                  <w14:solidFill>
                    <w14:schemeClr w14:val="tx1"/>
                  </w14:solidFill>
                </w14:textFill>
              </w:rPr>
              <w:t>因公出国（境）经费</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未安排</w:t>
            </w:r>
            <w:r>
              <w:rPr>
                <w:rFonts w:hint="eastAsia" w:ascii="楷体_GB2312" w:hAnsi="宋体" w:eastAsia="楷体_GB2312" w:cs="宋体"/>
                <w:color w:val="000000" w:themeColor="text1"/>
                <w:kern w:val="0"/>
                <w:sz w:val="28"/>
                <w:szCs w:val="28"/>
                <w14:textFill>
                  <w14:solidFill>
                    <w14:schemeClr w14:val="tx1"/>
                  </w14:solidFill>
                </w14:textFill>
              </w:rPr>
              <w:t>公务接待</w:t>
            </w:r>
            <w:r>
              <w:rPr>
                <w:rFonts w:hint="eastAsia" w:ascii="楷体_GB2312" w:hAnsi="宋体" w:eastAsia="楷体_GB2312" w:cs="宋体"/>
                <w:color w:val="000000" w:themeColor="text1"/>
                <w:kern w:val="0"/>
                <w:sz w:val="28"/>
                <w:szCs w:val="28"/>
                <w:lang w:eastAsia="zh-CN"/>
                <w14:textFill>
                  <w14:solidFill>
                    <w14:schemeClr w14:val="tx1"/>
                  </w14:solidFill>
                </w14:textFill>
              </w:rPr>
              <w:t>费</w:t>
            </w:r>
            <w:r>
              <w:rPr>
                <w:rFonts w:hint="eastAsia" w:ascii="仿宋_GB2312" w:hAnsi="宋体" w:eastAsia="仿宋_GB2312" w:cs="宋体"/>
                <w:color w:val="000000" w:themeColor="text1"/>
                <w:kern w:val="0"/>
                <w:sz w:val="28"/>
                <w:szCs w:val="28"/>
                <w14:textFill>
                  <w14:solidFill>
                    <w14:schemeClr w14:val="tx1"/>
                  </w14:solidFill>
                </w14:textFill>
              </w:rPr>
              <w:t>　　</w:t>
            </w:r>
          </w:p>
          <w:p>
            <w:pPr>
              <w:widowControl/>
              <w:numPr>
                <w:ilvl w:val="0"/>
                <w:numId w:val="1"/>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lang w:eastAsia="zh-CN"/>
                <w14:textFill>
                  <w14:solidFill>
                    <w14:schemeClr w14:val="tx1"/>
                  </w14:solidFill>
                </w14:textFill>
              </w:rPr>
              <w:t>未安排</w:t>
            </w:r>
            <w:r>
              <w:rPr>
                <w:rFonts w:hint="eastAsia" w:ascii="楷体_GB2312" w:hAnsi="宋体" w:eastAsia="楷体_GB2312" w:cs="宋体"/>
                <w:color w:val="000000" w:themeColor="text1"/>
                <w:kern w:val="0"/>
                <w:sz w:val="28"/>
                <w:szCs w:val="28"/>
                <w14:textFill>
                  <w14:solidFill>
                    <w14:schemeClr w14:val="tx1"/>
                  </w14:solidFill>
                </w14:textFill>
              </w:rPr>
              <w:t>公务用车购置及运行维护费</w:t>
            </w:r>
            <w:r>
              <w:rPr>
                <w:rFonts w:hint="eastAsia" w:ascii="仿宋_GB2312" w:hAnsi="宋体" w:eastAsia="仿宋_GB2312" w:cs="宋体"/>
                <w:color w:val="000000" w:themeColor="text1"/>
                <w:kern w:val="0"/>
                <w:sz w:val="28"/>
                <w:szCs w:val="28"/>
                <w14:textFill>
                  <w14:solidFill>
                    <w14:schemeClr w14:val="tx1"/>
                  </w14:solidFill>
                </w14:textFill>
              </w:rPr>
              <w:t>　　　　</w:t>
            </w:r>
          </w:p>
          <w:p>
            <w:pPr>
              <w:widowControl/>
              <w:numPr>
                <w:ilvl w:val="0"/>
                <w:numId w:val="0"/>
              </w:numPr>
              <w:wordWrap w:val="0"/>
              <w:spacing w:line="480" w:lineRule="atLeast"/>
              <w:ind w:firstLine="840" w:firstLineChars="3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widowControl/>
              <w:numPr>
                <w:ilvl w:val="0"/>
                <w:numId w:val="0"/>
              </w:numPr>
              <w:wordWrap w:val="0"/>
              <w:spacing w:line="480" w:lineRule="atLeast"/>
              <w:ind w:firstLine="840" w:firstLineChars="3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巴中市巴州区清江镇财政所</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没有使用政府性基金预算拨款安排的支出。</w:t>
            </w:r>
          </w:p>
          <w:p>
            <w:pPr>
              <w:widowControl/>
              <w:numPr>
                <w:ilvl w:val="0"/>
                <w:numId w:val="2"/>
              </w:numPr>
              <w:wordWrap w:val="0"/>
              <w:spacing w:line="480" w:lineRule="atLeast"/>
              <w:ind w:firstLine="840" w:firstLineChars="300"/>
              <w:rPr>
                <w:rFonts w:hint="eastAsia"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其他重要事项的情况说明</w:t>
            </w:r>
          </w:p>
          <w:p>
            <w:pPr>
              <w:widowControl/>
              <w:numPr>
                <w:ilvl w:val="0"/>
                <w:numId w:val="0"/>
              </w:numPr>
              <w:wordWrap w:val="0"/>
              <w:spacing w:line="480" w:lineRule="atLeast"/>
              <w:ind w:firstLine="560" w:firstLineChars="200"/>
              <w:rPr>
                <w:rFonts w:hint="eastAsia"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lang w:eastAsia="zh-CN"/>
                <w14:textFill>
                  <w14:solidFill>
                    <w14:schemeClr w14:val="tx1"/>
                  </w14:solidFill>
                </w14:textFill>
              </w:rPr>
              <w:t>（一）、机关运行经费</w:t>
            </w:r>
          </w:p>
          <w:p>
            <w:pPr>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清江镇人民政府财政所</w:t>
            </w:r>
            <w:r>
              <w:rPr>
                <w:rFonts w:hint="eastAsia" w:ascii="仿宋_GB2312" w:hAnsi="宋体" w:eastAsia="仿宋_GB2312" w:cs="宋体"/>
                <w:color w:val="000000" w:themeColor="text1"/>
                <w:kern w:val="0"/>
                <w:sz w:val="28"/>
                <w:szCs w:val="28"/>
                <w14:textFill>
                  <w14:solidFill>
                    <w14:schemeClr w14:val="tx1"/>
                  </w14:solidFill>
                </w14:textFill>
              </w:rPr>
              <w:t>下属单位运行经费财政拨款预算为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numPr>
                <w:ilvl w:val="0"/>
                <w:numId w:val="0"/>
              </w:numPr>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lang w:eastAsia="zh-CN"/>
                <w14:textFill>
                  <w14:solidFill>
                    <w14:schemeClr w14:val="tx1"/>
                  </w14:solidFill>
                </w14:textFill>
              </w:rPr>
              <w:t>（二）、</w:t>
            </w:r>
            <w:r>
              <w:rPr>
                <w:rFonts w:hint="eastAsia" w:ascii="楷体_GB2312" w:hAnsi="宋体" w:eastAsia="楷体_GB2312" w:cs="宋体"/>
                <w:color w:val="000000" w:themeColor="text1"/>
                <w:kern w:val="0"/>
                <w:sz w:val="28"/>
                <w:szCs w:val="28"/>
                <w14:textFill>
                  <w14:solidFill>
                    <w14:schemeClr w14:val="tx1"/>
                  </w14:solidFill>
                </w14:textFill>
              </w:rPr>
              <w:t>政府采购情况</w:t>
            </w:r>
          </w:p>
          <w:p>
            <w:pPr>
              <w:widowControl/>
              <w:numPr>
                <w:ilvl w:val="0"/>
                <w:numId w:val="0"/>
              </w:numPr>
              <w:wordWrap w:val="0"/>
              <w:spacing w:line="480" w:lineRule="atLeast"/>
              <w:ind w:firstLine="840" w:firstLineChars="3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巴中市巴州区清江镇财政所</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p>
          <w:p>
            <w:pPr>
              <w:widowControl/>
              <w:numPr>
                <w:ilvl w:val="0"/>
                <w:numId w:val="0"/>
              </w:numPr>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三</w:t>
            </w:r>
            <w:r>
              <w:rPr>
                <w:rFonts w:hint="eastAsia" w:ascii="楷体_GB2312" w:hAnsi="宋体" w:eastAsia="楷体_GB2312" w:cs="宋体"/>
                <w:color w:val="000000" w:themeColor="text1"/>
                <w:kern w:val="0"/>
                <w:sz w:val="28"/>
                <w:szCs w:val="28"/>
                <w14:textFill>
                  <w14:solidFill>
                    <w14:schemeClr w14:val="tx1"/>
                  </w14:solidFill>
                </w14:textFill>
              </w:rPr>
              <w:t>）国有资产占有使用情况</w:t>
            </w:r>
          </w:p>
          <w:p>
            <w:pPr>
              <w:widowControl/>
              <w:numPr>
                <w:ilvl w:val="0"/>
                <w:numId w:val="0"/>
              </w:numPr>
              <w:wordWrap w:val="0"/>
              <w:spacing w:line="480" w:lineRule="atLeast"/>
              <w:ind w:firstLine="840" w:firstLineChars="3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截至20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巴中市巴州区清江镇财政所</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辆。</w:t>
            </w:r>
          </w:p>
          <w:p>
            <w:pPr>
              <w:widowControl/>
              <w:numPr>
                <w:ilvl w:val="0"/>
                <w:numId w:val="0"/>
              </w:numPr>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三</w:t>
            </w:r>
            <w:r>
              <w:rPr>
                <w:rFonts w:hint="eastAsia" w:ascii="楷体_GB2312" w:hAnsi="宋体" w:eastAsia="楷体_GB2312" w:cs="宋体"/>
                <w:color w:val="000000" w:themeColor="text1"/>
                <w:kern w:val="0"/>
                <w:sz w:val="28"/>
                <w:szCs w:val="28"/>
                <w14:textFill>
                  <w14:solidFill>
                    <w14:schemeClr w14:val="tx1"/>
                  </w14:solidFill>
                </w14:textFill>
              </w:rPr>
              <w:t>）绩效目标设置情况</w:t>
            </w:r>
          </w:p>
          <w:p>
            <w:pPr>
              <w:widowControl/>
              <w:numPr>
                <w:ilvl w:val="0"/>
                <w:numId w:val="0"/>
              </w:numPr>
              <w:wordWrap w:val="0"/>
              <w:spacing w:line="480" w:lineRule="atLeast"/>
              <w:ind w:firstLine="840" w:firstLineChars="3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财政厅部门通用项目和专用项目均按要求实行绩效目标管理，涉及一般公共预算当年拨款</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numPr>
                <w:ilvl w:val="0"/>
                <w:numId w:val="0"/>
              </w:numPr>
              <w:wordWrap w:val="0"/>
              <w:spacing w:line="480" w:lineRule="atLeast"/>
              <w:ind w:firstLine="840" w:firstLineChars="30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8883"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pStyle w:val="2"/>
        <w:ind w:firstLine="560" w:firstLineChars="200"/>
        <w:rPr>
          <w:rFonts w:ascii="方正黑体_GBK" w:hAnsi="方正黑体_GBK" w:eastAsia="方正黑体_GBK" w:cs="方正黑体_GBK"/>
          <w:sz w:val="28"/>
          <w:szCs w:val="28"/>
        </w:rPr>
      </w:pPr>
      <w:bookmarkStart w:id="0" w:name="_Toc23916"/>
      <w:r>
        <w:rPr>
          <w:rFonts w:hint="eastAsia" w:ascii="方正黑体_GBK" w:hAnsi="方正黑体_GBK" w:eastAsia="方正黑体_GBK" w:cs="方正黑体_GBK"/>
          <w:sz w:val="28"/>
          <w:szCs w:val="28"/>
          <w:lang w:eastAsia="zh-CN"/>
        </w:rPr>
        <w:t>十</w:t>
      </w:r>
      <w:r>
        <w:rPr>
          <w:rFonts w:hint="eastAsia" w:ascii="方正黑体_GBK" w:hAnsi="方正黑体_GBK" w:eastAsia="方正黑体_GBK" w:cs="方正黑体_GBK"/>
          <w:sz w:val="28"/>
          <w:szCs w:val="28"/>
        </w:rPr>
        <w:t>、名词解释</w:t>
      </w:r>
      <w:bookmarkEnd w:id="0"/>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（一）</w:t>
      </w:r>
      <w:r>
        <w:rPr>
          <w:rFonts w:hint="eastAsia" w:ascii="方正仿宋_GBK" w:hAnsi="方正仿宋_GBK" w:eastAsia="方正仿宋_GBK" w:cs="方正仿宋_GBK"/>
          <w:color w:val="000000" w:themeColor="text1"/>
          <w:sz w:val="28"/>
          <w:szCs w:val="28"/>
          <w14:textFill>
            <w14:solidFill>
              <w14:schemeClr w14:val="tx1"/>
            </w14:solidFill>
          </w14:textFill>
        </w:rPr>
        <w:t>、一般公共预算拨款收入：指省级财政当年拨付的资金。</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（二）</w:t>
      </w:r>
      <w:r>
        <w:rPr>
          <w:rFonts w:hint="eastAsia" w:ascii="方正仿宋_GBK" w:hAnsi="方正仿宋_GBK" w:eastAsia="方正仿宋_GBK" w:cs="方正仿宋_GBK"/>
          <w:color w:val="000000" w:themeColor="text1"/>
          <w:sz w:val="28"/>
          <w:szCs w:val="28"/>
          <w14:textFill>
            <w14:solidFill>
              <w14:schemeClr w14:val="tx1"/>
            </w14:solidFill>
          </w14:textFill>
        </w:rPr>
        <w:t>、一般公共服务（类）财政事务（款）行政运行（项）：指机关及参公管理事业单位用于保障机构正常运行、开展日常工作的基本支出。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（三）</w:t>
      </w:r>
      <w:r>
        <w:rPr>
          <w:rFonts w:hint="eastAsia" w:ascii="方正仿宋_GBK" w:hAnsi="方正仿宋_GBK" w:eastAsia="方正仿宋_GBK" w:cs="方正仿宋_GBK"/>
          <w:color w:val="000000" w:themeColor="text1"/>
          <w:sz w:val="28"/>
          <w:szCs w:val="28"/>
          <w14:textFill>
            <w14:solidFill>
              <w14:schemeClr w14:val="tx1"/>
            </w14:solidFill>
          </w14:textFill>
        </w:rPr>
        <w:t>、社会保障和就业（类）其他社会保障和就业（款）其他社会保障和就业支出（项）：指除上述项目外，其他用于行政事业单位离退休方面的支出。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（四）、</w:t>
      </w:r>
      <w:r>
        <w:rPr>
          <w:rFonts w:hint="eastAsia" w:ascii="方正仿宋_GBK" w:hAnsi="方正仿宋_GBK" w:eastAsia="方正仿宋_GBK" w:cs="方正仿宋_GBK"/>
          <w:color w:val="000000" w:themeColor="text1"/>
          <w:sz w:val="28"/>
          <w:szCs w:val="28"/>
          <w14:textFill>
            <w14:solidFill>
              <w14:schemeClr w14:val="tx1"/>
            </w14:solidFill>
          </w14:textFill>
        </w:rPr>
        <w:t>医疗卫生与计划生育（类）行政事业单位医疗（款）行政单位医疗（项）：指机关及参公管理事业单位用于缴纳单位基本医疗保险支出。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（五）</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w:t>
      </w:r>
      <w:r>
        <w:rPr>
          <w:rFonts w:hint="eastAsia" w:ascii="方正仿宋_GBK" w:hAnsi="方正仿宋_GBK" w:eastAsia="方正仿宋_GBK" w:cs="方正仿宋_GBK"/>
          <w:color w:val="000000" w:themeColor="text1"/>
          <w:sz w:val="28"/>
          <w:szCs w:val="28"/>
          <w14:textFill>
            <w14:solidFill>
              <w14:schemeClr w14:val="tx1"/>
            </w14:solidFill>
          </w14:textFill>
        </w:rPr>
        <w:t>住房保障（类）住房改革支出（款）住房公积金（项）：指按照《住房公积金管理条例》的规定，由单位及其在职职工缴存的长期住房储金。</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（六）</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w:t>
      </w:r>
      <w:r>
        <w:rPr>
          <w:rFonts w:hint="eastAsia" w:ascii="方正仿宋_GBK" w:hAnsi="方正仿宋_GBK" w:eastAsia="方正仿宋_GBK" w:cs="方正仿宋_GBK"/>
          <w:color w:val="000000" w:themeColor="text1"/>
          <w:sz w:val="28"/>
          <w:szCs w:val="28"/>
          <w14:textFill>
            <w14:solidFill>
              <w14:schemeClr w14:val="tx1"/>
            </w14:solidFill>
          </w14:textFill>
        </w:rPr>
        <w:t>基本支出：指为保证机构正常运转，完成日常工作任务而发生的人员支出和公用支出。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（七）</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w:t>
      </w:r>
      <w:r>
        <w:rPr>
          <w:rFonts w:hint="eastAsia" w:ascii="方正仿宋_GBK" w:hAnsi="方正仿宋_GBK" w:eastAsia="方正仿宋_GBK" w:cs="方正仿宋_GBK"/>
          <w:color w:val="000000" w:themeColor="text1"/>
          <w:sz w:val="28"/>
          <w:szCs w:val="28"/>
          <w14:textFill>
            <w14:solidFill>
              <w14:schemeClr w14:val="tx1"/>
            </w14:solidFill>
          </w14:textFill>
        </w:rPr>
        <w:t>项目支出：指在基本支出之外为完成特定行政任务和事业发展目标所发生的支出。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（八）</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w:t>
      </w:r>
      <w:r>
        <w:rPr>
          <w:rFonts w:hint="eastAsia" w:ascii="方正仿宋_GBK" w:hAnsi="方正仿宋_GBK" w:eastAsia="方正仿宋_GBK" w:cs="方正仿宋_GBK"/>
          <w:color w:val="000000" w:themeColor="text1"/>
          <w:sz w:val="28"/>
          <w:szCs w:val="28"/>
          <w14:textFill>
            <w14:solidFill>
              <w14:schemeClr w14:val="tx1"/>
            </w14:solidFill>
          </w14:textFill>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9</w:t>
      </w:r>
      <w:r>
        <w:rPr>
          <w:rFonts w:hint="eastAsia" w:ascii="方正仿宋_GBK" w:hAnsi="方正仿宋_GBK" w:eastAsia="方正仿宋_GBK" w:cs="方正仿宋_GBK"/>
          <w:color w:val="000000" w:themeColor="text1"/>
          <w:sz w:val="28"/>
          <w:szCs w:val="28"/>
          <w14:textFill>
            <w14:solidFill>
              <w14:schemeClr w14:val="tx1"/>
            </w14:solidFill>
          </w14:textFill>
        </w:rPr>
        <w:t>.机关运行经费：为保障行政单位（包含参照公务员法管理的事业单位）运行用于购买货物和服务的各项资金。包括办公及办公费、水费、电费、印刷费、邮电费、差旅费、会议费等费用开支。</w:t>
      </w:r>
    </w:p>
    <w:p>
      <w:pPr>
        <w:rPr>
          <w:rFonts w:ascii="方正仿宋_GBK" w:hAnsi="方正仿宋_GBK" w:eastAsia="方正仿宋_GBK" w:cs="方正仿宋_GBK"/>
          <w:color w:val="000000" w:themeColor="text1"/>
          <w:sz w:val="28"/>
          <w:szCs w:val="28"/>
          <w14:textFill>
            <w14:solidFill>
              <w14:schemeClr w14:val="tx1"/>
            </w14:solidFill>
          </w14:textFill>
        </w:rPr>
      </w:pPr>
    </w:p>
    <w:p>
      <w:pPr>
        <w:rPr>
          <w:rFonts w:ascii="方正仿宋_GBK" w:hAnsi="方正仿宋_GBK" w:eastAsia="方正仿宋_GBK" w:cs="方正仿宋_GBK"/>
          <w:color w:val="000000" w:themeColor="text1"/>
          <w:sz w:val="28"/>
          <w:szCs w:val="28"/>
          <w14:textFill>
            <w14:solidFill>
              <w14:schemeClr w14:val="tx1"/>
            </w14:solidFill>
          </w14:textFill>
        </w:rPr>
      </w:pP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附件：</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巴州区单位部门收支总表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巴州区单位部门收入总表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巴州区单位部门支出总表</w:t>
      </w:r>
    </w:p>
    <w:p>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巴州区单位财政拨款收支预算总表</w:t>
      </w:r>
    </w:p>
    <w:p>
      <w:pPr>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支出</w:t>
      </w:r>
      <w:r>
        <w:rPr>
          <w:rFonts w:hint="eastAsia" w:ascii="方正仿宋_GBK" w:hAnsi="方正仿宋_GBK" w:eastAsia="方正仿宋_GBK" w:cs="方正仿宋_GBK"/>
          <w:color w:val="000000" w:themeColor="text1"/>
          <w:sz w:val="28"/>
          <w:szCs w:val="28"/>
          <w14:textFill>
            <w14:solidFill>
              <w14:schemeClr w14:val="tx1"/>
            </w14:solidFill>
          </w14:textFill>
        </w:rPr>
        <w:t>预算表</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（部门经济分类科目）</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巴州区单位一般公共预算支出预算表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单位一般公共预算基本支出预算表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单位一般公共预算项目支出预算表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单位一般公共预算“三公”经费预算表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政府性基金支出预算表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政府基金预算“三公”经费支出预算表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国有资本经营预算支出预算表</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方正黑体_GBK">
    <w:altName w:val="Arial Unicode MS"/>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p>
    <w:pPr>
      <w:pStyle w:val="4"/>
      <w:rPr>
        <w:rFonts w:hint="eastAsia"/>
        <w:lang w:val="en-US" w:eastAsia="zh-C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0C9154"/>
    <w:multiLevelType w:val="singleLevel"/>
    <w:tmpl w:val="890C9154"/>
    <w:lvl w:ilvl="0" w:tentative="0">
      <w:start w:val="9"/>
      <w:numFmt w:val="chineseCounting"/>
      <w:suff w:val="nothing"/>
      <w:lvlText w:val="%1、"/>
      <w:lvlJc w:val="left"/>
      <w:rPr>
        <w:rFonts w:hint="eastAsia"/>
      </w:rPr>
    </w:lvl>
  </w:abstractNum>
  <w:abstractNum w:abstractNumId="1">
    <w:nsid w:val="EBC59B9C"/>
    <w:multiLevelType w:val="singleLevel"/>
    <w:tmpl w:val="EBC59B9C"/>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OWM1NTAxNGUzMjAzNGU2ODUyZTZiMzZhYTBmMjg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1654F11"/>
    <w:rsid w:val="03645BF2"/>
    <w:rsid w:val="074D6B8E"/>
    <w:rsid w:val="07F24117"/>
    <w:rsid w:val="0D447EE0"/>
    <w:rsid w:val="0E6C1BD7"/>
    <w:rsid w:val="0E805118"/>
    <w:rsid w:val="10A15280"/>
    <w:rsid w:val="11BA65C6"/>
    <w:rsid w:val="12796447"/>
    <w:rsid w:val="13456FB9"/>
    <w:rsid w:val="14BF21C8"/>
    <w:rsid w:val="152F59F0"/>
    <w:rsid w:val="167D51A6"/>
    <w:rsid w:val="18784278"/>
    <w:rsid w:val="19DE74C3"/>
    <w:rsid w:val="1B284042"/>
    <w:rsid w:val="1E334EC9"/>
    <w:rsid w:val="1FC43444"/>
    <w:rsid w:val="21BC1927"/>
    <w:rsid w:val="221727B9"/>
    <w:rsid w:val="222A2295"/>
    <w:rsid w:val="22786182"/>
    <w:rsid w:val="287B46E5"/>
    <w:rsid w:val="2B2C0814"/>
    <w:rsid w:val="2C6C284D"/>
    <w:rsid w:val="2D940DB4"/>
    <w:rsid w:val="2E056F49"/>
    <w:rsid w:val="2E504702"/>
    <w:rsid w:val="2FDF303A"/>
    <w:rsid w:val="30DF180C"/>
    <w:rsid w:val="354D7BA6"/>
    <w:rsid w:val="356F16C9"/>
    <w:rsid w:val="369D33CF"/>
    <w:rsid w:val="389132FB"/>
    <w:rsid w:val="3A042205"/>
    <w:rsid w:val="3AC00080"/>
    <w:rsid w:val="3C923802"/>
    <w:rsid w:val="413F3FB0"/>
    <w:rsid w:val="42DF44BB"/>
    <w:rsid w:val="442F1940"/>
    <w:rsid w:val="48B02D1D"/>
    <w:rsid w:val="4B724269"/>
    <w:rsid w:val="4C013661"/>
    <w:rsid w:val="4DA35C99"/>
    <w:rsid w:val="53727944"/>
    <w:rsid w:val="53F1220D"/>
    <w:rsid w:val="53FA6D69"/>
    <w:rsid w:val="548E009D"/>
    <w:rsid w:val="58496ABB"/>
    <w:rsid w:val="58F61B52"/>
    <w:rsid w:val="5D225DDA"/>
    <w:rsid w:val="5E167440"/>
    <w:rsid w:val="60AC1434"/>
    <w:rsid w:val="60B66CB8"/>
    <w:rsid w:val="61513620"/>
    <w:rsid w:val="63D00091"/>
    <w:rsid w:val="66FC1E27"/>
    <w:rsid w:val="6B5C5152"/>
    <w:rsid w:val="6F9A5420"/>
    <w:rsid w:val="72B62B48"/>
    <w:rsid w:val="72E60FD5"/>
    <w:rsid w:val="74497E7E"/>
    <w:rsid w:val="759E5D0B"/>
    <w:rsid w:val="7AAA0554"/>
    <w:rsid w:val="7AEA1DD4"/>
    <w:rsid w:val="7BAC4726"/>
    <w:rsid w:val="7D673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0"/>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autoRedefine/>
    <w:semiHidden/>
    <w:qFormat/>
    <w:uiPriority w:val="99"/>
    <w:rPr>
      <w:sz w:val="18"/>
      <w:szCs w:val="18"/>
    </w:rPr>
  </w:style>
  <w:style w:type="paragraph" w:customStyle="1" w:styleId="11">
    <w:name w:val="WPSOffice手动目录 1"/>
    <w:autoRedefine/>
    <w:qFormat/>
    <w:uiPriority w:val="0"/>
    <w:rPr>
      <w:rFonts w:asciiTheme="minorHAnsi" w:hAnsiTheme="minorHAnsi" w:eastAsiaTheme="minorEastAsia" w:cstheme="minorBidi"/>
      <w:lang w:val="en-US" w:eastAsia="zh-CN" w:bidi="ar-SA"/>
    </w:rPr>
  </w:style>
  <w:style w:type="paragraph" w:customStyle="1" w:styleId="12">
    <w:name w:val="WPSOffice手动目录 2"/>
    <w:autoRedefine/>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3154</Words>
  <Characters>3451</Characters>
  <Lines>17</Lines>
  <Paragraphs>4</Paragraphs>
  <TotalTime>21</TotalTime>
  <ScaleCrop>false</ScaleCrop>
  <LinksUpToDate>false</LinksUpToDate>
  <CharactersWithSpaces>3694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Administrator</cp:lastModifiedBy>
  <cp:lastPrinted>2020-07-02T03:02:00Z</cp:lastPrinted>
  <dcterms:modified xsi:type="dcterms:W3CDTF">2024-06-24T02:50:37Z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1CD3F6C6D12A48D4A161BA3819EAD928</vt:lpwstr>
  </property>
</Properties>
</file>