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64" w:type="dxa"/>
        <w:jc w:val="center"/>
        <w:tblCellSpacing w:w="0" w:type="dxa"/>
        <w:tblLayout w:type="autofit"/>
        <w:tblCellMar>
          <w:top w:w="0" w:type="dxa"/>
          <w:left w:w="0" w:type="dxa"/>
          <w:bottom w:w="0" w:type="dxa"/>
          <w:right w:w="0" w:type="dxa"/>
        </w:tblCellMar>
      </w:tblPr>
      <w:tblGrid>
        <w:gridCol w:w="8964"/>
      </w:tblGrid>
      <w:tr>
        <w:tblPrEx>
          <w:tblCellMar>
            <w:top w:w="0" w:type="dxa"/>
            <w:left w:w="0" w:type="dxa"/>
            <w:bottom w:w="0" w:type="dxa"/>
            <w:right w:w="0" w:type="dxa"/>
          </w:tblCellMar>
        </w:tblPrEx>
        <w:trPr>
          <w:trHeight w:val="7500" w:hRule="atLeast"/>
          <w:tblCellSpacing w:w="0" w:type="dxa"/>
          <w:jc w:val="center"/>
        </w:trPr>
        <w:tc>
          <w:tcPr>
            <w:tcW w:w="8964" w:type="dxa"/>
            <w:tcMar>
              <w:top w:w="150" w:type="dxa"/>
              <w:left w:w="0" w:type="dxa"/>
              <w:bottom w:w="0" w:type="dxa"/>
              <w:right w:w="0" w:type="dxa"/>
            </w:tcMar>
          </w:tcPr>
          <w:p>
            <w:pPr>
              <w:widowControl/>
              <w:wordWrap w:val="0"/>
              <w:spacing w:line="480" w:lineRule="atLeast"/>
              <w:ind w:firstLine="1800" w:firstLineChars="500"/>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巴中市巴州区清江镇人民政府</w:t>
            </w:r>
          </w:p>
          <w:p>
            <w:pPr>
              <w:widowControl/>
              <w:wordWrap w:val="0"/>
              <w:spacing w:line="480" w:lineRule="atLeast"/>
              <w:ind w:firstLine="2160" w:firstLineChars="60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ind w:firstLine="2880" w:firstLineChars="800"/>
              <w:jc w:val="both"/>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2024年5月15</w:t>
            </w:r>
            <w:bookmarkStart w:id="1" w:name="_GoBack"/>
            <w:bookmarkEnd w:id="1"/>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日</w:t>
            </w:r>
          </w:p>
          <w:p>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清江镇人民政府</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_Toc21256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3</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_Toc25743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4</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"_Toc16544" </w:instrText>
                </w:r>
                <w:r>
                  <w:fldChar w:fldCharType="separate"/>
                </w:r>
                <w:r>
                  <w:rPr>
                    <w:rFonts w:hint="eastAsia" w:ascii="方正仿宋_GBK" w:hAnsi="方正仿宋_GBK" w:eastAsia="方正仿宋_GBK" w:cs="方正仿宋_GBK"/>
                    <w:bCs/>
                    <w:sz w:val="32"/>
                    <w:szCs w:val="32"/>
                  </w:rPr>
                  <w:t>（一）机关运行经费</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（二）政府采购情况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（三）国有资产占有使用情况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"_Toc22569" </w:instrText>
                </w:r>
                <w:r>
                  <w:fldChar w:fldCharType="separate"/>
                </w:r>
                <w:r>
                  <w:rPr>
                    <w:rFonts w:hint="eastAsia" w:ascii="方正仿宋_GBK" w:hAnsi="方正仿宋_GBK" w:eastAsia="方正仿宋_GBK" w:cs="方正仿宋_GBK"/>
                    <w:bCs/>
                    <w:sz w:val="32"/>
                    <w:szCs w:val="32"/>
                  </w:rPr>
                  <w:t>（四）绩效目标设置情况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7</w:t>
                </w:r>
                <w:r>
                  <w:rPr>
                    <w:rFonts w:ascii="Times New Roman" w:hAnsi="Times New Roman" w:eastAsia="方正仿宋_GBK" w:cs="Times New Roman"/>
                    <w:b/>
                    <w:sz w:val="32"/>
                    <w:szCs w:val="32"/>
                  </w:rPr>
                  <w:fldChar w:fldCharType="end"/>
                </w:r>
              </w:p>
              <w:p>
                <w:pPr>
                  <w:widowControl/>
                  <w:wordWrap w:val="0"/>
                  <w:spacing w:line="480" w:lineRule="atLeast"/>
                  <w:ind w:firstLine="1476" w:firstLineChars="700"/>
                  <w:rPr>
                    <w:rFonts w:hint="eastAsia" w:ascii="仿宋_GB2312" w:hAnsi="Calibri" w:eastAsia="仿宋_GB2312" w:cs="Times New Roman"/>
                    <w:b/>
                    <w:sz w:val="21"/>
                    <w:szCs w:val="32"/>
                  </w:rPr>
                </w:pPr>
                <w:r>
                  <w:rPr>
                    <w:rFonts w:ascii="仿宋_GB2312" w:eastAsia="仿宋_GB2312"/>
                    <w:b/>
                    <w:szCs w:val="32"/>
                  </w:rPr>
                  <w:fldChar w:fldCharType="end"/>
                </w:r>
              </w:p>
            </w:sdtContent>
          </w:sdt>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widowControl/>
              <w:wordWrap w:val="0"/>
              <w:spacing w:line="480" w:lineRule="atLeast"/>
              <w:ind w:firstLine="280" w:firstLineChars="100"/>
              <w:jc w:val="both"/>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（一）职能简介</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1.</w:t>
            </w:r>
            <w:r>
              <w:rPr>
                <w:rFonts w:hint="eastAsia" w:ascii="仿宋_GB2312" w:hAnsi="仿宋" w:eastAsia="仿宋_GB2312"/>
                <w:sz w:val="32"/>
                <w:szCs w:val="32"/>
              </w:rPr>
              <w:t>落实国家政策，严格依法行政，发挥经济管理职能，加强政策引导</w:t>
            </w:r>
            <w:r>
              <w:rPr>
                <w:rFonts w:hint="eastAsia" w:ascii="仿宋_GB2312" w:hAnsi="仿宋" w:eastAsia="仿宋_GB2312"/>
                <w:sz w:val="32"/>
                <w:szCs w:val="32"/>
                <w:lang w:eastAsia="zh-CN"/>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firstLineChars="200"/>
              <w:rPr>
                <w:rFonts w:hint="eastAsia" w:ascii="仿宋_GB2312" w:hAnsi="仿宋" w:eastAsia="仿宋_GB2312"/>
                <w:sz w:val="32"/>
                <w:szCs w:val="32"/>
                <w:lang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2. </w:t>
            </w:r>
            <w:r>
              <w:rPr>
                <w:rFonts w:hint="eastAsia" w:ascii="仿宋_GB2312" w:hAnsi="仿宋" w:eastAsia="仿宋_GB2312"/>
                <w:sz w:val="32"/>
                <w:szCs w:val="32"/>
              </w:rPr>
              <w:t>制定发展规划，服务市场主体和营造发展环境，搞好市场监管，大力促进社会事业发展，发展镇村经济、文化和社会事</w:t>
            </w:r>
            <w:r>
              <w:rPr>
                <w:rFonts w:hint="eastAsia" w:ascii="仿宋_GB2312" w:hAnsi="仿宋" w:eastAsia="仿宋_GB2312"/>
                <w:sz w:val="32"/>
                <w:szCs w:val="32"/>
                <w:lang w:eastAsia="zh-CN"/>
              </w:rPr>
              <w:t>业；</w:t>
            </w:r>
          </w:p>
          <w:p>
            <w:pPr>
              <w:widowControl/>
              <w:wordWrap w:val="0"/>
              <w:spacing w:line="480" w:lineRule="atLeast"/>
              <w:ind w:firstLine="560" w:firstLineChars="200"/>
              <w:rPr>
                <w:rFonts w:hint="eastAsia" w:ascii="仿宋_GB2312" w:hAnsi="仿宋" w:eastAsia="仿宋_GB2312"/>
                <w:sz w:val="32"/>
                <w:szCs w:val="32"/>
                <w:lang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3. </w:t>
            </w:r>
            <w:r>
              <w:rPr>
                <w:rFonts w:hint="eastAsia" w:ascii="仿宋_GB2312" w:hAnsi="仿宋" w:eastAsia="仿宋_GB2312"/>
                <w:sz w:val="32"/>
                <w:szCs w:val="32"/>
              </w:rPr>
              <w:t>提供公共服务，维护社会稳定，构建社会主义和谐社会</w:t>
            </w:r>
            <w:r>
              <w:rPr>
                <w:rFonts w:hint="eastAsia" w:ascii="仿宋_GB2312" w:hAnsi="仿宋" w:eastAsia="仿宋_GB2312"/>
                <w:sz w:val="32"/>
                <w:szCs w:val="32"/>
                <w:lang w:eastAsia="zh-CN"/>
              </w:rPr>
              <w:t>。</w:t>
            </w:r>
          </w:p>
          <w:p>
            <w:pPr>
              <w:widowControl/>
              <w:wordWrap w:val="0"/>
              <w:spacing w:line="480" w:lineRule="atLeast"/>
              <w:ind w:firstLine="280" w:firstLineChars="1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楷体_GB2312" w:hAnsi="宋体" w:eastAsia="楷体_GB2312" w:cs="宋体"/>
                <w:color w:val="000000" w:themeColor="text1"/>
                <w:kern w:val="0"/>
                <w:sz w:val="28"/>
                <w:szCs w:val="28"/>
                <w:lang w:eastAsia="zh-CN"/>
                <w14:textFill>
                  <w14:solidFill>
                    <w14:schemeClr w14:val="tx1"/>
                  </w14:solidFill>
                </w14:textFill>
              </w:rPr>
              <w:t>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乡村振兴工作；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加强环境整治，创文迎检</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化解城港国际、通州新城、金科二期、工业园的还房矛盾</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2" w:firstLineChars="200"/>
              <w:rPr>
                <w:rFonts w:hint="eastAsia" w:ascii="仿宋_GB2312" w:hAnsi="宋体" w:eastAsia="仿宋_GB2312" w:cs="宋体"/>
                <w:b/>
                <w:bCs/>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完成土地增减挂钩扫尾工程。</w:t>
            </w:r>
          </w:p>
          <w:p>
            <w:pPr>
              <w:widowControl/>
              <w:wordWrap w:val="0"/>
              <w:spacing w:line="480" w:lineRule="atLeast"/>
              <w:ind w:firstLine="562" w:firstLineChars="200"/>
              <w:rPr>
                <w:rFonts w:hint="default" w:ascii="仿宋_GB2312" w:hAnsi="宋体" w:eastAsia="仿宋_GB2312" w:cs="宋体"/>
                <w:b/>
                <w:bCs/>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5、巾子村“千万工程”实施。</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r>
              <w:rPr>
                <w:rFonts w:hint="eastAsia" w:ascii="仿宋_GB2312" w:hAnsi="宋体" w:eastAsia="仿宋_GB2312" w:cs="宋体"/>
                <w:color w:val="000000" w:themeColor="text1"/>
                <w:kern w:val="0"/>
                <w:sz w:val="28"/>
                <w:szCs w:val="28"/>
                <w14:textFill>
                  <w14:solidFill>
                    <w14:schemeClr w14:val="tx1"/>
                  </w14:solidFill>
                </w14:textFill>
              </w:rPr>
              <w:t>个。主要包括：</w:t>
            </w:r>
            <w:r>
              <w:rPr>
                <w:rFonts w:hint="eastAsia" w:ascii="仿宋_GB2312" w:hAnsi="宋体" w:eastAsia="仿宋_GB2312" w:cs="宋体"/>
                <w:color w:val="000000" w:themeColor="text1"/>
                <w:kern w:val="0"/>
                <w:sz w:val="28"/>
                <w:szCs w:val="28"/>
                <w:lang w:eastAsia="zh-CN"/>
                <w14:textFill>
                  <w14:solidFill>
                    <w14:schemeClr w14:val="tx1"/>
                  </w14:solidFill>
                </w14:textFill>
              </w:rPr>
              <w:t>清江镇人民政府财政所、清江镇便民服务中心、清江镇农业综合服务中心、清江镇农民工服务中心、清江镇公共事务服务中心、清江镇村镇建设服务中心</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按照综合预算的原则，</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1358.84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92.83</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7.17</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541.33</w:t>
            </w:r>
            <w:r>
              <w:rPr>
                <w:rFonts w:hint="eastAsia" w:ascii="仿宋_GB2312" w:hAnsi="宋体" w:eastAsia="仿宋_GB2312" w:cs="宋体"/>
                <w:color w:val="000000" w:themeColor="text1"/>
                <w:kern w:val="0"/>
                <w:sz w:val="28"/>
                <w:szCs w:val="28"/>
                <w14:textFill>
                  <w14:solidFill>
                    <w14:schemeClr w14:val="tx1"/>
                  </w14:solidFill>
                </w14:textFill>
              </w:rPr>
              <w:t>万元、教育支出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、城乡社区支出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252.08万元、农林水支出552.28万元</w:t>
            </w:r>
            <w:r>
              <w:rPr>
                <w:rFonts w:hint="eastAsia" w:ascii="仿宋_GB2312" w:hAnsi="宋体" w:eastAsia="仿宋_GB2312" w:cs="宋体"/>
                <w:color w:val="000000" w:themeColor="text1"/>
                <w:kern w:val="0"/>
                <w:sz w:val="28"/>
                <w:szCs w:val="28"/>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45.599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33.41</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39.14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pPr>
              <w:widowControl/>
              <w:wordWrap w:val="0"/>
              <w:spacing w:line="480" w:lineRule="atLeast"/>
              <w:ind w:left="559" w:leftChars="266" w:firstLine="0" w:firstLineChars="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1463.84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其中一般公共服务支出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541.33万元</w:t>
            </w:r>
            <w:r>
              <w:rPr>
                <w:rFonts w:hint="eastAsia" w:ascii="仿宋_GB2312" w:hAnsi="宋体" w:eastAsia="仿宋_GB2312" w:cs="宋体"/>
                <w:color w:val="000000" w:themeColor="text1"/>
                <w:kern w:val="0"/>
                <w:sz w:val="28"/>
                <w:szCs w:val="28"/>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36.99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养老保险支出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45.59万元、占3.11%，</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城乡社区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252.08</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17.22</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552.28</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37.73</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33.41万元，占2.28%；住房保障支出39.14万元，占2.67%</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人大事务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政府办公厅（室）及相关机构事务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412.39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纪检监察事务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32.05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群众团体事务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党委办公厅（室）及相关机构事务（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33.7</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14:textFill>
                  <w14:solidFill>
                    <w14:schemeClr w14:val="tx1"/>
                  </w14:solidFill>
                </w14:textFill>
              </w:rPr>
              <w:t>2.</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一般公共服务</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政府办公厅（室）及相关机构事务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50</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万元，主要用于：机关及所属单位开展 未单独设置项级科目的专门性</w:t>
            </w:r>
            <w:r>
              <w:rPr>
                <w:rFonts w:hint="eastAsia" w:ascii="仿宋_GB2312" w:hAnsi="宋体" w:eastAsia="仿宋_GB2312" w:cs="宋体"/>
                <w:color w:val="000000" w:themeColor="text1"/>
                <w:kern w:val="0"/>
                <w:sz w:val="28"/>
                <w:szCs w:val="28"/>
                <w:lang w:eastAsia="zh-CN"/>
                <w14:textFill>
                  <w14:solidFill>
                    <w14:schemeClr w14:val="tx1"/>
                  </w14:solidFill>
                </w14:textFill>
              </w:rPr>
              <w:t>保障</w:t>
            </w:r>
            <w:r>
              <w:rPr>
                <w:rFonts w:hint="eastAsia" w:ascii="仿宋_GB2312" w:hAnsi="宋体" w:eastAsia="仿宋_GB2312" w:cs="宋体"/>
                <w:color w:val="000000" w:themeColor="text1"/>
                <w:kern w:val="0"/>
                <w:sz w:val="28"/>
                <w:szCs w:val="28"/>
                <w14:textFill>
                  <w14:solidFill>
                    <w14:schemeClr w14:val="tx1"/>
                  </w14:solidFill>
                </w14:textFill>
              </w:rPr>
              <w:t xml:space="preserve"> 工作的项目支出。　</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ascii="仿宋_GB2312" w:hAnsi="宋体" w:eastAsia="仿宋_GB2312" w:cs="宋体"/>
                <w:b/>
                <w:bCs/>
                <w:color w:val="000000" w:themeColor="text1"/>
                <w:kern w:val="0"/>
                <w:sz w:val="28"/>
                <w:szCs w:val="28"/>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45.59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ascii="仿宋_GB2312" w:hAnsi="宋体" w:eastAsia="仿宋_GB2312" w:cs="宋体"/>
                <w:b/>
                <w:bCs/>
                <w:color w:val="000000" w:themeColor="text1"/>
                <w:kern w:val="0"/>
                <w:sz w:val="28"/>
                <w:szCs w:val="28"/>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33.41</w:t>
            </w:r>
            <w:r>
              <w:rPr>
                <w:rFonts w:hint="eastAsia" w:ascii="仿宋_GB2312" w:hAnsi="宋体" w:eastAsia="仿宋_GB2312" w:cs="宋体"/>
                <w:color w:val="000000" w:themeColor="text1"/>
                <w:kern w:val="0"/>
                <w:sz w:val="28"/>
                <w:szCs w:val="28"/>
                <w14:textFill>
                  <w14:solidFill>
                    <w14:schemeClr w14:val="tx1"/>
                  </w14:solidFill>
                </w14:textFill>
              </w:rPr>
              <w:t>万元，主要用于： 机关及参公管理事业单位基本医疗保险缴费支出。</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ascii="仿宋_GB2312" w:hAnsi="宋体" w:eastAsia="仿宋_GB2312" w:cs="宋体"/>
                <w:b/>
                <w:bCs/>
                <w:color w:val="000000" w:themeColor="text1"/>
                <w:kern w:val="0"/>
                <w:sz w:val="28"/>
                <w:szCs w:val="28"/>
                <w14:textFill>
                  <w14:solidFill>
                    <w14:schemeClr w14:val="tx1"/>
                  </w14:solidFill>
                </w14:textFill>
              </w:rPr>
              <w:t>5</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6</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39.14</w:t>
            </w:r>
            <w:r>
              <w:rPr>
                <w:rFonts w:hint="eastAsia" w:ascii="仿宋_GB2312" w:hAnsi="宋体" w:eastAsia="仿宋_GB2312" w:cs="宋体"/>
                <w:color w:val="000000" w:themeColor="text1"/>
                <w:kern w:val="0"/>
                <w:sz w:val="28"/>
                <w:szCs w:val="28"/>
                <w14:textFill>
                  <w14:solidFill>
                    <w14:schemeClr w14:val="tx1"/>
                  </w14:solidFill>
                </w14:textFill>
              </w:rPr>
              <w:t>万元，主要用于：部门按人力资源和社会保障部、财政部规定的基本工资和津贴补贴以及规定比例为职工缴纳的住房公积金支出。</w:t>
            </w:r>
          </w:p>
          <w:p>
            <w:pPr>
              <w:ind w:firstLine="560" w:firstLineChars="200"/>
              <w:rPr>
                <w:rFonts w:ascii="仿宋_GB2312" w:eastAsia="仿宋_GB2312"/>
                <w:sz w:val="28"/>
                <w:szCs w:val="28"/>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7.城乡社区支出（类）城乡社区管理事务（款）其他城乡社区管理事务支出（项）：2024年预算数为197.08万元，主要用于：清江镇4个社区的</w:t>
            </w:r>
            <w:r>
              <w:rPr>
                <w:rFonts w:hint="eastAsia" w:ascii="仿宋_GB2312" w:eastAsia="仿宋_GB2312"/>
                <w:sz w:val="28"/>
                <w:szCs w:val="28"/>
              </w:rPr>
              <w:t>正常运转的基本支出，包括各社区干部生活补助以及基层组织活动与公共服务运行经费支出。</w:t>
            </w:r>
          </w:p>
          <w:p>
            <w:pPr>
              <w:ind w:firstLine="560" w:firstLineChars="200"/>
              <w:rPr>
                <w:rFonts w:ascii="仿宋_GB2312" w:eastAsia="仿宋_GB2312"/>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8.农林水支出（类）农村综合改革（款）对村民委员会和村党支部的补助（项）552.28万元，主要用于：清江镇17个村的</w:t>
            </w:r>
            <w:r>
              <w:rPr>
                <w:rFonts w:hint="eastAsia" w:ascii="仿宋_GB2312" w:eastAsia="仿宋_GB2312"/>
                <w:sz w:val="28"/>
                <w:szCs w:val="28"/>
              </w:rPr>
              <w:t>正常运转的基本支出，包括各</w:t>
            </w:r>
            <w:r>
              <w:rPr>
                <w:rFonts w:hint="eastAsia" w:ascii="仿宋_GB2312" w:eastAsia="仿宋_GB2312"/>
                <w:sz w:val="28"/>
                <w:szCs w:val="28"/>
                <w:lang w:eastAsia="zh-CN"/>
              </w:rPr>
              <w:t>村</w:t>
            </w:r>
            <w:r>
              <w:rPr>
                <w:rFonts w:hint="eastAsia" w:ascii="仿宋_GB2312" w:eastAsia="仿宋_GB2312"/>
                <w:sz w:val="28"/>
                <w:szCs w:val="28"/>
              </w:rPr>
              <w:t>干部生活补助以及基层组织活动与公共服务运行经费支出。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1358.84</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1013.82</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345.02</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w:t>
            </w:r>
            <w:r>
              <w:rPr>
                <w:rFonts w:hint="eastAsia" w:ascii="楷体_GB2312" w:hAnsi="宋体" w:eastAsia="楷体_GB2312" w:cs="宋体"/>
                <w:color w:val="000000" w:themeColor="text1"/>
                <w:kern w:val="0"/>
                <w:sz w:val="28"/>
                <w:szCs w:val="28"/>
                <w:lang w:eastAsia="zh-CN"/>
                <w14:textFill>
                  <w14:solidFill>
                    <w14:schemeClr w14:val="tx1"/>
                  </w14:solidFill>
                </w14:textFill>
              </w:rPr>
              <w:t>支出，与上</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支出，</w:t>
            </w:r>
            <w:r>
              <w:rPr>
                <w:rFonts w:hint="eastAsia" w:ascii="楷体_GB2312" w:hAnsi="宋体" w:eastAsia="楷体_GB2312" w:cs="宋体"/>
                <w:color w:val="000000" w:themeColor="text1"/>
                <w:kern w:val="0"/>
                <w:sz w:val="28"/>
                <w:szCs w:val="28"/>
                <w14:textFill>
                  <w14:solidFill>
                    <w14:schemeClr w14:val="tx1"/>
                  </w14:solidFill>
                </w14:textFill>
              </w:rPr>
              <w:t>与</w:t>
            </w:r>
            <w:r>
              <w:rPr>
                <w:rFonts w:hint="eastAsia" w:ascii="楷体_GB2312" w:hAnsi="宋体" w:eastAsia="楷体_GB2312" w:cs="宋体"/>
                <w:color w:val="000000" w:themeColor="text1"/>
                <w:kern w:val="0"/>
                <w:sz w:val="28"/>
                <w:szCs w:val="28"/>
                <w:lang w:eastAsia="zh-CN"/>
                <w14:textFill>
                  <w14:solidFill>
                    <w14:schemeClr w14:val="tx1"/>
                  </w14:solidFill>
                </w14:textFill>
              </w:rPr>
              <w:t>上</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w:t>
            </w:r>
            <w:r>
              <w:rPr>
                <w:rFonts w:hint="eastAsia" w:ascii="楷体_GB2312" w:hAnsi="宋体" w:eastAsia="楷体_GB2312" w:cs="宋体"/>
                <w:color w:val="000000" w:themeColor="text1"/>
                <w:kern w:val="0"/>
                <w:sz w:val="28"/>
                <w:szCs w:val="28"/>
                <w:lang w:eastAsia="zh-CN"/>
                <w14:textFill>
                  <w14:solidFill>
                    <w14:schemeClr w14:val="tx1"/>
                  </w14:solidFill>
                </w14:textFill>
              </w:rPr>
              <w:t>支出，与上年持平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w:t>
            </w:r>
            <w:r>
              <w:rPr>
                <w:rFonts w:hint="default" w:ascii="仿宋_GB2312" w:hAnsi="宋体" w:eastAsia="仿宋_GB2312" w:cs="宋体"/>
                <w:color w:val="000000" w:themeColor="text1"/>
                <w:kern w:val="0"/>
                <w:sz w:val="28"/>
                <w:szCs w:val="28"/>
                <w:lang w:val="en-US"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规定，严控各项接待支出</w:t>
            </w:r>
            <w:r>
              <w:rPr>
                <w:rFonts w:hint="eastAsia" w:ascii="仿宋_GB2312" w:hAnsi="宋体" w:eastAsia="仿宋_GB2312" w:cs="宋体"/>
                <w:color w:val="000000" w:themeColor="text1"/>
                <w:kern w:val="0"/>
                <w:sz w:val="28"/>
                <w:szCs w:val="28"/>
                <w14:textFill>
                  <w14:solidFill>
                    <w14:schemeClr w14:val="tx1"/>
                  </w14:solidFill>
                </w14:textFill>
              </w:rPr>
              <w:t>。</w:t>
            </w:r>
          </w:p>
          <w:p>
            <w:pPr>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下属单位运行经费财政拨款预算为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w:t>
            </w:r>
            <w:r>
              <w:rPr>
                <w:rFonts w:hint="eastAsia" w:ascii="仿宋_GB2312" w:hAnsi="宋体" w:eastAsia="仿宋_GB2312" w:cs="宋体"/>
                <w:color w:val="000000" w:themeColor="text1"/>
                <w:kern w:val="0"/>
                <w:sz w:val="28"/>
                <w:szCs w:val="28"/>
                <w14:textFill>
                  <w14:solidFill>
                    <w14:schemeClr w14:val="tx1"/>
                  </w14:solidFill>
                </w14:textFill>
              </w:rPr>
              <w:t>所属各预算单位</w:t>
            </w:r>
            <w:r>
              <w:rPr>
                <w:rFonts w:hint="eastAsia" w:ascii="仿宋_GB2312" w:hAnsi="宋体" w:eastAsia="仿宋_GB2312" w:cs="宋体"/>
                <w:color w:val="000000" w:themeColor="text1"/>
                <w:kern w:val="0"/>
                <w:sz w:val="28"/>
                <w:szCs w:val="28"/>
                <w:lang w:eastAsia="zh-CN"/>
                <w14:textFill>
                  <w14:solidFill>
                    <w14:schemeClr w14:val="tx1"/>
                  </w14:solidFill>
                </w14:textFill>
              </w:rPr>
              <w:t>没有</w:t>
            </w:r>
            <w:r>
              <w:rPr>
                <w:rFonts w:hint="eastAsia" w:ascii="仿宋_GB2312" w:hAnsi="宋体" w:eastAsia="仿宋_GB2312" w:cs="宋体"/>
                <w:color w:val="000000" w:themeColor="text1"/>
                <w:kern w:val="0"/>
                <w:sz w:val="28"/>
                <w:szCs w:val="28"/>
                <w14:textFill>
                  <w14:solidFill>
                    <w14:schemeClr w14:val="tx1"/>
                  </w14:solidFill>
                </w14:textFill>
              </w:rPr>
              <w:t>车辆</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ind w:firstLine="560" w:firstLineChars="200"/>
              <w:rPr>
                <w:rFonts w:ascii="仿宋_GB2312" w:eastAsia="仿宋_GB2312"/>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50万元</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eastAsia="仿宋_GB2312"/>
                <w:sz w:val="28"/>
                <w:szCs w:val="28"/>
              </w:rPr>
              <w:t>绩效目标是预算编制的前提和基础，按照“费随事定”的原则，乡镇基本财力保障项目</w:t>
            </w:r>
            <w:r>
              <w:rPr>
                <w:rFonts w:hint="eastAsia" w:ascii="Times New Roman" w:hAnsi="Times New Roman" w:eastAsia="仿宋_GB2312"/>
                <w:sz w:val="28"/>
                <w:szCs w:val="28"/>
                <w:lang w:val="en-US" w:eastAsia="zh-CN"/>
              </w:rPr>
              <w:t>50</w:t>
            </w:r>
            <w:r>
              <w:rPr>
                <w:rFonts w:hint="eastAsia" w:ascii="仿宋_GB2312" w:eastAsia="仿宋_GB2312"/>
                <w:sz w:val="28"/>
                <w:szCs w:val="28"/>
              </w:rPr>
              <w:t>万元纳入绩效目标。同时按要求细化绩效目标,从项目完成、项目效益、满意度等方面设置了绩效指标，综合反映项目预期完成的数量、成本、时效、质量，预期达到的社会效益、经济效益、生态效益、可持续影响以及服务对象满意度等情况。</w:t>
            </w:r>
          </w:p>
          <w:p>
            <w:pPr>
              <w:pStyle w:val="2"/>
              <w:ind w:firstLine="560" w:firstLineChars="200"/>
              <w:rPr>
                <w:rFonts w:ascii="方正黑体_GBK" w:hAnsi="方正黑体_GBK" w:eastAsia="方正黑体_GBK" w:cs="方正黑体_GBK"/>
                <w:sz w:val="28"/>
                <w:szCs w:val="28"/>
              </w:rPr>
            </w:pPr>
            <w:bookmarkStart w:id="0" w:name="_Toc30601"/>
            <w:r>
              <w:rPr>
                <w:rFonts w:hint="eastAsia" w:ascii="方正黑体_GBK" w:hAnsi="方正黑体_GBK" w:eastAsia="方正黑体_GBK" w:cs="方正黑体_GBK"/>
                <w:sz w:val="28"/>
                <w:szCs w:val="28"/>
              </w:rPr>
              <w:t>十、名词解释</w:t>
            </w:r>
            <w:bookmarkEnd w:id="0"/>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ascii="Times New Roman" w:hAnsi="Times New Roman" w:eastAsia="仿宋_GB2312"/>
                <w:sz w:val="28"/>
                <w:szCs w:val="28"/>
              </w:rPr>
              <w:t>2021</w:t>
            </w:r>
            <w:r>
              <w:rPr>
                <w:rFonts w:hint="eastAsia" w:ascii="仿宋_GB2312" w:eastAsia="仿宋_GB2312"/>
                <w:sz w:val="28"/>
                <w:szCs w:val="28"/>
              </w:rPr>
              <w:t>年巴州区单位部门支出总表</w:t>
            </w:r>
          </w:p>
          <w:p>
            <w:pPr>
              <w:ind w:firstLine="560" w:firstLineChars="200"/>
              <w:rPr>
                <w:rFonts w:hint="eastAsia"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Times New Roman" w:hAnsi="Times New Roman" w:eastAsia="仿宋_GB2312"/>
                <w:sz w:val="28"/>
                <w:szCs w:val="28"/>
                <w:lang w:val="en-US" w:eastAsia="zh-CN"/>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w:t>
            </w:r>
            <w:r>
              <w:rPr>
                <w:rFonts w:hint="eastAsia" w:ascii="仿宋_GB2312" w:eastAsia="仿宋_GB2312"/>
                <w:sz w:val="28"/>
                <w:szCs w:val="28"/>
                <w:lang w:eastAsia="zh-CN"/>
              </w:rPr>
              <w:t>支出</w:t>
            </w:r>
            <w:r>
              <w:rPr>
                <w:rFonts w:hint="eastAsia" w:ascii="仿宋_GB2312" w:eastAsia="仿宋_GB2312"/>
                <w:sz w:val="28"/>
                <w:szCs w:val="28"/>
              </w:rPr>
              <w:t>预算表</w:t>
            </w:r>
            <w:r>
              <w:rPr>
                <w:rFonts w:hint="eastAsia" w:ascii="仿宋_GB2312" w:eastAsia="仿宋_GB2312"/>
                <w:sz w:val="28"/>
                <w:szCs w:val="28"/>
                <w:lang w:eastAsia="zh-CN"/>
              </w:rPr>
              <w:t>（部门经济分类科目）</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widowControl/>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64"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3321"/>
        <w:tab w:val="clear" w:pos="4153"/>
      </w:tabs>
      <w:rPr>
        <w:rFonts w:hint="default"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DD7CC9"/>
    <w:rsid w:val="0204292B"/>
    <w:rsid w:val="02E64BB8"/>
    <w:rsid w:val="047479E8"/>
    <w:rsid w:val="06614937"/>
    <w:rsid w:val="077214FE"/>
    <w:rsid w:val="086025DD"/>
    <w:rsid w:val="0926412B"/>
    <w:rsid w:val="096A40D4"/>
    <w:rsid w:val="0ACA6095"/>
    <w:rsid w:val="0ADB77CA"/>
    <w:rsid w:val="0B370D50"/>
    <w:rsid w:val="0B641181"/>
    <w:rsid w:val="0D6A5DCB"/>
    <w:rsid w:val="0E994752"/>
    <w:rsid w:val="0ECC7523"/>
    <w:rsid w:val="0F805B4A"/>
    <w:rsid w:val="10C42FEA"/>
    <w:rsid w:val="114828DC"/>
    <w:rsid w:val="13DB3C51"/>
    <w:rsid w:val="14642E9F"/>
    <w:rsid w:val="15BD315F"/>
    <w:rsid w:val="15EE7D7F"/>
    <w:rsid w:val="16D95729"/>
    <w:rsid w:val="17826ED4"/>
    <w:rsid w:val="17E370B5"/>
    <w:rsid w:val="18D33791"/>
    <w:rsid w:val="18D623E3"/>
    <w:rsid w:val="1B3C71D0"/>
    <w:rsid w:val="1E66223E"/>
    <w:rsid w:val="1EBB1632"/>
    <w:rsid w:val="20983166"/>
    <w:rsid w:val="218C0344"/>
    <w:rsid w:val="224E08E9"/>
    <w:rsid w:val="23424523"/>
    <w:rsid w:val="23EF1892"/>
    <w:rsid w:val="2457528E"/>
    <w:rsid w:val="2785528B"/>
    <w:rsid w:val="27903DD5"/>
    <w:rsid w:val="27F157AD"/>
    <w:rsid w:val="2863609A"/>
    <w:rsid w:val="2A1A0CEB"/>
    <w:rsid w:val="2A5937A5"/>
    <w:rsid w:val="2BA40C6E"/>
    <w:rsid w:val="2DEA37A4"/>
    <w:rsid w:val="2EA452C2"/>
    <w:rsid w:val="2F2F348A"/>
    <w:rsid w:val="2FB47FD9"/>
    <w:rsid w:val="30882C0D"/>
    <w:rsid w:val="30E83451"/>
    <w:rsid w:val="313A67AF"/>
    <w:rsid w:val="31857392"/>
    <w:rsid w:val="31FE5085"/>
    <w:rsid w:val="33533102"/>
    <w:rsid w:val="34AF4725"/>
    <w:rsid w:val="36856805"/>
    <w:rsid w:val="382D4333"/>
    <w:rsid w:val="3A1A70F5"/>
    <w:rsid w:val="3A5D3B72"/>
    <w:rsid w:val="3ACB7B2C"/>
    <w:rsid w:val="3B890A46"/>
    <w:rsid w:val="3B8B0344"/>
    <w:rsid w:val="3D4C7349"/>
    <w:rsid w:val="400923E1"/>
    <w:rsid w:val="407E3235"/>
    <w:rsid w:val="409C66E9"/>
    <w:rsid w:val="425C074D"/>
    <w:rsid w:val="4262727B"/>
    <w:rsid w:val="48504ACD"/>
    <w:rsid w:val="49490347"/>
    <w:rsid w:val="49A14B2D"/>
    <w:rsid w:val="49CF3448"/>
    <w:rsid w:val="4A291591"/>
    <w:rsid w:val="4C5145E8"/>
    <w:rsid w:val="526B7ECB"/>
    <w:rsid w:val="545F05E9"/>
    <w:rsid w:val="571B53DB"/>
    <w:rsid w:val="58C535D4"/>
    <w:rsid w:val="59D102C2"/>
    <w:rsid w:val="59F57A0B"/>
    <w:rsid w:val="5CAA1417"/>
    <w:rsid w:val="5CFB22FD"/>
    <w:rsid w:val="5E9842F9"/>
    <w:rsid w:val="5FD14540"/>
    <w:rsid w:val="60737DD4"/>
    <w:rsid w:val="621F23DD"/>
    <w:rsid w:val="63424833"/>
    <w:rsid w:val="65056549"/>
    <w:rsid w:val="67B16031"/>
    <w:rsid w:val="68247C91"/>
    <w:rsid w:val="685D1F93"/>
    <w:rsid w:val="688719C8"/>
    <w:rsid w:val="68C77CB4"/>
    <w:rsid w:val="68ED6177"/>
    <w:rsid w:val="6AA42102"/>
    <w:rsid w:val="6F847DBE"/>
    <w:rsid w:val="72F07E08"/>
    <w:rsid w:val="74224157"/>
    <w:rsid w:val="79CF293B"/>
    <w:rsid w:val="7CA34B96"/>
    <w:rsid w:val="7D3F1532"/>
    <w:rsid w:val="7E215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autoRedefine/>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3905</Words>
  <Characters>4287</Characters>
  <Lines>17</Lines>
  <Paragraphs>4</Paragraphs>
  <TotalTime>53</TotalTime>
  <ScaleCrop>false</ScaleCrop>
  <LinksUpToDate>false</LinksUpToDate>
  <CharactersWithSpaces>4540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2024-06-24T02:54:15Z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82FB58E6FCC64C37BFC4976BA660CCDB</vt:lpwstr>
  </property>
</Properties>
</file>