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黑体" w:hAnsi="黑体" w:eastAsia="黑体" w:cs="黑体"/>
          <w:b/>
          <w:bCs/>
          <w:color w:val="000000" w:themeColor="text1"/>
          <w:kern w:val="0"/>
          <w:sz w:val="44"/>
          <w:szCs w:val="44"/>
          <w14:textFill>
            <w14:solidFill>
              <w14:schemeClr w14:val="tx1"/>
            </w14:solidFill>
          </w14:textFill>
        </w:rPr>
      </w:pPr>
    </w:p>
    <w:p>
      <w:pPr>
        <w:widowControl/>
        <w:wordWrap w:val="0"/>
        <w:spacing w:line="480" w:lineRule="atLeast"/>
        <w:jc w:val="center"/>
        <w:rPr>
          <w:rFonts w:hint="eastAsia" w:ascii="方正小标宋_GBK" w:hAnsi="方正小标宋_GBK" w:eastAsia="方正小标宋_GBK" w:cs="方正小标宋_GBK"/>
          <w:b w:val="0"/>
          <w:bCs w:val="0"/>
          <w:color w:val="000000" w:themeColor="text1"/>
          <w:kern w:val="0"/>
          <w:sz w:val="52"/>
          <w:szCs w:val="52"/>
          <w14:textFill>
            <w14:solidFill>
              <w14:schemeClr w14:val="tx1"/>
            </w14:solidFill>
          </w14:textFill>
        </w:rPr>
      </w:pPr>
      <w:r>
        <w:rPr>
          <w:rFonts w:hint="eastAsia" w:ascii="方正小标宋_GBK" w:hAnsi="方正小标宋_GBK" w:eastAsia="方正小标宋_GBK" w:cs="方正小标宋_GBK"/>
          <w:b w:val="0"/>
          <w:bCs w:val="0"/>
          <w:color w:val="000000" w:themeColor="text1"/>
          <w:kern w:val="0"/>
          <w:sz w:val="52"/>
          <w:szCs w:val="52"/>
          <w:lang w:val="en-US" w:eastAsia="zh-CN"/>
          <w14:textFill>
            <w14:solidFill>
              <w14:schemeClr w14:val="tx1"/>
            </w14:solidFill>
          </w14:textFill>
        </w:rPr>
        <w:t>巴中市</w:t>
      </w:r>
      <w:r>
        <w:rPr>
          <w:rFonts w:hint="eastAsia" w:ascii="方正小标宋_GBK" w:hAnsi="方正小标宋_GBK" w:eastAsia="方正小标宋_GBK" w:cs="方正小标宋_GBK"/>
          <w:b w:val="0"/>
          <w:bCs w:val="0"/>
          <w:color w:val="000000" w:themeColor="text1"/>
          <w:kern w:val="0"/>
          <w:sz w:val="52"/>
          <w:szCs w:val="52"/>
          <w14:textFill>
            <w14:solidFill>
              <w14:schemeClr w14:val="tx1"/>
            </w14:solidFill>
          </w14:textFill>
        </w:rPr>
        <w:t>巴州区</w:t>
      </w:r>
      <w:r>
        <w:rPr>
          <w:rFonts w:hint="eastAsia" w:ascii="方正小标宋_GBK" w:hAnsi="方正小标宋_GBK" w:eastAsia="方正小标宋_GBK" w:cs="方正小标宋_GBK"/>
          <w:b w:val="0"/>
          <w:bCs w:val="0"/>
          <w:color w:val="000000" w:themeColor="text1"/>
          <w:kern w:val="0"/>
          <w:sz w:val="52"/>
          <w:szCs w:val="52"/>
          <w:lang w:val="en-US" w:eastAsia="zh-CN"/>
          <w14:textFill>
            <w14:solidFill>
              <w14:schemeClr w14:val="tx1"/>
            </w14:solidFill>
          </w14:textFill>
        </w:rPr>
        <w:t>凤溪</w:t>
      </w:r>
      <w:r>
        <w:rPr>
          <w:rFonts w:hint="eastAsia" w:ascii="方正小标宋_GBK" w:hAnsi="方正小标宋_GBK" w:eastAsia="方正小标宋_GBK" w:cs="方正小标宋_GBK"/>
          <w:b w:val="0"/>
          <w:bCs w:val="0"/>
          <w:color w:val="000000" w:themeColor="text1"/>
          <w:kern w:val="0"/>
          <w:sz w:val="52"/>
          <w:szCs w:val="52"/>
          <w14:textFill>
            <w14:solidFill>
              <w14:schemeClr w14:val="tx1"/>
            </w14:solidFill>
          </w14:textFill>
        </w:rPr>
        <w:t>镇便民服务中心</w:t>
      </w:r>
    </w:p>
    <w:p>
      <w:pPr>
        <w:widowControl/>
        <w:wordWrap w:val="0"/>
        <w:spacing w:line="480" w:lineRule="atLeast"/>
        <w:jc w:val="center"/>
        <w:rPr>
          <w:rFonts w:hint="eastAsia" w:ascii="方正小标宋_GBK" w:hAnsi="方正小标宋_GBK" w:eastAsia="方正小标宋_GBK" w:cs="方正小标宋_GBK"/>
          <w:b w:val="0"/>
          <w:bCs w:val="0"/>
          <w:color w:val="000000" w:themeColor="text1"/>
          <w:kern w:val="0"/>
          <w:sz w:val="52"/>
          <w:szCs w:val="52"/>
          <w:lang w:eastAsia="zh-CN"/>
          <w14:textFill>
            <w14:solidFill>
              <w14:schemeClr w14:val="tx1"/>
            </w14:solidFill>
          </w14:textFill>
        </w:rPr>
      </w:pPr>
      <w:r>
        <w:rPr>
          <w:rFonts w:hint="eastAsia" w:ascii="方正小标宋_GBK" w:hAnsi="方正小标宋_GBK" w:eastAsia="方正小标宋_GBK" w:cs="方正小标宋_GBK"/>
          <w:b w:val="0"/>
          <w:bCs w:val="0"/>
          <w:color w:val="000000" w:themeColor="text1"/>
          <w:kern w:val="0"/>
          <w:sz w:val="52"/>
          <w:szCs w:val="52"/>
          <w:lang w:eastAsia="zh-CN"/>
          <w14:textFill>
            <w14:solidFill>
              <w14:schemeClr w14:val="tx1"/>
            </w14:solidFill>
          </w14:textFill>
        </w:rPr>
        <w:t>2024</w:t>
      </w:r>
      <w:r>
        <w:rPr>
          <w:rFonts w:hint="eastAsia" w:ascii="方正小标宋_GBK" w:hAnsi="方正小标宋_GBK" w:eastAsia="方正小标宋_GBK" w:cs="方正小标宋_GBK"/>
          <w:b w:val="0"/>
          <w:bCs w:val="0"/>
          <w:color w:val="000000" w:themeColor="text1"/>
          <w:kern w:val="0"/>
          <w:sz w:val="52"/>
          <w:szCs w:val="52"/>
          <w14:textFill>
            <w14:solidFill>
              <w14:schemeClr w14:val="tx1"/>
            </w14:solidFill>
          </w14:textFill>
        </w:rPr>
        <w:t>年部门预算编制说明</w:t>
      </w:r>
    </w:p>
    <w:p>
      <w:pPr>
        <w:widowControl/>
        <w:wordWrap w:val="0"/>
        <w:spacing w:line="480" w:lineRule="atLeast"/>
        <w:jc w:val="center"/>
        <w:rPr>
          <w:rFonts w:hint="eastAsia" w:ascii="黑体" w:hAnsi="黑体" w:eastAsia="黑体" w:cs="黑体"/>
          <w:b/>
          <w:bCs/>
          <w:color w:val="000000" w:themeColor="text1"/>
          <w:kern w:val="0"/>
          <w:sz w:val="44"/>
          <w:szCs w:val="44"/>
          <w:lang w:eastAsia="zh-CN"/>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1" w:firstLineChars="100"/>
        <w:jc w:val="center"/>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目    录</w:t>
      </w:r>
    </w:p>
    <w:p>
      <w:pPr>
        <w:pStyle w:val="2"/>
        <w:rPr>
          <w:rFonts w:hint="default"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（一）职能</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简介.......................................1</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pStyle w:val="2"/>
        <w:numPr>
          <w:ilvl w:val="0"/>
          <w:numId w:val="1"/>
        </w:numPr>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部门预算单位构成</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（二）支出预算情况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四、财政拨款收支预算情况说明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五、一般公共预算当年拨款情况说明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（一）一般公共预算当年拨款规模变化情况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（二）一般公共预算当年拨款结构情况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（三）一般公共预算当年拨款具体使用情况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黑体" w:hAnsi="黑体" w:eastAsia="黑体" w:cs="宋体"/>
          <w:color w:val="000000" w:themeColor="text1"/>
          <w:kern w:val="0"/>
          <w:sz w:val="28"/>
          <w:szCs w:val="28"/>
          <w14:textFill>
            <w14:solidFill>
              <w14:schemeClr w14:val="tx1"/>
            </w14:solidFill>
          </w14:textFill>
        </w:rPr>
      </w:pPr>
    </w:p>
    <w:p>
      <w:pPr>
        <w:widowControl/>
        <w:numPr>
          <w:ilvl w:val="0"/>
          <w:numId w:val="2"/>
        </w:numPr>
        <w:wordWrap w:val="0"/>
        <w:spacing w:line="240" w:lineRule="auto"/>
        <w:ind w:left="638" w:leftChars="304" w:firstLine="0" w:firstLineChars="0"/>
        <w:outlineLvl w:val="9"/>
        <w:rPr>
          <w:rFonts w:hint="eastAsia" w:ascii="仿宋_GB2312" w:hAnsi="宋体" w:eastAsia="仿宋_GB2312" w:cs="宋体"/>
          <w:color w:val="000000" w:themeColor="text1"/>
          <w:kern w:val="0"/>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widowControl/>
        <w:numPr>
          <w:ilvl w:val="0"/>
          <w:numId w:val="0"/>
        </w:numPr>
        <w:wordWrap w:val="0"/>
        <w:spacing w:line="240" w:lineRule="auto"/>
        <w:ind w:leftChars="304"/>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b/>
          <w:bCs/>
          <w:color w:val="000000" w:themeColor="text1"/>
          <w:kern w:val="0"/>
          <w:sz w:val="32"/>
          <w:szCs w:val="32"/>
          <w:lang w:val="en-US" w:eastAsia="zh-CN"/>
          <w14:textFill>
            <w14:solidFill>
              <w14:schemeClr w14:val="tx1"/>
            </w14:solidFill>
          </w14:textFill>
        </w:rPr>
        <w:t>一、</w:t>
      </w:r>
      <w:r>
        <w:rPr>
          <w:rFonts w:hint="eastAsia" w:ascii="黑体" w:hAnsi="黑体" w:eastAsia="黑体" w:cs="宋体"/>
          <w:b/>
          <w:bCs/>
          <w:color w:val="000000" w:themeColor="text1"/>
          <w:kern w:val="0"/>
          <w:sz w:val="32"/>
          <w:szCs w:val="32"/>
          <w14:textFill>
            <w14:solidFill>
              <w14:schemeClr w14:val="tx1"/>
            </w14:solidFill>
          </w14:textFill>
        </w:rPr>
        <w:t>基本职能及主要工作</w:t>
      </w:r>
    </w:p>
    <w:p>
      <w:pPr>
        <w:widowControl/>
        <w:numPr>
          <w:ilvl w:val="0"/>
          <w:numId w:val="0"/>
        </w:numPr>
        <w:wordWrap w:val="0"/>
        <w:spacing w:line="240" w:lineRule="auto"/>
        <w:ind w:leftChars="304"/>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（一）职能简介</w:t>
      </w:r>
    </w:p>
    <w:p>
      <w:pPr>
        <w:widowControl/>
        <w:numPr>
          <w:ilvl w:val="0"/>
          <w:numId w:val="0"/>
        </w:numPr>
        <w:wordWrap w:val="0"/>
        <w:spacing w:line="240" w:lineRule="auto"/>
        <w:ind w:firstLine="640" w:firstLineChars="200"/>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负责制定相关行政服务制度和管理办法；2.负责受理政府授权或相关职能部门委托行政审批的相关服务事项；3.负责农村产权交易服务工作；4.负责服务事项信息、办件量等方面的数据汇总及分析工作；5.负责法律、法规、规章的宣传解释工作；负责党委政府安排的其他临时工作。　　</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lang w:val="en-US" w:eastAsia="zh-CN"/>
          <w14:textFill>
            <w14:solidFill>
              <w14:schemeClr w14:val="tx1"/>
            </w14:solidFill>
          </w14:textFill>
        </w:rPr>
        <w:t>（二）</w:t>
      </w:r>
      <w:r>
        <w:rPr>
          <w:rFonts w:hint="eastAsia" w:ascii="仿宋" w:hAnsi="仿宋" w:eastAsia="仿宋" w:cs="仿宋"/>
          <w:b/>
          <w:bCs/>
          <w:color w:val="000000" w:themeColor="text1"/>
          <w:kern w:val="0"/>
          <w:sz w:val="32"/>
          <w:szCs w:val="32"/>
          <w:lang w:eastAsia="zh-CN"/>
          <w14:textFill>
            <w14:solidFill>
              <w14:schemeClr w14:val="tx1"/>
            </w14:solidFill>
          </w14:textFill>
        </w:rPr>
        <w:t>2024</w:t>
      </w:r>
      <w:r>
        <w:rPr>
          <w:rFonts w:hint="eastAsia" w:ascii="仿宋" w:hAnsi="仿宋" w:eastAsia="仿宋" w:cs="仿宋"/>
          <w:b/>
          <w:bCs/>
          <w:color w:val="000000" w:themeColor="text1"/>
          <w:kern w:val="0"/>
          <w:sz w:val="32"/>
          <w:szCs w:val="32"/>
          <w14:textFill>
            <w14:solidFill>
              <w14:schemeClr w14:val="tx1"/>
            </w14:solidFill>
          </w14:textFill>
        </w:rPr>
        <w:t>年重点工作</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一是规范工作管理，提高服务水平。加强对各进驻部门的协调、监督、完善一窗式受理、一站式审批、一条龙服务</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二是改进工作态度，提高服务品位，接待服务对象，办理有关审批手续时，要文明热情，严禁门难进、脸难看，办事尽量做到高效、快捷、方便群众；三是创新工作方式，提高服务效率。依托电子政务外网，按照“延伸共享、服务实有”的原则，完善便民服务信息平台，进一步推进政务网上办理，加强对审批流程实时监控和动态管理，全面推行行政权力网上公开透明运行 ；四是强化工作监督，保证服务质量。中心将继续开展加强工作人员作风整顿活动，提高中心人员整体素质</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lang w:eastAsia="zh-CN"/>
          <w14:textFill>
            <w14:solidFill>
              <w14:schemeClr w14:val="tx1"/>
            </w14:solidFill>
          </w14:textFill>
        </w:rPr>
        <w:t>二、</w:t>
      </w:r>
      <w:r>
        <w:rPr>
          <w:rFonts w:hint="eastAsia" w:ascii="黑体" w:hAnsi="黑体" w:eastAsia="黑体" w:cs="宋体"/>
          <w:b/>
          <w:bCs/>
          <w:color w:val="000000" w:themeColor="text1"/>
          <w:kern w:val="0"/>
          <w:sz w:val="32"/>
          <w:szCs w:val="32"/>
          <w14:textFill>
            <w14:solidFill>
              <w14:schemeClr w14:val="tx1"/>
            </w14:solidFill>
          </w14:textFill>
        </w:rPr>
        <w:t>部门预算单位构成</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便民服务中心是事业单位，属于属二级预算单位 。</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三、收支预算情况说明</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按照综合预算的原则，</w:t>
      </w:r>
      <w:r>
        <w:rPr>
          <w:rFonts w:hint="eastAsia" w:ascii="仿宋_GB2312" w:hAnsi="宋体" w:eastAsia="仿宋_GB2312" w:cs="宋体"/>
          <w:color w:val="000000" w:themeColor="text1"/>
          <w:kern w:val="0"/>
          <w:sz w:val="32"/>
          <w:szCs w:val="32"/>
          <w:lang w:eastAsia="zh-CN"/>
          <w14:textFill>
            <w14:solidFill>
              <w14:schemeClr w14:val="tx1"/>
            </w14:solidFill>
          </w14:textFill>
        </w:rPr>
        <w:t>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便民服务中心是所有收入和支出均纳入部门预算管理。收入包括：一般公共预算拨款收入；支出包括：一般公共服务支出、社会保障和就业支出、</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支出、住房保障支出。</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（一）收入预算情况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年收入预算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（二）支出预算情况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年支出预算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万元，其中：基本支出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无</w:t>
      </w:r>
      <w:r>
        <w:rPr>
          <w:rFonts w:hint="eastAsia" w:ascii="仿宋_GB2312" w:hAnsi="宋体" w:eastAsia="仿宋_GB2312" w:cs="宋体"/>
          <w:color w:val="000000" w:themeColor="text1"/>
          <w:kern w:val="0"/>
          <w:sz w:val="32"/>
          <w:szCs w:val="32"/>
          <w14:textFill>
            <w14:solidFill>
              <w14:schemeClr w14:val="tx1"/>
            </w14:solidFill>
          </w14:textFill>
        </w:rPr>
        <w:t>项目支出。</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四、财政拨款收支预算情况说明</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年财政拨款收支总预算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42.68</w:t>
      </w:r>
      <w:r>
        <w:rPr>
          <w:rFonts w:hint="eastAsia" w:ascii="仿宋_GB2312" w:hAnsi="宋体" w:eastAsia="仿宋_GB2312" w:cs="宋体"/>
          <w:color w:val="000000" w:themeColor="text1"/>
          <w:kern w:val="0"/>
          <w:sz w:val="32"/>
          <w:szCs w:val="32"/>
          <w14:textFill>
            <w14:solidFill>
              <w14:schemeClr w14:val="tx1"/>
            </w14:solidFill>
          </w14:textFill>
        </w:rPr>
        <w:t>万元、社会保障和就业支出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4.49</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1.95</w:t>
      </w:r>
      <w:r>
        <w:rPr>
          <w:rFonts w:hint="eastAsia" w:ascii="仿宋_GB2312" w:hAnsi="宋体" w:eastAsia="仿宋_GB2312" w:cs="宋体"/>
          <w:color w:val="000000" w:themeColor="text1"/>
          <w:kern w:val="0"/>
          <w:sz w:val="32"/>
          <w:szCs w:val="32"/>
          <w14:textFill>
            <w14:solidFill>
              <w14:schemeClr w14:val="tx1"/>
            </w14:solidFill>
          </w14:textFill>
        </w:rPr>
        <w:t>万元、住房保障支出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3.86</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五、一般公共预算当年拨款情况说明</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（一）一般公共预算当年拨款规模变化情况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万元，比20</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23</w:t>
      </w:r>
      <w:r>
        <w:rPr>
          <w:rFonts w:hint="eastAsia" w:ascii="仿宋_GB2312" w:hAnsi="宋体" w:eastAsia="仿宋_GB2312" w:cs="宋体"/>
          <w:color w:val="000000" w:themeColor="text1"/>
          <w:kern w:val="0"/>
          <w:sz w:val="32"/>
          <w:szCs w:val="32"/>
          <w14:textFill>
            <w14:solidFill>
              <w14:schemeClr w14:val="tx1"/>
            </w14:solidFill>
          </w14:textFill>
        </w:rPr>
        <w:t>年预算数</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减少0.4</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（二）一般公共预算当年拨款结构情况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一般公共服务支出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42.68</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80.54</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社会保障和就业支出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4.49</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8.47</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1.95</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占3.7%；</w:t>
      </w:r>
      <w:r>
        <w:rPr>
          <w:rFonts w:hint="eastAsia" w:ascii="仿宋_GB2312" w:hAnsi="宋体" w:eastAsia="仿宋_GB2312" w:cs="宋体"/>
          <w:color w:val="000000" w:themeColor="text1"/>
          <w:kern w:val="0"/>
          <w:sz w:val="32"/>
          <w:szCs w:val="32"/>
          <w14:textFill>
            <w14:solidFill>
              <w14:schemeClr w14:val="tx1"/>
            </w14:solidFill>
          </w14:textFill>
        </w:rPr>
        <w:t>住房保障支出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3.86</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7.28</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（三）一般公共预算当年拨款具体使用情况</w:t>
      </w:r>
    </w:p>
    <w:p>
      <w:pPr>
        <w:widowControl/>
        <w:numPr>
          <w:ilvl w:val="0"/>
          <w:numId w:val="0"/>
        </w:numPr>
        <w:wordWrap w:val="0"/>
        <w:spacing w:line="480" w:lineRule="atLeast"/>
        <w:ind w:firstLine="643" w:firstLineChars="200"/>
        <w:outlineLvl w:val="9"/>
        <w:rPr>
          <w:rFonts w:hint="eastAsia" w:ascii="仿宋_GB2312" w:hAnsi="宋体" w:eastAsia="仿宋_GB2312" w:cs="宋体"/>
          <w:b/>
          <w:bCs/>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1.一般公共服务支出（类）政府办公厅及相关机构事务（款）</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行政</w:t>
      </w:r>
      <w:r>
        <w:rPr>
          <w:rFonts w:hint="eastAsia" w:ascii="仿宋_GB2312" w:hAnsi="宋体" w:eastAsia="仿宋_GB2312" w:cs="宋体"/>
          <w:b/>
          <w:bCs/>
          <w:color w:val="000000" w:themeColor="text1"/>
          <w:kern w:val="0"/>
          <w:sz w:val="32"/>
          <w:szCs w:val="32"/>
          <w14:textFill>
            <w14:solidFill>
              <w14:schemeClr w14:val="tx1"/>
            </w14:solidFill>
          </w14:textFill>
        </w:rPr>
        <w:t>运行（项）: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0.39</w:t>
      </w:r>
      <w:r>
        <w:rPr>
          <w:rFonts w:hint="eastAsia" w:ascii="仿宋_GB2312" w:hAnsi="宋体" w:eastAsia="仿宋_GB2312" w:cs="宋体"/>
          <w:color w:val="000000" w:themeColor="text1"/>
          <w:kern w:val="0"/>
          <w:sz w:val="32"/>
          <w:szCs w:val="32"/>
          <w14:textFill>
            <w14:solidFill>
              <w14:schemeClr w14:val="tx1"/>
            </w14:solidFill>
          </w14:textFill>
        </w:rPr>
        <w:t>万元，主要用于：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便民服务中心工会经费</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ind w:firstLine="643"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bCs/>
          <w:color w:val="000000" w:themeColor="text1"/>
          <w:kern w:val="0"/>
          <w:sz w:val="32"/>
          <w:szCs w:val="32"/>
          <w14:textFill>
            <w14:solidFill>
              <w14:schemeClr w14:val="tx1"/>
            </w14:solidFill>
          </w14:textFill>
        </w:rPr>
        <w:t>.一般公共服务支出（类）政府办公厅及相关机构事务（款）事业运行（项）: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42.29</w:t>
      </w:r>
      <w:r>
        <w:rPr>
          <w:rFonts w:hint="eastAsia" w:ascii="仿宋_GB2312" w:hAnsi="宋体" w:eastAsia="仿宋_GB2312" w:cs="宋体"/>
          <w:color w:val="000000" w:themeColor="text1"/>
          <w:kern w:val="0"/>
          <w:sz w:val="32"/>
          <w:szCs w:val="32"/>
          <w14:textFill>
            <w14:solidFill>
              <w14:schemeClr w14:val="tx1"/>
            </w14:solidFill>
          </w14:textFill>
        </w:rPr>
        <w:t>万元，主要用于：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便民服务中心</w:t>
      </w:r>
      <w:r>
        <w:rPr>
          <w:rFonts w:hint="eastAsia" w:ascii="仿宋_GB2312" w:hAnsi="宋体" w:eastAsia="仿宋_GB2312" w:cs="宋体"/>
          <w:color w:val="000000" w:themeColor="text1"/>
          <w:kern w:val="0"/>
          <w:sz w:val="32"/>
          <w:szCs w:val="32"/>
          <w14:textFill>
            <w14:solidFill>
              <w14:schemeClr w14:val="tx1"/>
            </w14:solidFill>
          </w14:textFill>
        </w:rPr>
        <w:t>正常运转的基本支出，包括基本工资、津贴补贴</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等人员经费以及办公费、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差旅费</w:t>
      </w:r>
      <w:r>
        <w:rPr>
          <w:rFonts w:hint="eastAsia" w:ascii="仿宋_GB2312" w:hAnsi="宋体" w:eastAsia="仿宋_GB2312" w:cs="宋体"/>
          <w:color w:val="000000" w:themeColor="text1"/>
          <w:kern w:val="0"/>
          <w:sz w:val="32"/>
          <w:szCs w:val="32"/>
          <w14:textFill>
            <w14:solidFill>
              <w14:schemeClr w14:val="tx1"/>
            </w14:solidFill>
          </w14:textFill>
        </w:rPr>
        <w:t>、水电费等日常公用经费。</w:t>
      </w:r>
    </w:p>
    <w:p>
      <w:pPr>
        <w:widowControl/>
        <w:numPr>
          <w:ilvl w:val="0"/>
          <w:numId w:val="0"/>
        </w:numPr>
        <w:wordWrap w:val="0"/>
        <w:spacing w:line="480" w:lineRule="atLeast"/>
        <w:ind w:firstLine="643"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b/>
          <w:bCs/>
          <w:color w:val="000000" w:themeColor="text1"/>
          <w:kern w:val="0"/>
          <w:sz w:val="32"/>
          <w:szCs w:val="32"/>
          <w14:textFill>
            <w14:solidFill>
              <w14:schemeClr w14:val="tx1"/>
            </w14:solidFill>
          </w14:textFill>
        </w:rPr>
        <w:t>.社会保障和就业（类）行政事业单位养老支出（款）机关事业单位基本养老保险缴费支出（项）: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4.49</w:t>
      </w:r>
      <w:r>
        <w:rPr>
          <w:rFonts w:hint="eastAsia" w:ascii="仿宋_GB2312" w:hAnsi="宋体" w:eastAsia="仿宋_GB2312" w:cs="宋体"/>
          <w:color w:val="000000" w:themeColor="text1"/>
          <w:kern w:val="0"/>
          <w:sz w:val="32"/>
          <w:szCs w:val="32"/>
          <w14:textFill>
            <w14:solidFill>
              <w14:schemeClr w14:val="tx1"/>
            </w14:solidFill>
          </w14:textFill>
        </w:rPr>
        <w:t>万元，主要用于：实施养老保险制度后，部门按规定由单位缴纳的基本养老保险费支出。</w:t>
      </w:r>
    </w:p>
    <w:p>
      <w:pPr>
        <w:widowControl/>
        <w:numPr>
          <w:ilvl w:val="0"/>
          <w:numId w:val="0"/>
        </w:numPr>
        <w:wordWrap w:val="0"/>
        <w:spacing w:line="480" w:lineRule="atLeast"/>
        <w:ind w:firstLine="643"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bCs/>
          <w:color w:val="000000" w:themeColor="text1"/>
          <w:kern w:val="0"/>
          <w:sz w:val="32"/>
          <w:szCs w:val="32"/>
          <w14:textFill>
            <w14:solidFill>
              <w14:schemeClr w14:val="tx1"/>
            </w14:solidFill>
          </w14:textFill>
        </w:rPr>
        <w:t>.</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卫生健康</w:t>
      </w:r>
      <w:r>
        <w:rPr>
          <w:rFonts w:hint="eastAsia" w:ascii="仿宋_GB2312" w:hAnsi="宋体" w:eastAsia="仿宋_GB2312" w:cs="宋体"/>
          <w:b/>
          <w:bCs/>
          <w:color w:val="000000" w:themeColor="text1"/>
          <w:kern w:val="0"/>
          <w:sz w:val="32"/>
          <w:szCs w:val="32"/>
          <w14:textFill>
            <w14:solidFill>
              <w14:schemeClr w14:val="tx1"/>
            </w14:solidFill>
          </w14:textFill>
        </w:rPr>
        <w:t>（类）行政事业单位医疗（款）事业单位医疗（项）: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1.95</w:t>
      </w:r>
      <w:r>
        <w:rPr>
          <w:rFonts w:hint="eastAsia" w:ascii="仿宋_GB2312" w:hAnsi="宋体" w:eastAsia="仿宋_GB2312" w:cs="宋体"/>
          <w:color w:val="000000" w:themeColor="text1"/>
          <w:kern w:val="0"/>
          <w:sz w:val="32"/>
          <w:szCs w:val="32"/>
          <w14:textFill>
            <w14:solidFill>
              <w14:schemeClr w14:val="tx1"/>
            </w14:solidFill>
          </w14:textFill>
        </w:rPr>
        <w:t>万元，主要用于：部门下属事业单位基本医疗保险缴费支出。</w:t>
      </w:r>
    </w:p>
    <w:p>
      <w:pPr>
        <w:widowControl/>
        <w:numPr>
          <w:ilvl w:val="0"/>
          <w:numId w:val="0"/>
        </w:numPr>
        <w:wordWrap w:val="0"/>
        <w:spacing w:line="480" w:lineRule="atLeast"/>
        <w:ind w:firstLine="643"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b/>
          <w:bCs/>
          <w:color w:val="000000" w:themeColor="text1"/>
          <w:kern w:val="0"/>
          <w:sz w:val="32"/>
          <w:szCs w:val="32"/>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年预算数为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3.86</w:t>
      </w:r>
      <w:r>
        <w:rPr>
          <w:rFonts w:hint="eastAsia" w:ascii="仿宋_GB2312" w:hAnsi="宋体" w:eastAsia="仿宋_GB2312" w:cs="宋体"/>
          <w:color w:val="000000" w:themeColor="text1"/>
          <w:kern w:val="0"/>
          <w:sz w:val="32"/>
          <w:szCs w:val="32"/>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六、一般公共预算基本支出情况说明</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年一般公共预算基本支出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万元，其中：</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人员经费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42.7</w:t>
      </w:r>
      <w:r>
        <w:rPr>
          <w:rFonts w:hint="eastAsia" w:ascii="仿宋_GB2312" w:hAnsi="宋体" w:eastAsia="仿宋_GB2312" w:cs="宋体"/>
          <w:color w:val="000000" w:themeColor="text1"/>
          <w:kern w:val="0"/>
          <w:sz w:val="32"/>
          <w:szCs w:val="32"/>
          <w14:textFill>
            <w14:solidFill>
              <w14:schemeClr w14:val="tx1"/>
            </w14:solidFill>
          </w14:textFill>
        </w:rPr>
        <w:t>万元，主要包括：基本工资、津贴补贴、社会保险缴费、绩效工资、</w:t>
      </w:r>
      <w:r>
        <w:rPr>
          <w:rFonts w:hint="eastAsia" w:ascii="仿宋_GB2312" w:hAnsi="宋体" w:eastAsia="仿宋_GB2312" w:cs="宋体"/>
          <w:color w:val="000000" w:themeColor="text1"/>
          <w:kern w:val="0"/>
          <w:sz w:val="32"/>
          <w:szCs w:val="32"/>
          <w:lang w:eastAsia="zh-CN"/>
          <w14:textFill>
            <w14:solidFill>
              <w14:schemeClr w14:val="tx1"/>
            </w14:solidFill>
          </w14:textFill>
        </w:rPr>
        <w:t>年终目标考核奖、</w:t>
      </w:r>
      <w:r>
        <w:rPr>
          <w:rFonts w:hint="eastAsia" w:ascii="仿宋_GB2312" w:hAnsi="宋体" w:eastAsia="仿宋_GB2312" w:cs="宋体"/>
          <w:color w:val="000000" w:themeColor="text1"/>
          <w:kern w:val="0"/>
          <w:sz w:val="32"/>
          <w:szCs w:val="32"/>
          <w14:textFill>
            <w14:solidFill>
              <w14:schemeClr w14:val="tx1"/>
            </w14:solidFill>
          </w14:textFill>
        </w:rPr>
        <w:t>机关事业单位基本养老保险缴费、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其他社保缴费</w:t>
      </w:r>
      <w:r>
        <w:rPr>
          <w:rFonts w:hint="eastAsia" w:ascii="仿宋_GB2312" w:hAnsi="宋体" w:eastAsia="仿宋_GB2312" w:cs="宋体"/>
          <w:color w:val="000000" w:themeColor="text1"/>
          <w:kern w:val="0"/>
          <w:sz w:val="32"/>
          <w:szCs w:val="32"/>
          <w14:textFill>
            <w14:solidFill>
              <w14:schemeClr w14:val="tx1"/>
            </w14:solidFill>
          </w14:textFill>
        </w:rPr>
        <w:t>缴费、住房公积金、其他对个人和家庭的补助支出。</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公用经费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10.29</w:t>
      </w:r>
      <w:r>
        <w:rPr>
          <w:rFonts w:hint="eastAsia" w:ascii="仿宋_GB2312" w:hAnsi="宋体" w:eastAsia="仿宋_GB2312" w:cs="宋体"/>
          <w:color w:val="000000" w:themeColor="text1"/>
          <w:kern w:val="0"/>
          <w:sz w:val="32"/>
          <w:szCs w:val="32"/>
          <w14:textFill>
            <w14:solidFill>
              <w14:schemeClr w14:val="tx1"/>
            </w14:solidFill>
          </w14:textFill>
        </w:rPr>
        <w:t>万元，主要包括：办公费、水费、电费、差旅费、工会经费。</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七、“三公”经费财政拨款预</w:t>
      </w:r>
      <w:bookmarkStart w:id="0" w:name="_GoBack"/>
      <w:bookmarkEnd w:id="0"/>
      <w:r>
        <w:rPr>
          <w:rFonts w:hint="eastAsia" w:ascii="黑体" w:hAnsi="黑体" w:eastAsia="黑体" w:cs="宋体"/>
          <w:b/>
          <w:bCs/>
          <w:color w:val="000000" w:themeColor="text1"/>
          <w:kern w:val="0"/>
          <w:sz w:val="32"/>
          <w:szCs w:val="32"/>
          <w14:textFill>
            <w14:solidFill>
              <w14:schemeClr w14:val="tx1"/>
            </w14:solidFill>
          </w14:textFill>
        </w:rPr>
        <w:t>算安排情况说明</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凤溪镇便民服务中心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年“三公”经费财政拨款预算数</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万元，其中：因公出国（境）经费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万元，公务接待费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p>
    <w:p>
      <w:pPr>
        <w:widowControl/>
        <w:numPr>
          <w:ilvl w:val="0"/>
          <w:numId w:val="0"/>
        </w:numPr>
        <w:wordWrap w:val="0"/>
        <w:spacing w:line="480" w:lineRule="atLeast"/>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便民服务中心无因公出国（境）经费。</w:t>
      </w:r>
    </w:p>
    <w:p>
      <w:pPr>
        <w:widowControl/>
        <w:numPr>
          <w:ilvl w:val="0"/>
          <w:numId w:val="0"/>
        </w:numPr>
        <w:wordWrap w:val="0"/>
        <w:spacing w:line="480" w:lineRule="atLeast"/>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二）</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便民服务中心无公务接待</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费</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numPr>
          <w:ilvl w:val="0"/>
          <w:numId w:val="0"/>
        </w:numPr>
        <w:wordWrap w:val="0"/>
        <w:spacing w:line="480" w:lineRule="atLeast"/>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年凤溪镇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便民服务中心无公务用车购置及运行维护费。</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八、政府性基金预算支出情况说明</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凤溪镇</w:t>
      </w:r>
      <w:r>
        <w:rPr>
          <w:rFonts w:hint="eastAsia" w:ascii="仿宋_GB2312" w:hAnsi="宋体" w:eastAsia="仿宋_GB2312" w:cs="宋体"/>
          <w:color w:val="000000" w:themeColor="text1"/>
          <w:kern w:val="0"/>
          <w:sz w:val="32"/>
          <w:szCs w:val="32"/>
          <w14:textFill>
            <w14:solidFill>
              <w14:schemeClr w14:val="tx1"/>
            </w14:solidFill>
          </w14:textFill>
        </w:rPr>
        <w:t>便民服务中心</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年没有使用政府性基金预算拨款安排的支出。</w:t>
      </w:r>
    </w:p>
    <w:p>
      <w:pPr>
        <w:widowControl/>
        <w:numPr>
          <w:ilvl w:val="0"/>
          <w:numId w:val="0"/>
        </w:numPr>
        <w:wordWrap w:val="0"/>
        <w:spacing w:line="480" w:lineRule="atLeast"/>
        <w:ind w:firstLine="643" w:firstLineChars="200"/>
        <w:outlineLvl w:val="9"/>
        <w:rPr>
          <w:rFonts w:hint="eastAsia" w:ascii="黑体" w:hAnsi="黑体" w:eastAsia="黑体" w:cs="宋体"/>
          <w:b/>
          <w:bCs/>
          <w:color w:val="000000" w:themeColor="text1"/>
          <w:kern w:val="0"/>
          <w:sz w:val="32"/>
          <w:szCs w:val="32"/>
          <w:lang w:eastAsia="zh-CN"/>
          <w14:textFill>
            <w14:solidFill>
              <w14:schemeClr w14:val="tx1"/>
            </w14:solidFill>
          </w14:textFill>
        </w:rPr>
      </w:pPr>
      <w:r>
        <w:rPr>
          <w:rFonts w:hint="eastAsia" w:ascii="黑体" w:hAnsi="黑体" w:eastAsia="黑体" w:cs="宋体"/>
          <w:b/>
          <w:bCs/>
          <w:color w:val="000000" w:themeColor="text1"/>
          <w:kern w:val="0"/>
          <w:sz w:val="32"/>
          <w:szCs w:val="32"/>
          <w14:textFill>
            <w14:solidFill>
              <w14:schemeClr w14:val="tx1"/>
            </w14:solidFill>
          </w14:textFill>
        </w:rPr>
        <w:t>九、其他重要事项的情况说明</w:t>
      </w:r>
    </w:p>
    <w:p>
      <w:pPr>
        <w:widowControl/>
        <w:numPr>
          <w:ilvl w:val="0"/>
          <w:numId w:val="0"/>
        </w:numPr>
        <w:wordWrap w:val="0"/>
        <w:spacing w:line="480" w:lineRule="atLeast"/>
        <w:ind w:firstLine="643" w:firstLineChars="200"/>
        <w:outlineLvl w:val="9"/>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（一）政府采购情况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年，没有安排政府采购预算。</w:t>
      </w:r>
    </w:p>
    <w:p>
      <w:pPr>
        <w:widowControl/>
        <w:numPr>
          <w:ilvl w:val="0"/>
          <w:numId w:val="3"/>
        </w:numPr>
        <w:wordWrap w:val="0"/>
        <w:spacing w:line="480" w:lineRule="atLeast"/>
        <w:ind w:leftChars="200"/>
        <w:outlineLvl w:val="9"/>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绩效目标设置情况</w:t>
      </w:r>
    </w:p>
    <w:p>
      <w:pPr>
        <w:widowControl/>
        <w:numPr>
          <w:ilvl w:val="0"/>
          <w:numId w:val="0"/>
        </w:numPr>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52.99</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outlineLvl w:val="9"/>
        <w:rPr>
          <w:rFonts w:hint="eastAsia"/>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 xml:space="preserve">附件： </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17705"/>
    <w:multiLevelType w:val="singleLevel"/>
    <w:tmpl w:val="98717705"/>
    <w:lvl w:ilvl="0" w:tentative="0">
      <w:start w:val="1"/>
      <w:numFmt w:val="chineseCounting"/>
      <w:suff w:val="nothing"/>
      <w:lvlText w:val="%1、"/>
      <w:lvlJc w:val="left"/>
      <w:rPr>
        <w:rFonts w:hint="eastAsia"/>
      </w:rPr>
    </w:lvl>
  </w:abstractNum>
  <w:abstractNum w:abstractNumId="1">
    <w:nsid w:val="EAE1C026"/>
    <w:multiLevelType w:val="singleLevel"/>
    <w:tmpl w:val="EAE1C026"/>
    <w:lvl w:ilvl="0" w:tentative="0">
      <w:start w:val="2"/>
      <w:numFmt w:val="chineseCounting"/>
      <w:suff w:val="nothing"/>
      <w:lvlText w:val="%1、"/>
      <w:lvlJc w:val="left"/>
      <w:rPr>
        <w:rFonts w:hint="eastAsia"/>
      </w:rPr>
    </w:lvl>
  </w:abstractNum>
  <w:abstractNum w:abstractNumId="2">
    <w:nsid w:val="600FD59B"/>
    <w:multiLevelType w:val="singleLevel"/>
    <w:tmpl w:val="600FD59B"/>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2MDk5YTQyOWZlMWY1NTIzM2IwM2IwNmVlNGE3ZTUifQ=="/>
  </w:docVars>
  <w:rsids>
    <w:rsidRoot w:val="385478DB"/>
    <w:rsid w:val="013C73EA"/>
    <w:rsid w:val="01F36FCC"/>
    <w:rsid w:val="060147D7"/>
    <w:rsid w:val="0E4B46F4"/>
    <w:rsid w:val="10F6504D"/>
    <w:rsid w:val="111C6841"/>
    <w:rsid w:val="1BAB226E"/>
    <w:rsid w:val="1EB64157"/>
    <w:rsid w:val="1F2F1910"/>
    <w:rsid w:val="20DD363C"/>
    <w:rsid w:val="22525ACA"/>
    <w:rsid w:val="248A5117"/>
    <w:rsid w:val="297D524A"/>
    <w:rsid w:val="29C76E0D"/>
    <w:rsid w:val="2BE8621C"/>
    <w:rsid w:val="30803674"/>
    <w:rsid w:val="31077D4C"/>
    <w:rsid w:val="3709636F"/>
    <w:rsid w:val="385478DB"/>
    <w:rsid w:val="3E19633D"/>
    <w:rsid w:val="53505BCB"/>
    <w:rsid w:val="55120F38"/>
    <w:rsid w:val="575A28F4"/>
    <w:rsid w:val="5BA54DF6"/>
    <w:rsid w:val="5D572BAD"/>
    <w:rsid w:val="63142E16"/>
    <w:rsid w:val="66893542"/>
    <w:rsid w:val="673D3E26"/>
    <w:rsid w:val="74E27D7D"/>
    <w:rsid w:val="753D2142"/>
    <w:rsid w:val="7B70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2032</Words>
  <Characters>2664</Characters>
  <Lines>0</Lines>
  <Paragraphs>0</Paragraphs>
  <TotalTime>1</TotalTime>
  <ScaleCrop>false</ScaleCrop>
  <LinksUpToDate>false</LinksUpToDate>
  <CharactersWithSpaces>2675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2021-11-09T06:39:00Z</dcterms:created>
  <dc:creator>Administrator</dc:creator>
  <cp:lastModifiedBy>admin</cp:lastModifiedBy>
  <dcterms:modified xsi:type="dcterms:W3CDTF">2024-06-04T09:12:09Z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831896EE3255478C88B27280E46029DF</vt:lpwstr>
  </property>
</Properties>
</file>