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ascii="Times New Roman" w:hAnsi="Times New Roman" w:eastAsia="黑体" w:cs="Times New Roman"/>
          <w:color w:val="000000"/>
          <w:sz w:val="44"/>
          <w:szCs w:val="44"/>
        </w:rPr>
      </w:pPr>
      <w:bookmarkStart w:id="0" w:name="_Toc15378441"/>
      <w:bookmarkStart w:id="1" w:name="_Toc15377193"/>
      <w:bookmarkStart w:id="2" w:name="_Toc15396597"/>
      <w:bookmarkStart w:id="3" w:name="_Toc15377425"/>
      <w:bookmarkStart w:id="4" w:name="_Toc15396475"/>
    </w:p>
    <w:p>
      <w:pPr>
        <w:adjustRightInd w:val="0"/>
        <w:snapToGrid w:val="0"/>
        <w:spacing w:line="360" w:lineRule="auto"/>
        <w:jc w:val="center"/>
        <w:rPr>
          <w:rFonts w:ascii="Times New Roman" w:hAnsi="Times New Roman" w:eastAsia="黑体" w:cs="Times New Roman"/>
          <w:color w:val="000000"/>
          <w:sz w:val="44"/>
          <w:szCs w:val="44"/>
        </w:rPr>
      </w:pPr>
    </w:p>
    <w:p>
      <w:pPr>
        <w:adjustRightInd w:val="0"/>
        <w:snapToGrid w:val="0"/>
        <w:spacing w:line="360" w:lineRule="auto"/>
        <w:jc w:val="center"/>
        <w:rPr>
          <w:rFonts w:ascii="Times New Roman" w:hAnsi="Times New Roman" w:eastAsia="黑体" w:cs="Times New Roman"/>
          <w:color w:val="000000"/>
          <w:sz w:val="44"/>
          <w:szCs w:val="44"/>
        </w:rPr>
      </w:pPr>
    </w:p>
    <w:p>
      <w:pPr>
        <w:adjustRightInd w:val="0"/>
        <w:snapToGrid w:val="0"/>
        <w:spacing w:line="360" w:lineRule="auto"/>
        <w:jc w:val="center"/>
        <w:rPr>
          <w:rFonts w:ascii="Times New Roman" w:hAnsi="Times New Roman" w:eastAsia="黑体" w:cs="Times New Roman"/>
          <w:color w:val="000000"/>
          <w:sz w:val="44"/>
          <w:szCs w:val="44"/>
        </w:rPr>
      </w:pPr>
      <w:r>
        <w:rPr>
          <w:rFonts w:hint="eastAsia" w:ascii="Times New Roman" w:hAnsi="Times New Roman" w:eastAsia="黑体" w:cs="Times New Roman"/>
          <w:color w:val="000000"/>
          <w:sz w:val="44"/>
          <w:szCs w:val="44"/>
          <w:lang w:eastAsia="zh-CN"/>
        </w:rPr>
        <w:t>2024</w:t>
      </w:r>
      <w:r>
        <w:rPr>
          <w:rFonts w:ascii="Times New Roman" w:hAnsi="Times New Roman" w:eastAsia="黑体" w:cs="Times New Roman"/>
          <w:color w:val="000000"/>
          <w:sz w:val="44"/>
          <w:szCs w:val="44"/>
        </w:rPr>
        <w:t>年度</w:t>
      </w:r>
      <w:bookmarkEnd w:id="0"/>
      <w:bookmarkEnd w:id="1"/>
      <w:bookmarkEnd w:id="2"/>
      <w:bookmarkEnd w:id="3"/>
      <w:bookmarkEnd w:id="4"/>
    </w:p>
    <w:p>
      <w:pPr>
        <w:adjustRightInd w:val="0"/>
        <w:snapToGrid w:val="0"/>
        <w:spacing w:line="360" w:lineRule="auto"/>
        <w:jc w:val="center"/>
        <w:rPr>
          <w:rFonts w:ascii="Times New Roman" w:hAnsi="Times New Roman" w:eastAsia="黑体" w:cs="Times New Roman"/>
          <w:color w:val="000000"/>
          <w:sz w:val="44"/>
          <w:szCs w:val="44"/>
        </w:rPr>
      </w:pPr>
      <w:bookmarkStart w:id="5" w:name="_Toc15396598"/>
      <w:bookmarkStart w:id="6" w:name="_Toc15377194"/>
      <w:bookmarkStart w:id="7" w:name="_Toc15377426"/>
      <w:bookmarkStart w:id="8" w:name="_Toc15378442"/>
      <w:bookmarkStart w:id="9" w:name="_Toc15396476"/>
      <w:r>
        <w:rPr>
          <w:rFonts w:ascii="Times New Roman" w:hAnsi="Times New Roman" w:eastAsia="黑体" w:cs="Times New Roman"/>
          <w:color w:val="000000"/>
          <w:sz w:val="44"/>
          <w:szCs w:val="44"/>
        </w:rPr>
        <w:t>四川省</w:t>
      </w:r>
      <w:bookmarkStart w:id="10" w:name="_Toc15306268"/>
      <w:r>
        <w:rPr>
          <w:rFonts w:ascii="Times New Roman" w:hAnsi="Times New Roman" w:eastAsia="黑体" w:cs="Times New Roman"/>
          <w:color w:val="000000"/>
          <w:sz w:val="44"/>
          <w:szCs w:val="44"/>
        </w:rPr>
        <w:t>巴中市巴州区</w:t>
      </w:r>
    </w:p>
    <w:p>
      <w:pPr>
        <w:adjustRightInd w:val="0"/>
        <w:snapToGrid w:val="0"/>
        <w:spacing w:line="360" w:lineRule="auto"/>
        <w:jc w:val="center"/>
        <w:rPr>
          <w:rFonts w:ascii="Times New Roman" w:hAnsi="Times New Roman" w:eastAsia="黑体" w:cs="Times New Roman"/>
          <w:color w:val="000000"/>
          <w:sz w:val="44"/>
          <w:szCs w:val="44"/>
        </w:rPr>
      </w:pPr>
      <w:r>
        <w:rPr>
          <w:rFonts w:hint="eastAsia" w:ascii="Times New Roman" w:hAnsi="Times New Roman" w:eastAsia="黑体" w:cs="Times New Roman"/>
          <w:color w:val="000000"/>
          <w:sz w:val="44"/>
          <w:szCs w:val="44"/>
          <w:lang w:val="en-US" w:eastAsia="zh-CN"/>
        </w:rPr>
        <w:t>大和乡</w:t>
      </w:r>
      <w:bookmarkEnd w:id="5"/>
      <w:bookmarkEnd w:id="6"/>
      <w:bookmarkEnd w:id="7"/>
      <w:bookmarkEnd w:id="8"/>
      <w:bookmarkEnd w:id="9"/>
      <w:bookmarkEnd w:id="10"/>
      <w:r>
        <w:rPr>
          <w:rFonts w:hint="eastAsia" w:ascii="Times New Roman" w:hAnsi="Times New Roman" w:eastAsia="黑体" w:cs="Times New Roman"/>
          <w:color w:val="000000"/>
          <w:sz w:val="44"/>
          <w:szCs w:val="44"/>
          <w:lang w:val="en-US" w:eastAsia="zh-CN"/>
        </w:rPr>
        <w:t>人力资源和社会保障服务中心</w:t>
      </w:r>
      <w:r>
        <w:rPr>
          <w:rFonts w:ascii="Times New Roman" w:hAnsi="Times New Roman" w:eastAsia="黑体" w:cs="Times New Roman"/>
          <w:color w:val="000000"/>
          <w:sz w:val="44"/>
          <w:szCs w:val="44"/>
        </w:rPr>
        <w:t>预算编制说明</w:t>
      </w:r>
    </w:p>
    <w:p>
      <w:pPr>
        <w:adjustRightInd w:val="0"/>
        <w:snapToGrid w:val="0"/>
        <w:spacing w:line="360" w:lineRule="auto"/>
        <w:jc w:val="center"/>
        <w:rPr>
          <w:rFonts w:ascii="Times New Roman" w:hAnsi="Times New Roman" w:eastAsia="黑体" w:cs="Times New Roman"/>
          <w:color w:val="000000"/>
          <w:sz w:val="44"/>
          <w:szCs w:val="44"/>
        </w:rPr>
      </w:pPr>
    </w:p>
    <w:p>
      <w:pPr>
        <w:adjustRightInd w:val="0"/>
        <w:snapToGrid w:val="0"/>
        <w:spacing w:before="468" w:beforeLines="150" w:after="468" w:afterLines="150" w:line="560" w:lineRule="exact"/>
        <w:jc w:val="center"/>
        <w:rPr>
          <w:rFonts w:hint="default" w:ascii="新宋体" w:hAnsi="新宋体" w:eastAsia="新宋体" w:cs="新宋体"/>
          <w:b/>
          <w:bCs/>
          <w:color w:val="000000"/>
          <w:sz w:val="24"/>
          <w:szCs w:val="24"/>
          <w:lang w:val="en-US" w:eastAsia="zh-CN"/>
        </w:rPr>
      </w:pPr>
      <w:r>
        <w:rPr>
          <w:rFonts w:hint="eastAsia" w:ascii="新宋体" w:hAnsi="新宋体" w:eastAsia="新宋体" w:cs="新宋体"/>
          <w:b/>
          <w:bCs/>
          <w:color w:val="000000"/>
          <w:sz w:val="36"/>
          <w:szCs w:val="36"/>
          <w:lang w:val="en-US" w:eastAsia="zh-CN"/>
        </w:rPr>
        <w:t xml:space="preserve">  </w:t>
      </w:r>
      <w:r>
        <w:rPr>
          <w:rFonts w:hint="eastAsia" w:ascii="新宋体" w:hAnsi="新宋体" w:eastAsia="新宋体" w:cs="新宋体"/>
          <w:b/>
          <w:bCs/>
          <w:color w:val="000000"/>
          <w:sz w:val="24"/>
          <w:szCs w:val="24"/>
          <w:lang w:val="en-US" w:eastAsia="zh-CN"/>
        </w:rPr>
        <w:t>公示时间：2024年4月12日</w:t>
      </w:r>
    </w:p>
    <w:p>
      <w:pPr>
        <w:adjustRightInd w:val="0"/>
        <w:snapToGrid w:val="0"/>
        <w:spacing w:line="360" w:lineRule="auto"/>
        <w:jc w:val="center"/>
        <w:outlineLvl w:val="0"/>
        <w:rPr>
          <w:rFonts w:ascii="Times New Roman" w:hAnsi="Times New Roman" w:eastAsia="方正小标宋简体" w:cs="Times New Roman"/>
          <w:color w:val="000000"/>
          <w:sz w:val="52"/>
          <w:szCs w:val="52"/>
        </w:rPr>
      </w:pPr>
    </w:p>
    <w:p>
      <w:pPr>
        <w:widowControl/>
        <w:jc w:val="center"/>
        <w:rPr>
          <w:rFonts w:ascii="Times New Roman" w:hAnsi="Times New Roman" w:eastAsia="黑体" w:cs="Times New Roman"/>
          <w:color w:val="000000"/>
          <w:sz w:val="48"/>
          <w:szCs w:val="48"/>
        </w:rPr>
        <w:sectPr>
          <w:headerReference r:id="rId4" w:type="first"/>
          <w:footerReference r:id="rId6" w:type="first"/>
          <w:headerReference r:id="rId3" w:type="default"/>
          <w:footerReference r:id="rId5" w:type="default"/>
          <w:pgSz w:w="11906" w:h="16838"/>
          <w:pgMar w:top="1440" w:right="1800" w:bottom="1440" w:left="1800" w:header="851" w:footer="992" w:gutter="0"/>
          <w:pgNumType w:start="1"/>
          <w:cols w:space="720" w:num="1"/>
          <w:titlePg/>
          <w:docGrid w:type="lines" w:linePitch="312" w:charSpace="0"/>
        </w:sectPr>
      </w:pPr>
    </w:p>
    <w:p>
      <w:pPr>
        <w:pStyle w:val="16"/>
        <w:jc w:val="center"/>
        <w:rPr>
          <w:rFonts w:ascii="Times New Roman" w:hAnsi="Times New Roman" w:eastAsia="黑体"/>
          <w:color w:val="000000"/>
        </w:rPr>
      </w:pPr>
      <w:r>
        <w:rPr>
          <w:rFonts w:ascii="Times New Roman" w:hAnsi="Times New Roman" w:eastAsia="黑体"/>
          <w:color w:val="000000"/>
          <w:lang w:val="zh-CN"/>
        </w:rPr>
        <w:t>目 录</w:t>
      </w:r>
    </w:p>
    <w:p>
      <w:pPr>
        <w:pStyle w:val="5"/>
        <w:tabs>
          <w:tab w:val="right" w:leader="dot" w:pos="8296"/>
        </w:tabs>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TOC \o "1-3" \h \z \u </w:instrText>
      </w:r>
      <w:r>
        <w:rPr>
          <w:rFonts w:ascii="Times New Roman" w:hAnsi="Times New Roman" w:cs="Times New Roman"/>
        </w:rPr>
        <w:fldChar w:fldCharType="separate"/>
      </w:r>
      <w:r>
        <w:fldChar w:fldCharType="begin"/>
      </w:r>
      <w:r>
        <w:instrText xml:space="preserve"> HYPERLINK \l "_Toc112445121" </w:instrText>
      </w:r>
      <w:r>
        <w:fldChar w:fldCharType="separate"/>
      </w:r>
      <w:r>
        <w:rPr>
          <w:rStyle w:val="10"/>
          <w:rFonts w:ascii="Times New Roman" w:hAnsi="Times New Roman" w:eastAsia="黑体" w:cs="Times New Roman"/>
          <w:b/>
          <w:bCs/>
          <w:kern w:val="0"/>
        </w:rPr>
        <w:t>一、基本职能及主要工作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_Toc112445121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"_Toc112445122" </w:instrText>
      </w:r>
      <w:r>
        <w:fldChar w:fldCharType="separate"/>
      </w:r>
      <w:r>
        <w:rPr>
          <w:rStyle w:val="10"/>
          <w:rFonts w:ascii="Times New Roman" w:hAnsi="Times New Roman" w:cs="Times New Roman"/>
          <w:kern w:val="0"/>
        </w:rPr>
        <w:t>（一）</w:t>
      </w:r>
      <w:r>
        <w:rPr>
          <w:rStyle w:val="10"/>
          <w:rFonts w:hint="eastAsia" w:ascii="Times New Roman" w:hAnsi="Times New Roman" w:cs="Times New Roman"/>
          <w:kern w:val="0"/>
          <w:lang w:eastAsia="zh-CN"/>
        </w:rPr>
        <w:t>人力资源和社会保障服务中心</w:t>
      </w:r>
      <w:r>
        <w:rPr>
          <w:rStyle w:val="10"/>
          <w:rFonts w:ascii="Times New Roman" w:hAnsi="Times New Roman" w:cs="Times New Roman"/>
          <w:kern w:val="0"/>
        </w:rPr>
        <w:t>职能简介</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_Toc112445122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"_Toc112445123" </w:instrText>
      </w:r>
      <w:r>
        <w:fldChar w:fldCharType="separate"/>
      </w:r>
      <w:r>
        <w:rPr>
          <w:rStyle w:val="10"/>
          <w:rFonts w:ascii="Times New Roman" w:hAnsi="Times New Roman" w:cs="Times New Roman"/>
          <w:kern w:val="0"/>
        </w:rPr>
        <w:t>（</w:t>
      </w:r>
      <w:r>
        <w:rPr>
          <w:rStyle w:val="10"/>
          <w:rFonts w:ascii="Times New Roman" w:hAnsi="Times New Roman" w:cs="Times New Roman"/>
        </w:rPr>
        <w:t>二）</w:t>
      </w:r>
      <w:r>
        <w:rPr>
          <w:rStyle w:val="10"/>
          <w:rFonts w:hint="eastAsia" w:ascii="Times New Roman" w:hAnsi="Times New Roman" w:cs="Times New Roman"/>
          <w:lang w:eastAsia="zh-CN"/>
        </w:rPr>
        <w:t>人力资源和社会保障服务中心2024</w:t>
      </w:r>
      <w:r>
        <w:rPr>
          <w:rStyle w:val="10"/>
          <w:rFonts w:ascii="Times New Roman" w:hAnsi="Times New Roman" w:cs="Times New Roman"/>
        </w:rPr>
        <w:t>年重点工作</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_Toc112445123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"_Toc112445124" </w:instrText>
      </w:r>
      <w:r>
        <w:fldChar w:fldCharType="separate"/>
      </w:r>
      <w:r>
        <w:rPr>
          <w:rStyle w:val="10"/>
          <w:rFonts w:ascii="Times New Roman" w:hAnsi="Times New Roman" w:eastAsia="黑体" w:cs="Times New Roman"/>
          <w:b/>
          <w:bCs/>
        </w:rPr>
        <w:t>二、部门预算单位构成</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_Toc112445124 \h </w:instrText>
      </w:r>
      <w:r>
        <w:rPr>
          <w:rFonts w:ascii="Times New Roman" w:hAnsi="Times New Roman" w:eastAsia="黑体" w:cs="Times New Roman"/>
        </w:rPr>
        <w:fldChar w:fldCharType="separate"/>
      </w:r>
      <w:r>
        <w:rPr>
          <w:rFonts w:ascii="Times New Roman" w:hAnsi="Times New Roman" w:eastAsia="黑体" w:cs="Times New Roman"/>
        </w:rPr>
        <w:t>2</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"_Toc112445125" </w:instrText>
      </w:r>
      <w:r>
        <w:fldChar w:fldCharType="separate"/>
      </w:r>
      <w:r>
        <w:rPr>
          <w:rStyle w:val="10"/>
          <w:rFonts w:ascii="Times New Roman" w:hAnsi="Times New Roman" w:eastAsia="黑体" w:cs="Times New Roman"/>
          <w:b/>
          <w:bCs/>
        </w:rPr>
        <w:t>三、收支预算情况说明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_Toc112445125 \h </w:instrText>
      </w:r>
      <w:r>
        <w:rPr>
          <w:rFonts w:ascii="Times New Roman" w:hAnsi="Times New Roman" w:eastAsia="黑体" w:cs="Times New Roman"/>
        </w:rPr>
        <w:fldChar w:fldCharType="separate"/>
      </w:r>
      <w:r>
        <w:rPr>
          <w:rFonts w:ascii="Times New Roman" w:hAnsi="Times New Roman" w:eastAsia="黑体" w:cs="Times New Roman"/>
        </w:rPr>
        <w:t>2</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"_Toc112445126" </w:instrText>
      </w:r>
      <w:r>
        <w:fldChar w:fldCharType="separate"/>
      </w:r>
      <w:r>
        <w:rPr>
          <w:rStyle w:val="10"/>
          <w:rFonts w:ascii="Times New Roman" w:hAnsi="Times New Roman" w:cs="Times New Roman"/>
        </w:rPr>
        <w:t>（一）收入预算情况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_Toc112445126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"_Toc112445127" </w:instrText>
      </w:r>
      <w:r>
        <w:fldChar w:fldCharType="separate"/>
      </w:r>
      <w:r>
        <w:rPr>
          <w:rStyle w:val="10"/>
          <w:rFonts w:ascii="Times New Roman" w:hAnsi="Times New Roman" w:cs="Times New Roman"/>
        </w:rPr>
        <w:t>（二）支出预算情况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_Toc112445127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"_Toc112445128" </w:instrText>
      </w:r>
      <w:r>
        <w:fldChar w:fldCharType="separate"/>
      </w:r>
      <w:r>
        <w:rPr>
          <w:rStyle w:val="10"/>
          <w:rFonts w:ascii="Times New Roman" w:hAnsi="Times New Roman" w:eastAsia="黑体" w:cs="Times New Roman"/>
          <w:b/>
          <w:bCs/>
        </w:rPr>
        <w:t>四、财政拨款收支预算情况说明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_Toc112445128 \h </w:instrText>
      </w:r>
      <w:r>
        <w:rPr>
          <w:rFonts w:ascii="Times New Roman" w:hAnsi="Times New Roman" w:eastAsia="黑体" w:cs="Times New Roman"/>
        </w:rPr>
        <w:fldChar w:fldCharType="separate"/>
      </w:r>
      <w:r>
        <w:rPr>
          <w:rFonts w:ascii="Times New Roman" w:hAnsi="Times New Roman" w:eastAsia="黑体" w:cs="Times New Roman"/>
        </w:rPr>
        <w:t>3</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"_Toc112445130" </w:instrText>
      </w:r>
      <w:r>
        <w:fldChar w:fldCharType="separate"/>
      </w:r>
      <w:r>
        <w:rPr>
          <w:rStyle w:val="10"/>
          <w:rFonts w:ascii="Times New Roman" w:hAnsi="Times New Roman" w:eastAsia="黑体" w:cs="Times New Roman"/>
          <w:b/>
          <w:bCs/>
        </w:rPr>
        <w:t>五、一般公共预算当年拨款情况说明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_Toc112445130 \h </w:instrText>
      </w:r>
      <w:r>
        <w:rPr>
          <w:rFonts w:ascii="Times New Roman" w:hAnsi="Times New Roman" w:eastAsia="黑体" w:cs="Times New Roman"/>
        </w:rPr>
        <w:fldChar w:fldCharType="separate"/>
      </w:r>
      <w:r>
        <w:rPr>
          <w:rFonts w:ascii="Times New Roman" w:hAnsi="Times New Roman" w:eastAsia="黑体" w:cs="Times New Roman"/>
        </w:rPr>
        <w:t>3</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"_Toc112445131" </w:instrText>
      </w:r>
      <w:r>
        <w:fldChar w:fldCharType="separate"/>
      </w:r>
      <w:r>
        <w:rPr>
          <w:rStyle w:val="10"/>
          <w:rFonts w:ascii="Times New Roman" w:hAnsi="Times New Roman" w:cs="Times New Roman"/>
        </w:rPr>
        <w:t>（一）一般公共预算当年拨款规模变化情况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_Toc112445131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"_Toc112445132" </w:instrText>
      </w:r>
      <w:r>
        <w:fldChar w:fldCharType="separate"/>
      </w:r>
      <w:r>
        <w:rPr>
          <w:rStyle w:val="10"/>
          <w:rFonts w:ascii="Times New Roman" w:hAnsi="Times New Roman" w:cs="Times New Roman"/>
        </w:rPr>
        <w:t>（二）一般公共预算当年拨款结构情况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_Toc112445132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"_Toc112445133" </w:instrText>
      </w:r>
      <w:r>
        <w:fldChar w:fldCharType="separate"/>
      </w:r>
      <w:r>
        <w:rPr>
          <w:rStyle w:val="10"/>
          <w:rFonts w:ascii="Times New Roman" w:hAnsi="Times New Roman" w:cs="Times New Roman"/>
        </w:rPr>
        <w:t>（三）一般公共预算当年拨款具体使用情况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_Toc112445133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"_Toc112445134" </w:instrText>
      </w:r>
      <w:r>
        <w:fldChar w:fldCharType="separate"/>
      </w:r>
      <w:r>
        <w:rPr>
          <w:rStyle w:val="10"/>
          <w:rFonts w:ascii="Times New Roman" w:hAnsi="Times New Roman" w:eastAsia="黑体" w:cs="Times New Roman"/>
          <w:b/>
          <w:bCs/>
        </w:rPr>
        <w:t>六、一般公共预算基本支出情况说明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_Toc112445134 \h </w:instrText>
      </w:r>
      <w:r>
        <w:rPr>
          <w:rFonts w:ascii="Times New Roman" w:hAnsi="Times New Roman" w:eastAsia="黑体" w:cs="Times New Roman"/>
        </w:rPr>
        <w:fldChar w:fldCharType="separate"/>
      </w:r>
      <w:r>
        <w:rPr>
          <w:rFonts w:ascii="Times New Roman" w:hAnsi="Times New Roman" w:eastAsia="黑体" w:cs="Times New Roman"/>
        </w:rPr>
        <w:t>4</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"_Toc112445135" </w:instrText>
      </w:r>
      <w:r>
        <w:fldChar w:fldCharType="separate"/>
      </w:r>
      <w:r>
        <w:rPr>
          <w:rStyle w:val="10"/>
          <w:rFonts w:ascii="Times New Roman" w:hAnsi="Times New Roman" w:eastAsia="黑体" w:cs="Times New Roman"/>
          <w:b/>
          <w:bCs/>
        </w:rPr>
        <w:t>七、“三公”经费财政拨款预算安排情况说明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_Toc112445135 \h </w:instrText>
      </w:r>
      <w:r>
        <w:rPr>
          <w:rFonts w:ascii="Times New Roman" w:hAnsi="Times New Roman" w:eastAsia="黑体" w:cs="Times New Roman"/>
        </w:rPr>
        <w:fldChar w:fldCharType="separate"/>
      </w:r>
      <w:r>
        <w:rPr>
          <w:rFonts w:ascii="Times New Roman" w:hAnsi="Times New Roman" w:eastAsia="黑体" w:cs="Times New Roman"/>
        </w:rPr>
        <w:t>4</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"_Toc112445136" </w:instrText>
      </w:r>
      <w:r>
        <w:fldChar w:fldCharType="separate"/>
      </w:r>
      <w:r>
        <w:rPr>
          <w:rStyle w:val="10"/>
          <w:rFonts w:ascii="Times New Roman" w:hAnsi="Times New Roman" w:eastAsia="黑体" w:cs="Times New Roman"/>
          <w:b/>
          <w:bCs/>
        </w:rPr>
        <w:t>八、政府性基金预算支出情况说明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_Toc112445136 \h </w:instrText>
      </w:r>
      <w:r>
        <w:rPr>
          <w:rFonts w:ascii="Times New Roman" w:hAnsi="Times New Roman" w:eastAsia="黑体" w:cs="Times New Roman"/>
        </w:rPr>
        <w:fldChar w:fldCharType="separate"/>
      </w:r>
      <w:r>
        <w:rPr>
          <w:rFonts w:ascii="Times New Roman" w:hAnsi="Times New Roman" w:eastAsia="黑体" w:cs="Times New Roman"/>
        </w:rPr>
        <w:t>4</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5"/>
        <w:tabs>
          <w:tab w:val="right" w:leader="dot" w:pos="8296"/>
        </w:tabs>
        <w:rPr>
          <w:rFonts w:ascii="Times New Roman" w:hAnsi="Times New Roman" w:eastAsia="黑体" w:cs="Times New Roman"/>
        </w:rPr>
      </w:pPr>
      <w:r>
        <w:fldChar w:fldCharType="begin"/>
      </w:r>
      <w:r>
        <w:instrText xml:space="preserve"> HYPERLINK \l "_Toc112445137" </w:instrText>
      </w:r>
      <w:r>
        <w:fldChar w:fldCharType="separate"/>
      </w:r>
      <w:r>
        <w:rPr>
          <w:rStyle w:val="10"/>
          <w:rFonts w:ascii="Times New Roman" w:hAnsi="Times New Roman" w:eastAsia="黑体" w:cs="Times New Roman"/>
          <w:b/>
          <w:bCs/>
        </w:rPr>
        <w:t>九、其他重要事项的情况说明</w:t>
      </w:r>
      <w:r>
        <w:rPr>
          <w:rFonts w:ascii="Times New Roman" w:hAnsi="Times New Roman" w:eastAsia="黑体" w:cs="Times New Roman"/>
        </w:rPr>
        <w:tab/>
      </w:r>
      <w:r>
        <w:rPr>
          <w:rFonts w:ascii="Times New Roman" w:hAnsi="Times New Roman" w:eastAsia="黑体" w:cs="Times New Roman"/>
        </w:rPr>
        <w:fldChar w:fldCharType="begin"/>
      </w:r>
      <w:r>
        <w:rPr>
          <w:rFonts w:ascii="Times New Roman" w:hAnsi="Times New Roman" w:eastAsia="黑体" w:cs="Times New Roman"/>
        </w:rPr>
        <w:instrText xml:space="preserve"> PAGEREF _Toc112445137 \h </w:instrText>
      </w:r>
      <w:r>
        <w:rPr>
          <w:rFonts w:ascii="Times New Roman" w:hAnsi="Times New Roman" w:eastAsia="黑体" w:cs="Times New Roman"/>
        </w:rPr>
        <w:fldChar w:fldCharType="separate"/>
      </w:r>
      <w:r>
        <w:rPr>
          <w:rFonts w:ascii="Times New Roman" w:hAnsi="Times New Roman" w:eastAsia="黑体" w:cs="Times New Roman"/>
        </w:rPr>
        <w:t>4</w:t>
      </w:r>
      <w:r>
        <w:rPr>
          <w:rFonts w:ascii="Times New Roman" w:hAnsi="Times New Roman" w:eastAsia="黑体" w:cs="Times New Roman"/>
        </w:rPr>
        <w:fldChar w:fldCharType="end"/>
      </w:r>
      <w:r>
        <w:rPr>
          <w:rFonts w:ascii="Times New Roman" w:hAnsi="Times New Roman" w:eastAsia="黑体"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"_Toc112445138" </w:instrText>
      </w:r>
      <w:r>
        <w:fldChar w:fldCharType="separate"/>
      </w:r>
      <w:r>
        <w:rPr>
          <w:rStyle w:val="10"/>
          <w:rFonts w:ascii="Times New Roman" w:hAnsi="Times New Roman" w:cs="Times New Roman"/>
        </w:rPr>
        <w:t>（一）政府采购情况。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_Toc112445138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fldChar w:fldCharType="end"/>
      </w:r>
    </w:p>
    <w:p>
      <w:pPr>
        <w:pStyle w:val="6"/>
        <w:tabs>
          <w:tab w:val="right" w:leader="dot" w:pos="8296"/>
        </w:tabs>
        <w:rPr>
          <w:rFonts w:ascii="Times New Roman" w:hAnsi="Times New Roman" w:cs="Times New Roman"/>
        </w:rPr>
      </w:pPr>
      <w:r>
        <w:fldChar w:fldCharType="begin"/>
      </w:r>
      <w:r>
        <w:instrText xml:space="preserve"> HYPERLINK \l "_Toc112445139" </w:instrText>
      </w:r>
      <w:r>
        <w:fldChar w:fldCharType="separate"/>
      </w:r>
      <w:r>
        <w:rPr>
          <w:rStyle w:val="10"/>
          <w:rFonts w:ascii="Times New Roman" w:hAnsi="Times New Roman" w:cs="Times New Roman"/>
        </w:rPr>
        <w:t>（二）绩效目标设置情况</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_Toc112445139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pStyle w:val="5"/>
        <w:tabs>
          <w:tab w:val="right" w:leader="dot" w:pos="8296"/>
        </w:tabs>
        <w:rPr>
          <w:rFonts w:ascii="Times New Roman" w:hAnsi="Times New Roman" w:cs="Times New Roman"/>
        </w:rPr>
      </w:pPr>
      <w:r>
        <w:fldChar w:fldCharType="begin"/>
      </w:r>
      <w:r>
        <w:instrText xml:space="preserve"> HYPERLINK \l "_Toc112445140" </w:instrText>
      </w:r>
      <w:r>
        <w:fldChar w:fldCharType="separate"/>
      </w:r>
      <w:r>
        <w:rPr>
          <w:rStyle w:val="10"/>
          <w:rFonts w:ascii="Times New Roman" w:hAnsi="Times New Roman" w:eastAsia="黑体" w:cs="Times New Roman"/>
          <w:b/>
          <w:kern w:val="44"/>
        </w:rPr>
        <w:t>十、名词解释</w:t>
      </w: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PAGEREF _Toc112445140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fldChar w:fldCharType="end"/>
      </w:r>
    </w:p>
    <w:p>
      <w:pPr>
        <w:rPr>
          <w:rFonts w:ascii="Times New Roman" w:hAnsi="Times New Roman" w:eastAsia="仿宋_GB2312" w:cs="Times New Roman"/>
          <w:color w:val="000000"/>
          <w:kern w:val="0"/>
          <w:sz w:val="32"/>
          <w:szCs w:val="32"/>
        </w:rPr>
      </w:pPr>
      <w:r>
        <w:rPr>
          <w:rFonts w:ascii="Times New Roman" w:hAnsi="Times New Roman" w:cs="Times New Roman"/>
          <w:b/>
          <w:bCs/>
          <w:lang w:val="zh-CN"/>
        </w:rPr>
        <w:fldChar w:fldCharType="end"/>
      </w:r>
    </w:p>
    <w:p>
      <w:pPr>
        <w:rPr>
          <w:rFonts w:ascii="Times New Roman" w:hAnsi="Times New Roman" w:eastAsia="仿宋_GB2312" w:cs="Times New Roman"/>
          <w:color w:val="000000"/>
          <w:kern w:val="0"/>
          <w:sz w:val="32"/>
          <w:szCs w:val="32"/>
        </w:rPr>
        <w:sectPr>
          <w:footerReference r:id="rId7" w:type="default"/>
          <w:pgSz w:w="11906" w:h="16838"/>
          <w:pgMar w:top="1440" w:right="1800" w:bottom="1440" w:left="1800" w:header="851" w:footer="992" w:gutter="0"/>
          <w:cols w:space="425" w:num="1"/>
          <w:docGrid w:type="lines" w:linePitch="312" w:charSpace="0"/>
        </w:sectPr>
      </w:pPr>
    </w:p>
    <w:p>
      <w:pPr>
        <w:rPr>
          <w:rFonts w:ascii="Times New Roman" w:hAnsi="Times New Roman" w:cs="Times New Roman"/>
        </w:rPr>
      </w:pPr>
      <w:r>
        <w:rPr>
          <w:rFonts w:ascii="Times New Roman" w:hAnsi="Times New Roman" w:eastAsia="仿宋_GB2312" w:cs="Times New Roman"/>
          <w:color w:val="000000"/>
          <w:kern w:val="0"/>
          <w:sz w:val="32"/>
          <w:szCs w:val="32"/>
        </w:rPr>
        <w:t xml:space="preserve">附件： </w:t>
      </w:r>
      <w:r>
        <w:rPr>
          <w:rFonts w:hint="eastAsia" w:ascii="Times New Roman" w:hAnsi="Times New Roman" w:eastAsia="仿宋_GB2312" w:cs="Times New Roman"/>
          <w:color w:val="000000"/>
          <w:kern w:val="0"/>
          <w:sz w:val="32"/>
          <w:szCs w:val="32"/>
          <w:lang w:eastAsia="zh-CN"/>
        </w:rPr>
        <w:t>2024</w:t>
      </w:r>
      <w:r>
        <w:rPr>
          <w:rFonts w:ascii="Times New Roman" w:hAnsi="Times New Roman" w:eastAsia="仿宋_GB2312" w:cs="Times New Roman"/>
          <w:color w:val="000000"/>
          <w:kern w:val="0"/>
          <w:sz w:val="32"/>
          <w:szCs w:val="32"/>
        </w:rPr>
        <w:t>年部门预算公开报表</w:t>
      </w:r>
    </w:p>
    <w:p>
      <w:pPr>
        <w:tabs>
          <w:tab w:val="right" w:leader="dot" w:pos="8296"/>
        </w:tabs>
        <w:adjustRightInd w:val="0"/>
        <w:snapToGrid w:val="0"/>
        <w:spacing w:line="480" w:lineRule="auto"/>
        <w:ind w:left="420" w:leftChars="200"/>
        <w:jc w:val="left"/>
        <w:rPr>
          <w:rFonts w:ascii="Times New Roman" w:hAnsi="Times New Roman" w:eastAsia="仿宋" w:cs="Times New Roman"/>
          <w:sz w:val="28"/>
          <w:szCs w:val="28"/>
        </w:rPr>
      </w:pPr>
      <w:r>
        <w:rPr>
          <w:rFonts w:ascii="Times New Roman" w:hAnsi="Times New Roman" w:eastAsia="宋体" w:cs="Times New Roman"/>
          <w:sz w:val="28"/>
          <w:szCs w:val="28"/>
        </w:rPr>
        <w:t xml:space="preserve">                                 </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一、</w:t>
      </w:r>
      <w:r>
        <w:rPr>
          <w:rFonts w:ascii="Times New Roman" w:hAnsi="Times New Roman" w:eastAsia="宋体" w:cs="Times New Roman"/>
          <w:sz w:val="28"/>
          <w:szCs w:val="28"/>
        </w:rPr>
        <w:t>部门收支总表</w:t>
      </w:r>
    </w:p>
    <w:p>
      <w:pPr>
        <w:tabs>
          <w:tab w:val="right" w:leader="dot" w:pos="8296"/>
        </w:tabs>
        <w:adjustRightInd w:val="0"/>
        <w:snapToGrid w:val="0"/>
        <w:spacing w:line="480" w:lineRule="auto"/>
        <w:ind w:left="420" w:leftChars="200" w:firstLine="280" w:firstLineChars="100"/>
        <w:jc w:val="left"/>
        <w:rPr>
          <w:rFonts w:ascii="Times New Roman" w:hAnsi="Times New Roman" w:eastAsia="仿宋" w:cs="Times New Roman"/>
          <w:sz w:val="28"/>
          <w:szCs w:val="28"/>
        </w:rPr>
      </w:pPr>
      <w:r>
        <w:rPr>
          <w:rFonts w:ascii="Times New Roman" w:hAnsi="Times New Roman" w:eastAsia="仿宋" w:cs="Times New Roman"/>
          <w:sz w:val="28"/>
          <w:szCs w:val="28"/>
        </w:rPr>
        <w:t>1-1、部门</w:t>
      </w:r>
      <w:r>
        <w:rPr>
          <w:rFonts w:ascii="Times New Roman" w:hAnsi="Times New Roman" w:eastAsia="宋体" w:cs="Times New Roman"/>
          <w:sz w:val="28"/>
          <w:szCs w:val="28"/>
        </w:rPr>
        <w:t>收入</w:t>
      </w:r>
      <w:r>
        <w:rPr>
          <w:rFonts w:ascii="Times New Roman" w:hAnsi="Times New Roman" w:eastAsia="仿宋" w:cs="Times New Roman"/>
          <w:sz w:val="28"/>
          <w:szCs w:val="28"/>
        </w:rPr>
        <w:t>总</w:t>
      </w:r>
      <w:r>
        <w:rPr>
          <w:rFonts w:ascii="Times New Roman" w:hAnsi="Times New Roman" w:eastAsia="宋体" w:cs="Times New Roman"/>
          <w:sz w:val="28"/>
          <w:szCs w:val="28"/>
        </w:rPr>
        <w:t>表</w:t>
      </w:r>
    </w:p>
    <w:p>
      <w:pPr>
        <w:tabs>
          <w:tab w:val="right" w:leader="dot" w:pos="8296"/>
        </w:tabs>
        <w:adjustRightInd w:val="0"/>
        <w:snapToGrid w:val="0"/>
        <w:spacing w:line="480" w:lineRule="auto"/>
        <w:ind w:left="420" w:firstLine="280" w:firstLineChars="100"/>
        <w:jc w:val="left"/>
        <w:rPr>
          <w:rFonts w:ascii="Times New Roman" w:hAnsi="Times New Roman" w:eastAsia="仿宋" w:cs="Times New Roman"/>
          <w:sz w:val="28"/>
          <w:szCs w:val="28"/>
        </w:rPr>
      </w:pPr>
      <w:r>
        <w:rPr>
          <w:rFonts w:ascii="Times New Roman" w:hAnsi="Times New Roman" w:eastAsia="仿宋" w:cs="Times New Roman"/>
          <w:sz w:val="28"/>
          <w:szCs w:val="28"/>
        </w:rPr>
        <w:t>1-2、部门</w:t>
      </w:r>
      <w:r>
        <w:rPr>
          <w:rFonts w:ascii="Times New Roman" w:hAnsi="Times New Roman" w:eastAsia="宋体" w:cs="Times New Roman"/>
          <w:sz w:val="28"/>
          <w:szCs w:val="28"/>
        </w:rPr>
        <w:t>支出</w:t>
      </w:r>
      <w:r>
        <w:rPr>
          <w:rFonts w:ascii="Times New Roman" w:hAnsi="Times New Roman" w:eastAsia="仿宋" w:cs="Times New Roman"/>
          <w:sz w:val="28"/>
          <w:szCs w:val="28"/>
        </w:rPr>
        <w:t>总</w:t>
      </w:r>
      <w:r>
        <w:rPr>
          <w:rFonts w:ascii="Times New Roman" w:hAnsi="Times New Roman" w:eastAsia="宋体" w:cs="Times New Roman"/>
          <w:sz w:val="28"/>
          <w:szCs w:val="28"/>
        </w:rPr>
        <w:t>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二、</w:t>
      </w:r>
      <w:r>
        <w:rPr>
          <w:rFonts w:ascii="Times New Roman" w:hAnsi="Times New Roman" w:eastAsia="宋体" w:cs="Times New Roman"/>
          <w:sz w:val="28"/>
          <w:szCs w:val="28"/>
        </w:rPr>
        <w:t>财政拨款收支预算总表</w:t>
      </w:r>
    </w:p>
    <w:p>
      <w:pPr>
        <w:tabs>
          <w:tab w:val="right" w:leader="dot" w:pos="8296"/>
        </w:tabs>
        <w:adjustRightInd w:val="0"/>
        <w:snapToGrid w:val="0"/>
        <w:spacing w:line="480" w:lineRule="auto"/>
        <w:ind w:left="420" w:leftChars="200"/>
        <w:jc w:val="left"/>
        <w:rPr>
          <w:rFonts w:ascii="Times New Roman" w:hAnsi="Times New Roman" w:eastAsia="仿宋" w:cs="Times New Roman"/>
          <w:sz w:val="28"/>
          <w:szCs w:val="28"/>
        </w:rPr>
      </w:pPr>
      <w:r>
        <w:rPr>
          <w:rFonts w:ascii="Times New Roman" w:hAnsi="Times New Roman" w:eastAsia="仿宋" w:cs="Times New Roman"/>
          <w:sz w:val="28"/>
          <w:szCs w:val="28"/>
        </w:rPr>
        <w:t>三、一般公共预算支出预算表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 xml:space="preserve">  3-1、一</w:t>
      </w:r>
      <w:r>
        <w:rPr>
          <w:rFonts w:ascii="Times New Roman" w:hAnsi="Times New Roman" w:eastAsia="宋体" w:cs="Times New Roman"/>
          <w:sz w:val="28"/>
          <w:szCs w:val="28"/>
        </w:rPr>
        <w:t>般公共预算基本支出预算表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3-2、一般公共预算项目支出预算表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3-3、一般公共预算“三公”经费支出预算表</w:t>
      </w:r>
    </w:p>
    <w:p>
      <w:pPr>
        <w:tabs>
          <w:tab w:val="right" w:leader="dot" w:pos="8296"/>
        </w:tabs>
        <w:adjustRightInd w:val="0"/>
        <w:snapToGrid w:val="0"/>
        <w:spacing w:line="480" w:lineRule="auto"/>
        <w:ind w:left="420" w:leftChars="200"/>
        <w:jc w:val="left"/>
        <w:rPr>
          <w:rFonts w:ascii="Times New Roman" w:hAnsi="Times New Roman" w:eastAsia="仿宋" w:cs="Times New Roman"/>
          <w:sz w:val="28"/>
          <w:szCs w:val="28"/>
        </w:rPr>
      </w:pPr>
      <w:r>
        <w:rPr>
          <w:rFonts w:ascii="Times New Roman" w:hAnsi="Times New Roman" w:eastAsia="仿宋" w:cs="Times New Roman"/>
          <w:sz w:val="28"/>
          <w:szCs w:val="28"/>
        </w:rPr>
        <w:t>四、政府性基金支出预算表</w:t>
      </w:r>
    </w:p>
    <w:p>
      <w:pPr>
        <w:tabs>
          <w:tab w:val="right" w:leader="dot" w:pos="8296"/>
        </w:tabs>
        <w:adjustRightInd w:val="0"/>
        <w:snapToGrid w:val="0"/>
        <w:spacing w:line="480" w:lineRule="auto"/>
        <w:ind w:left="420" w:leftChars="200" w:firstLine="280" w:firstLineChars="100"/>
        <w:jc w:val="left"/>
        <w:rPr>
          <w:rFonts w:ascii="Times New Roman" w:hAnsi="Times New Roman" w:eastAsia="宋体" w:cs="Times New Roman"/>
          <w:sz w:val="28"/>
          <w:szCs w:val="28"/>
        </w:rPr>
      </w:pPr>
      <w:r>
        <w:rPr>
          <w:rFonts w:ascii="Times New Roman" w:hAnsi="Times New Roman" w:eastAsia="宋体" w:cs="Times New Roman"/>
          <w:sz w:val="28"/>
          <w:szCs w:val="28"/>
        </w:rPr>
        <w:t>4-1、政府性基金预算“三公”经费支出预算表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五、</w:t>
      </w:r>
      <w:r>
        <w:rPr>
          <w:rFonts w:ascii="Times New Roman" w:hAnsi="Times New Roman" w:eastAsia="宋体" w:cs="Times New Roman"/>
          <w:sz w:val="28"/>
          <w:szCs w:val="28"/>
        </w:rPr>
        <w:t>国有资本经营预算支出预算表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六、</w:t>
      </w:r>
      <w:r>
        <w:rPr>
          <w:rFonts w:hint="eastAsia" w:ascii="Times New Roman" w:hAnsi="Times New Roman" w:eastAsia="宋体" w:cs="Times New Roman"/>
          <w:sz w:val="28"/>
          <w:szCs w:val="28"/>
          <w:lang w:eastAsia="zh-CN"/>
        </w:rPr>
        <w:t>2024</w:t>
      </w:r>
      <w:r>
        <w:rPr>
          <w:rFonts w:ascii="Times New Roman" w:hAnsi="Times New Roman" w:eastAsia="宋体" w:cs="Times New Roman"/>
          <w:sz w:val="28"/>
          <w:szCs w:val="28"/>
        </w:rPr>
        <w:t>年部门（单位）整体支出绩效目标申报表</w:t>
      </w:r>
    </w:p>
    <w:p>
      <w:pPr>
        <w:tabs>
          <w:tab w:val="right" w:leader="dot" w:pos="8296"/>
        </w:tabs>
        <w:adjustRightInd w:val="0"/>
        <w:snapToGrid w:val="0"/>
        <w:spacing w:line="480" w:lineRule="auto"/>
        <w:ind w:left="420" w:leftChars="200"/>
        <w:jc w:val="left"/>
        <w:rPr>
          <w:rFonts w:ascii="Times New Roman" w:hAnsi="Times New Roman" w:eastAsia="宋体" w:cs="Times New Roman"/>
          <w:sz w:val="28"/>
          <w:szCs w:val="28"/>
        </w:rPr>
      </w:pPr>
      <w:r>
        <w:rPr>
          <w:rFonts w:ascii="Times New Roman" w:hAnsi="Times New Roman" w:eastAsia="仿宋" w:cs="Times New Roman"/>
          <w:sz w:val="28"/>
          <w:szCs w:val="28"/>
        </w:rPr>
        <w:t>七、</w:t>
      </w:r>
      <w:r>
        <w:rPr>
          <w:rFonts w:ascii="Times New Roman" w:hAnsi="Times New Roman" w:eastAsia="宋体" w:cs="Times New Roman"/>
          <w:sz w:val="28"/>
          <w:szCs w:val="28"/>
        </w:rPr>
        <w:t>项目支出绩效预算目标表</w:t>
      </w:r>
    </w:p>
    <w:p>
      <w:pPr>
        <w:spacing w:line="560" w:lineRule="exact"/>
        <w:rPr>
          <w:rFonts w:ascii="Times New Roman" w:hAnsi="Times New Roman" w:eastAsia="黑体" w:cs="Times New Roman"/>
          <w:b/>
          <w:bCs/>
          <w:color w:val="000000"/>
          <w:kern w:val="0"/>
          <w:sz w:val="32"/>
          <w:szCs w:val="32"/>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tabs>
          <w:tab w:val="center" w:pos="4153"/>
          <w:tab w:val="right" w:pos="8306"/>
        </w:tabs>
        <w:snapToGrid w:val="0"/>
        <w:jc w:val="left"/>
        <w:rPr>
          <w:rFonts w:ascii="Times New Roman" w:hAnsi="Times New Roman" w:cs="Times New Roman"/>
          <w:sz w:val="18"/>
          <w:szCs w:val="18"/>
        </w:rPr>
      </w:pPr>
    </w:p>
    <w:p>
      <w:pPr>
        <w:spacing w:line="560" w:lineRule="exact"/>
        <w:ind w:firstLine="321" w:firstLineChars="100"/>
        <w:rPr>
          <w:rFonts w:ascii="Times New Roman" w:hAnsi="Times New Roman" w:eastAsia="黑体" w:cs="Times New Roman"/>
          <w:b/>
          <w:bCs/>
          <w:color w:val="000000"/>
          <w:kern w:val="0"/>
          <w:sz w:val="32"/>
          <w:szCs w:val="32"/>
        </w:rPr>
      </w:pPr>
    </w:p>
    <w:p>
      <w:pPr>
        <w:pStyle w:val="3"/>
        <w:spacing w:line="560" w:lineRule="exact"/>
        <w:ind w:firstLine="560" w:firstLineChars="200"/>
        <w:jc w:val="both"/>
        <w:rPr>
          <w:rFonts w:ascii="Times New Roman" w:hAnsi="Times New Roman" w:eastAsia="仿宋_GB2312" w:cs="Times New Roman"/>
          <w:color w:val="000000"/>
          <w:kern w:val="0"/>
          <w:sz w:val="28"/>
          <w:szCs w:val="28"/>
        </w:rPr>
        <w:sectPr>
          <w:footerReference r:id="rId8" w:type="default"/>
          <w:pgSz w:w="11906" w:h="16838"/>
          <w:pgMar w:top="1440" w:right="1800" w:bottom="1440" w:left="1800" w:header="851" w:footer="992" w:gutter="0"/>
          <w:cols w:space="425" w:num="1"/>
          <w:docGrid w:type="lines" w:linePitch="312" w:charSpace="0"/>
        </w:sectPr>
      </w:pPr>
    </w:p>
    <w:p>
      <w:pPr>
        <w:pStyle w:val="3"/>
        <w:spacing w:before="100" w:after="100" w:line="360" w:lineRule="auto"/>
        <w:jc w:val="both"/>
        <w:outlineLvl w:val="0"/>
        <w:rPr>
          <w:rFonts w:ascii="Times New Roman" w:hAnsi="Times New Roman" w:eastAsia="仿宋_GB2312" w:cs="Times New Roman"/>
          <w:b/>
          <w:bCs/>
          <w:color w:val="000000"/>
          <w:kern w:val="0"/>
          <w:sz w:val="30"/>
          <w:szCs w:val="30"/>
        </w:rPr>
      </w:pPr>
      <w:bookmarkStart w:id="11" w:name="_Toc112445121"/>
      <w:r>
        <w:rPr>
          <w:rFonts w:ascii="Times New Roman" w:hAnsi="Times New Roman" w:eastAsia="仿宋_GB2312" w:cs="Times New Roman"/>
          <w:b/>
          <w:bCs/>
          <w:color w:val="000000"/>
          <w:kern w:val="0"/>
          <w:sz w:val="30"/>
          <w:szCs w:val="30"/>
        </w:rPr>
        <w:t>一、基本职能及主要工作</w:t>
      </w:r>
      <w:bookmarkEnd w:id="11"/>
    </w:p>
    <w:p>
      <w:pPr>
        <w:pStyle w:val="3"/>
        <w:spacing w:line="560" w:lineRule="exact"/>
        <w:ind w:firstLine="560" w:firstLineChars="200"/>
        <w:outlineLvl w:val="1"/>
        <w:rPr>
          <w:rFonts w:ascii="Times New Roman" w:hAnsi="Times New Roman" w:eastAsia="宋体" w:cs="Times New Roman"/>
          <w:color w:val="000000"/>
          <w:kern w:val="0"/>
          <w:sz w:val="28"/>
          <w:szCs w:val="28"/>
        </w:rPr>
      </w:pPr>
      <w:bookmarkStart w:id="12" w:name="_Toc112445122"/>
      <w:r>
        <w:rPr>
          <w:rFonts w:ascii="Times New Roman" w:hAnsi="Times New Roman" w:eastAsia="宋体" w:cs="Times New Roman"/>
          <w:color w:val="000000"/>
          <w:kern w:val="0"/>
          <w:sz w:val="28"/>
          <w:szCs w:val="28"/>
        </w:rPr>
        <w:t>（一）</w:t>
      </w:r>
      <w:r>
        <w:rPr>
          <w:rFonts w:hint="eastAsia" w:ascii="Times New Roman" w:hAnsi="Times New Roman" w:eastAsia="宋体" w:cs="Times New Roman"/>
          <w:color w:val="000000"/>
          <w:kern w:val="0"/>
          <w:sz w:val="28"/>
          <w:szCs w:val="28"/>
          <w:lang w:eastAsia="zh-CN"/>
        </w:rPr>
        <w:t>人力资源和社会保障服务中心</w:t>
      </w:r>
      <w:r>
        <w:rPr>
          <w:rFonts w:ascii="Times New Roman" w:hAnsi="Times New Roman" w:eastAsia="宋体" w:cs="Times New Roman"/>
          <w:color w:val="000000"/>
          <w:kern w:val="0"/>
          <w:sz w:val="28"/>
          <w:szCs w:val="28"/>
        </w:rPr>
        <w:t>职能简介</w:t>
      </w:r>
      <w:bookmarkEnd w:id="12"/>
    </w:p>
    <w:p>
      <w:pPr>
        <w:pStyle w:val="3"/>
        <w:spacing w:line="56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（1）社保服务岗：负责辖区城乡居民社会养老保险、被征地农民养老保险办理等相关工作。</w:t>
      </w:r>
    </w:p>
    <w:p>
      <w:pPr>
        <w:pStyle w:val="3"/>
        <w:spacing w:line="56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（2）医保服务岗：负责辖区居民医疗保险等相关工作。</w:t>
      </w:r>
    </w:p>
    <w:p>
      <w:pPr>
        <w:pStyle w:val="3"/>
        <w:spacing w:line="56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3）就业服务岗：负责农民工信息台账的管理维护，牵头举办农民工服务系列活动等工作；负责村（社区）就业服务、职业介绍、创业培训、技能培训、公岗监管等工作；负责就业失业登记及就业困难对象认定初审等工作；负责回引及返乡创业工作；负责商务与电子商务相关工作；负责辖区一般劳资纠纷和农民工工资的调解处理工作。</w:t>
      </w:r>
    </w:p>
    <w:p>
      <w:pPr>
        <w:pStyle w:val="3"/>
        <w:spacing w:line="560" w:lineRule="exact"/>
        <w:ind w:firstLine="480" w:firstLineChars="200"/>
        <w:jc w:val="both"/>
        <w:rPr>
          <w:rFonts w:ascii="Times New Roman" w:hAnsi="Times New Roman" w:eastAsia="宋体" w:cs="Times New Roman"/>
          <w:sz w:val="24"/>
          <w:szCs w:val="24"/>
        </w:rPr>
      </w:pPr>
      <w:r>
        <w:rPr>
          <w:rFonts w:ascii="Times New Roman" w:hAnsi="Times New Roman" w:eastAsia="宋体" w:cs="Times New Roman"/>
          <w:sz w:val="24"/>
          <w:szCs w:val="24"/>
        </w:rPr>
        <w:t>（4）残联服务岗：负责对残疾人进行动态管理及管理重度残疾人护理补贴等工作；负责党委政府安排的其他临时工作。</w:t>
      </w:r>
    </w:p>
    <w:p>
      <w:pPr>
        <w:pStyle w:val="3"/>
        <w:spacing w:line="560" w:lineRule="exact"/>
        <w:ind w:left="398" w:hanging="397" w:hangingChars="142"/>
        <w:outlineLvl w:val="1"/>
        <w:rPr>
          <w:rFonts w:ascii="Times New Roman" w:hAnsi="Times New Roman" w:eastAsia="宋体" w:cs="Times New Roman"/>
          <w:sz w:val="28"/>
          <w:szCs w:val="28"/>
        </w:rPr>
      </w:pPr>
      <w:bookmarkStart w:id="13" w:name="_Toc112445123"/>
      <w:r>
        <w:rPr>
          <w:rFonts w:ascii="Times New Roman" w:hAnsi="Times New Roman" w:eastAsia="宋体" w:cs="Times New Roman"/>
          <w:color w:val="000000"/>
          <w:kern w:val="0"/>
          <w:sz w:val="28"/>
          <w:szCs w:val="28"/>
        </w:rPr>
        <w:t>（</w:t>
      </w:r>
      <w:r>
        <w:rPr>
          <w:rFonts w:ascii="Times New Roman" w:hAnsi="Times New Roman" w:eastAsia="宋体" w:cs="Times New Roman"/>
          <w:sz w:val="28"/>
          <w:szCs w:val="28"/>
        </w:rPr>
        <w:t>二）</w:t>
      </w:r>
      <w:r>
        <w:rPr>
          <w:rFonts w:hint="eastAsia" w:ascii="Times New Roman" w:hAnsi="Times New Roman" w:eastAsia="宋体" w:cs="Times New Roman"/>
          <w:sz w:val="28"/>
          <w:szCs w:val="28"/>
          <w:lang w:eastAsia="zh-CN"/>
        </w:rPr>
        <w:t>人力资源和社会保障服务中心2024</w:t>
      </w:r>
      <w:r>
        <w:rPr>
          <w:rFonts w:ascii="Times New Roman" w:hAnsi="Times New Roman" w:eastAsia="宋体" w:cs="Times New Roman"/>
          <w:sz w:val="28"/>
          <w:szCs w:val="28"/>
        </w:rPr>
        <w:t>年重点工作</w:t>
      </w:r>
      <w:bookmarkEnd w:id="13"/>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一是：认真组织学习党的</w:t>
      </w:r>
      <w:r>
        <w:rPr>
          <w:rFonts w:hint="eastAsia" w:ascii="Times New Roman" w:hAnsi="Times New Roman" w:eastAsia="宋体" w:cs="Times New Roman"/>
          <w:sz w:val="24"/>
          <w:szCs w:val="24"/>
          <w:lang w:val="en-US" w:eastAsia="zh-CN"/>
        </w:rPr>
        <w:t>二十大</w:t>
      </w:r>
      <w:r>
        <w:rPr>
          <w:rFonts w:ascii="Times New Roman" w:hAnsi="Times New Roman" w:eastAsia="宋体" w:cs="Times New Roman"/>
          <w:sz w:val="24"/>
          <w:szCs w:val="24"/>
        </w:rPr>
        <w:t>全会会议精神，加强思想政治和业务知识学习。</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二是：城镇新增就业任务4</w:t>
      </w:r>
      <w:r>
        <w:rPr>
          <w:rFonts w:hint="eastAsia" w:ascii="Times New Roman" w:hAnsi="Times New Roman" w:eastAsia="宋体" w:cs="Times New Roman"/>
          <w:sz w:val="24"/>
          <w:szCs w:val="24"/>
          <w:lang w:val="en-US" w:eastAsia="zh-CN"/>
        </w:rPr>
        <w:t>30</w:t>
      </w:r>
      <w:r>
        <w:rPr>
          <w:rFonts w:ascii="Times New Roman" w:hAnsi="Times New Roman" w:eastAsia="宋体" w:cs="Times New Roman"/>
          <w:sz w:val="24"/>
          <w:szCs w:val="24"/>
        </w:rPr>
        <w:t>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三是  全面完成城镇失业人员再就业</w:t>
      </w:r>
      <w:r>
        <w:rPr>
          <w:rFonts w:hint="eastAsia" w:ascii="Times New Roman" w:hAnsi="Times New Roman" w:eastAsia="宋体" w:cs="Times New Roman"/>
          <w:sz w:val="24"/>
          <w:szCs w:val="24"/>
          <w:lang w:val="en-US" w:eastAsia="zh-CN"/>
        </w:rPr>
        <w:t>100</w:t>
      </w:r>
      <w:r>
        <w:rPr>
          <w:rFonts w:ascii="Times New Roman" w:hAnsi="Times New Roman" w:eastAsia="宋体" w:cs="Times New Roman"/>
          <w:sz w:val="24"/>
          <w:szCs w:val="24"/>
        </w:rPr>
        <w:t>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四是：全面完成就业困难人员再就业</w:t>
      </w:r>
      <w:r>
        <w:rPr>
          <w:rFonts w:hint="eastAsia" w:ascii="Times New Roman" w:hAnsi="Times New Roman" w:eastAsia="宋体" w:cs="Times New Roman"/>
          <w:sz w:val="24"/>
          <w:szCs w:val="24"/>
          <w:lang w:val="en-US" w:eastAsia="zh-CN"/>
        </w:rPr>
        <w:t>30</w:t>
      </w:r>
      <w:r>
        <w:rPr>
          <w:rFonts w:ascii="Times New Roman" w:hAnsi="Times New Roman" w:eastAsia="宋体" w:cs="Times New Roman"/>
          <w:sz w:val="24"/>
          <w:szCs w:val="24"/>
        </w:rPr>
        <w:t>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五是：创业小额担保贷款完成2</w:t>
      </w:r>
      <w:r>
        <w:rPr>
          <w:rFonts w:hint="eastAsia" w:ascii="Times New Roman" w:hAnsi="Times New Roman" w:eastAsia="宋体" w:cs="Times New Roman"/>
          <w:sz w:val="24"/>
          <w:szCs w:val="24"/>
          <w:lang w:val="en-US" w:eastAsia="zh-CN"/>
        </w:rPr>
        <w:t>80</w:t>
      </w:r>
      <w:r>
        <w:rPr>
          <w:rFonts w:ascii="Times New Roman" w:hAnsi="Times New Roman" w:eastAsia="宋体" w:cs="Times New Roman"/>
          <w:sz w:val="24"/>
          <w:szCs w:val="24"/>
        </w:rPr>
        <w:t>万元。回引创业完成经实体8家，农民工成功创业20人。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六是：城乡居民基本养老保险新保任务</w:t>
      </w:r>
      <w:r>
        <w:rPr>
          <w:rFonts w:hint="eastAsia" w:ascii="Times New Roman" w:hAnsi="Times New Roman" w:eastAsia="宋体" w:cs="Times New Roman"/>
          <w:sz w:val="24"/>
          <w:szCs w:val="24"/>
          <w:lang w:val="en-US" w:eastAsia="zh-CN"/>
        </w:rPr>
        <w:t>1200</w:t>
      </w:r>
      <w:r>
        <w:rPr>
          <w:rFonts w:ascii="Times New Roman" w:hAnsi="Times New Roman" w:eastAsia="宋体" w:cs="Times New Roman"/>
          <w:sz w:val="24"/>
          <w:szCs w:val="24"/>
        </w:rPr>
        <w:t>人。续保</w:t>
      </w:r>
      <w:r>
        <w:rPr>
          <w:rFonts w:hint="eastAsia" w:ascii="Times New Roman" w:hAnsi="Times New Roman" w:eastAsia="宋体" w:cs="Times New Roman"/>
          <w:sz w:val="24"/>
          <w:szCs w:val="24"/>
          <w:lang w:val="en-US" w:eastAsia="zh-CN"/>
        </w:rPr>
        <w:t>14000</w:t>
      </w:r>
      <w:r>
        <w:rPr>
          <w:rFonts w:ascii="Times New Roman" w:hAnsi="Times New Roman" w:eastAsia="宋体" w:cs="Times New Roman"/>
          <w:sz w:val="24"/>
          <w:szCs w:val="24"/>
        </w:rPr>
        <w:t>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七是：对</w:t>
      </w:r>
      <w:r>
        <w:rPr>
          <w:rFonts w:hint="eastAsia" w:ascii="Times New Roman" w:hAnsi="Times New Roman" w:eastAsia="宋体" w:cs="Times New Roman"/>
          <w:sz w:val="24"/>
          <w:szCs w:val="24"/>
          <w:lang w:val="en-US" w:eastAsia="zh-CN"/>
        </w:rPr>
        <w:t>29</w:t>
      </w:r>
      <w:r>
        <w:rPr>
          <w:rFonts w:ascii="Times New Roman" w:hAnsi="Times New Roman" w:eastAsia="宋体" w:cs="Times New Roman"/>
          <w:sz w:val="24"/>
          <w:szCs w:val="24"/>
        </w:rPr>
        <w:t>个村</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4"/>
          <w:szCs w:val="24"/>
          <w:lang w:val="en-US" w:eastAsia="zh-CN"/>
        </w:rPr>
        <w:t>居</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rPr>
        <w:t>开发公益性岗位人员</w:t>
      </w:r>
      <w:r>
        <w:rPr>
          <w:rFonts w:hint="eastAsia" w:ascii="Times New Roman" w:hAnsi="Times New Roman" w:eastAsia="宋体" w:cs="Times New Roman"/>
          <w:sz w:val="24"/>
          <w:szCs w:val="24"/>
          <w:lang w:val="en-US" w:eastAsia="zh-CN"/>
        </w:rPr>
        <w:t>136</w:t>
      </w:r>
      <w:r>
        <w:rPr>
          <w:rFonts w:ascii="Times New Roman" w:hAnsi="Times New Roman" w:eastAsia="宋体" w:cs="Times New Roman"/>
          <w:sz w:val="24"/>
          <w:szCs w:val="24"/>
        </w:rPr>
        <w:t>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八是：年内3次对辖区内机保、社保退休人员验证达1600人次。</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九是：对劳动用工相对密集的8个企业进行了劳动法规运用检查。</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十是：搞好企事业单位人员清理，全面完成事业单位失业保险申报上缴任务。</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十一是：高质量全面完成全民参保任务。</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十二是;对全镇1</w:t>
      </w:r>
      <w:r>
        <w:rPr>
          <w:rFonts w:hint="eastAsia" w:ascii="Times New Roman" w:hAnsi="Times New Roman" w:eastAsia="宋体" w:cs="Times New Roman"/>
          <w:sz w:val="24"/>
          <w:szCs w:val="24"/>
          <w:lang w:val="en-US" w:eastAsia="zh-CN"/>
        </w:rPr>
        <w:t>6000</w:t>
      </w:r>
      <w:r>
        <w:rPr>
          <w:rFonts w:ascii="Times New Roman" w:hAnsi="Times New Roman" w:eastAsia="宋体" w:cs="Times New Roman"/>
          <w:sz w:val="24"/>
          <w:szCs w:val="24"/>
        </w:rPr>
        <w:t>余名60岁以上享受新农保人员全面进行生存认证。</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十三是：对全镇行政、事业单位人员的医疗保险、养老保险、失业保险、工伤生育保险进行核实申报。</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十四是:认真搞好劳动法律法规宣传，积极开展“送政策、送岗位、送服务、送温暖”活动。</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十五是：全面做好就业扶贫，年内共开展“四项培训”，培训劳动力</w:t>
      </w:r>
      <w:r>
        <w:rPr>
          <w:rFonts w:hint="eastAsia" w:ascii="Times New Roman" w:hAnsi="Times New Roman" w:eastAsia="宋体" w:cs="Times New Roman"/>
          <w:sz w:val="24"/>
          <w:szCs w:val="24"/>
          <w:lang w:val="en-US" w:eastAsia="zh-CN"/>
        </w:rPr>
        <w:t>290</w:t>
      </w:r>
      <w:r>
        <w:rPr>
          <w:rFonts w:ascii="Times New Roman" w:hAnsi="Times New Roman" w:eastAsia="宋体" w:cs="Times New Roman"/>
          <w:sz w:val="24"/>
          <w:szCs w:val="24"/>
        </w:rPr>
        <w:t>人次。</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十六是：年度内无安全事故和不稳定因素发生。</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十七是：按上级要求做好脱贫攻坚巩固工作。</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十八是：对</w:t>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个</w:t>
      </w:r>
      <w:r>
        <w:rPr>
          <w:rFonts w:hint="eastAsia" w:ascii="Times New Roman" w:hAnsi="Times New Roman" w:eastAsia="宋体" w:cs="Times New Roman"/>
          <w:sz w:val="24"/>
          <w:szCs w:val="24"/>
          <w:lang w:val="en-US" w:eastAsia="zh-CN"/>
        </w:rPr>
        <w:t>脱贫</w:t>
      </w:r>
      <w:r>
        <w:rPr>
          <w:rFonts w:ascii="Times New Roman" w:hAnsi="Times New Roman" w:eastAsia="宋体" w:cs="Times New Roman"/>
          <w:sz w:val="24"/>
          <w:szCs w:val="24"/>
        </w:rPr>
        <w:t>村建立就业工作站、医疗服务站，健全管理制度。</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十九是：加强中西部协作，向浙江义乌输送务工人员</w:t>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t>人。</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二十是：做好辖区内相关人员的医疗大病救助申报。</w:t>
      </w:r>
    </w:p>
    <w:p>
      <w:pPr>
        <w:pStyle w:val="3"/>
        <w:spacing w:before="100" w:after="100" w:line="360" w:lineRule="auto"/>
        <w:jc w:val="both"/>
        <w:outlineLvl w:val="0"/>
        <w:rPr>
          <w:rFonts w:ascii="Times New Roman" w:hAnsi="Times New Roman" w:eastAsia="仿宋_GB2312" w:cs="Times New Roman"/>
          <w:b/>
          <w:bCs/>
          <w:sz w:val="30"/>
          <w:szCs w:val="30"/>
        </w:rPr>
      </w:pPr>
      <w:bookmarkStart w:id="14" w:name="_Toc112445124"/>
      <w:r>
        <w:rPr>
          <w:rFonts w:ascii="Times New Roman" w:hAnsi="Times New Roman" w:eastAsia="仿宋_GB2312" w:cs="Times New Roman"/>
          <w:b/>
          <w:bCs/>
          <w:sz w:val="30"/>
          <w:szCs w:val="30"/>
        </w:rPr>
        <w:t>二、部门预算单位构成</w:t>
      </w:r>
      <w:bookmarkEnd w:id="14"/>
    </w:p>
    <w:p>
      <w:pPr>
        <w:pStyle w:val="3"/>
        <w:spacing w:line="560" w:lineRule="exact"/>
        <w:ind w:firstLine="600" w:firstLine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lang w:eastAsia="zh-CN"/>
        </w:rPr>
        <w:t>人力资源和社会保障服务中心</w:t>
      </w:r>
      <w:r>
        <w:rPr>
          <w:rFonts w:ascii="Times New Roman" w:hAnsi="Times New Roman" w:eastAsia="仿宋_GB2312" w:cs="Times New Roman"/>
          <w:sz w:val="30"/>
          <w:szCs w:val="30"/>
        </w:rPr>
        <w:t>是事业单位，属于二级预算单位。</w:t>
      </w:r>
    </w:p>
    <w:p>
      <w:pPr>
        <w:pStyle w:val="3"/>
        <w:tabs>
          <w:tab w:val="left" w:pos="284"/>
        </w:tabs>
        <w:spacing w:before="100" w:after="100" w:line="360" w:lineRule="auto"/>
        <w:jc w:val="both"/>
        <w:outlineLvl w:val="0"/>
        <w:rPr>
          <w:rFonts w:ascii="Times New Roman" w:hAnsi="Times New Roman" w:eastAsia="仿宋_GB2312" w:cs="Times New Roman"/>
          <w:b/>
          <w:bCs/>
          <w:sz w:val="30"/>
          <w:szCs w:val="30"/>
        </w:rPr>
      </w:pPr>
      <w:bookmarkStart w:id="15" w:name="_Toc112445125"/>
      <w:r>
        <w:rPr>
          <w:rFonts w:ascii="Times New Roman" w:hAnsi="Times New Roman" w:eastAsia="仿宋_GB2312" w:cs="Times New Roman"/>
          <w:b/>
          <w:bCs/>
          <w:sz w:val="30"/>
          <w:szCs w:val="30"/>
        </w:rPr>
        <w:t>三、收支预算情况说明</w:t>
      </w:r>
      <w:bookmarkEnd w:id="15"/>
    </w:p>
    <w:p>
      <w:pPr>
        <w:pStyle w:val="3"/>
        <w:tabs>
          <w:tab w:val="left" w:pos="284"/>
        </w:tabs>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按照综合预算的原则，</w:t>
      </w:r>
      <w:r>
        <w:rPr>
          <w:rFonts w:hint="eastAsia" w:ascii="Times New Roman" w:hAnsi="Times New Roman" w:eastAsia="仿宋_GB2312" w:cs="Times New Roman"/>
          <w:sz w:val="30"/>
          <w:szCs w:val="30"/>
          <w:lang w:eastAsia="zh-CN"/>
        </w:rPr>
        <w:t>人力资源和社会保障服务中心</w:t>
      </w:r>
      <w:r>
        <w:rPr>
          <w:rFonts w:ascii="Times New Roman" w:hAnsi="Times New Roman" w:eastAsia="仿宋_GB2312" w:cs="Times New Roman"/>
          <w:sz w:val="30"/>
          <w:szCs w:val="30"/>
        </w:rPr>
        <w:t>所有收入和支出均纳入部门预算管理。收入包括：一般公共预算拨款收入、上级补助心入；支出包括：社会保障和就业支出</w:t>
      </w:r>
      <w:r>
        <w:rPr>
          <w:rFonts w:hint="eastAsia" w:ascii="Times New Roman" w:hAnsi="Times New Roman" w:eastAsia="仿宋_GB2312" w:cs="Times New Roman"/>
          <w:sz w:val="30"/>
          <w:szCs w:val="30"/>
          <w:lang w:eastAsia="zh-CN"/>
        </w:rPr>
        <w:t>、</w:t>
      </w:r>
      <w:r>
        <w:rPr>
          <w:rFonts w:hint="eastAsia" w:ascii="Times New Roman" w:hAnsi="Times New Roman" w:eastAsia="仿宋_GB2312" w:cs="Times New Roman"/>
          <w:sz w:val="30"/>
          <w:szCs w:val="30"/>
          <w:lang w:val="en-US" w:eastAsia="zh-CN"/>
        </w:rPr>
        <w:t>卫生健康支</w:t>
      </w:r>
      <w:r>
        <w:rPr>
          <w:rFonts w:ascii="Times New Roman" w:hAnsi="Times New Roman" w:eastAsia="仿宋_GB2312" w:cs="Times New Roman"/>
          <w:sz w:val="30"/>
          <w:szCs w:val="30"/>
        </w:rPr>
        <w:t>出、住房保障支出。</w:t>
      </w:r>
      <w:r>
        <w:rPr>
          <w:rFonts w:hint="eastAsia" w:ascii="Times New Roman" w:hAnsi="Times New Roman" w:eastAsia="仿宋_GB2312" w:cs="Times New Roman"/>
          <w:sz w:val="30"/>
          <w:szCs w:val="30"/>
          <w:lang w:eastAsia="zh-CN"/>
        </w:rPr>
        <w:t>人力资源和社会保障服务中心</w:t>
      </w:r>
      <w:r>
        <w:rPr>
          <w:rFonts w:hint="eastAsia" w:ascii="Times New Roman" w:hAnsi="Times New Roman" w:eastAsia="仿宋_GB2312" w:cs="Times New Roman"/>
          <w:sz w:val="30"/>
          <w:szCs w:val="30"/>
          <w:lang w:val="en-US" w:eastAsia="zh-CN"/>
        </w:rPr>
        <w:t>2024</w:t>
      </w:r>
      <w:r>
        <w:rPr>
          <w:rFonts w:ascii="Times New Roman" w:hAnsi="Times New Roman" w:eastAsia="仿宋_GB2312" w:cs="Times New Roman"/>
          <w:sz w:val="30"/>
          <w:szCs w:val="30"/>
        </w:rPr>
        <w:t>年收支总预算</w:t>
      </w:r>
      <w:r>
        <w:rPr>
          <w:rFonts w:hint="eastAsia" w:ascii="Times New Roman" w:hAnsi="Times New Roman" w:eastAsia="仿宋_GB2312" w:cs="Times New Roman"/>
          <w:sz w:val="30"/>
          <w:szCs w:val="30"/>
          <w:lang w:val="en-US" w:eastAsia="zh-CN"/>
        </w:rPr>
        <w:t>41.19</w:t>
      </w:r>
      <w:r>
        <w:rPr>
          <w:rFonts w:ascii="Times New Roman" w:hAnsi="Times New Roman" w:eastAsia="仿宋_GB2312" w:cs="Times New Roman"/>
          <w:sz w:val="30"/>
          <w:szCs w:val="30"/>
        </w:rPr>
        <w:t>万元。</w:t>
      </w:r>
    </w:p>
    <w:p>
      <w:pPr>
        <w:pStyle w:val="3"/>
        <w:tabs>
          <w:tab w:val="left" w:pos="284"/>
        </w:tabs>
        <w:spacing w:line="560" w:lineRule="exact"/>
        <w:ind w:firstLine="560" w:firstLineChars="200"/>
        <w:outlineLvl w:val="1"/>
        <w:rPr>
          <w:rFonts w:ascii="Times New Roman" w:hAnsi="Times New Roman" w:eastAsia="宋体" w:cs="Times New Roman"/>
          <w:sz w:val="24"/>
          <w:szCs w:val="24"/>
        </w:rPr>
      </w:pPr>
      <w:bookmarkStart w:id="16" w:name="_Toc112445126"/>
      <w:r>
        <w:rPr>
          <w:rFonts w:ascii="Times New Roman" w:hAnsi="Times New Roman" w:eastAsia="宋体" w:cs="Times New Roman"/>
          <w:sz w:val="28"/>
          <w:szCs w:val="28"/>
        </w:rPr>
        <w:t>（一）收入预算情况</w:t>
      </w:r>
      <w:bookmarkEnd w:id="16"/>
    </w:p>
    <w:p>
      <w:pPr>
        <w:pStyle w:val="3"/>
        <w:tabs>
          <w:tab w:val="left" w:pos="284"/>
        </w:tabs>
        <w:spacing w:line="5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人力资源和社会保障服务中心</w:t>
      </w:r>
      <w:r>
        <w:rPr>
          <w:rFonts w:hint="eastAsia" w:ascii="Times New Roman" w:hAnsi="Times New Roman" w:eastAsia="宋体" w:cs="Times New Roman"/>
          <w:sz w:val="24"/>
          <w:szCs w:val="24"/>
          <w:lang w:val="en-US" w:eastAsia="zh-CN"/>
        </w:rPr>
        <w:t>2024</w:t>
      </w:r>
      <w:r>
        <w:rPr>
          <w:rFonts w:ascii="Times New Roman" w:hAnsi="Times New Roman" w:eastAsia="宋体" w:cs="Times New Roman"/>
          <w:sz w:val="24"/>
          <w:szCs w:val="24"/>
        </w:rPr>
        <w:t>年收入预算</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万元，其中：上级补助收入 0万元，占 0%；一般公共预算拨款收入</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万元，占100 %。</w:t>
      </w:r>
    </w:p>
    <w:p>
      <w:pPr>
        <w:pStyle w:val="3"/>
        <w:tabs>
          <w:tab w:val="left" w:pos="284"/>
        </w:tabs>
        <w:spacing w:line="560" w:lineRule="exact"/>
        <w:ind w:firstLine="560" w:firstLineChars="200"/>
        <w:outlineLvl w:val="1"/>
        <w:rPr>
          <w:rFonts w:ascii="Times New Roman" w:hAnsi="Times New Roman" w:eastAsia="宋体" w:cs="Times New Roman"/>
          <w:sz w:val="28"/>
          <w:szCs w:val="28"/>
        </w:rPr>
      </w:pPr>
      <w:bookmarkStart w:id="17" w:name="_Toc112445127"/>
      <w:r>
        <w:rPr>
          <w:rFonts w:ascii="Times New Roman" w:hAnsi="Times New Roman" w:eastAsia="宋体" w:cs="Times New Roman"/>
          <w:sz w:val="28"/>
          <w:szCs w:val="28"/>
        </w:rPr>
        <w:t>（二）支出预算情况</w:t>
      </w:r>
      <w:bookmarkEnd w:id="17"/>
    </w:p>
    <w:p>
      <w:pPr>
        <w:pStyle w:val="3"/>
        <w:tabs>
          <w:tab w:val="left" w:pos="284"/>
        </w:tabs>
        <w:spacing w:line="5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人力资源和社会保障服务中心</w:t>
      </w:r>
      <w:r>
        <w:rPr>
          <w:rFonts w:hint="eastAsia" w:ascii="Times New Roman" w:hAnsi="Times New Roman" w:eastAsia="宋体" w:cs="Times New Roman"/>
          <w:sz w:val="24"/>
          <w:szCs w:val="24"/>
          <w:lang w:val="en-US" w:eastAsia="zh-CN"/>
        </w:rPr>
        <w:t>2024</w:t>
      </w:r>
      <w:r>
        <w:rPr>
          <w:rFonts w:ascii="Times New Roman" w:hAnsi="Times New Roman" w:eastAsia="宋体" w:cs="Times New Roman"/>
          <w:sz w:val="24"/>
          <w:szCs w:val="24"/>
        </w:rPr>
        <w:t>年支出预算</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万元，其中：基本支出</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万元，占100  %；项目支出 0万元，占0 %。</w:t>
      </w:r>
    </w:p>
    <w:p>
      <w:pPr>
        <w:pStyle w:val="3"/>
        <w:tabs>
          <w:tab w:val="left" w:pos="284"/>
        </w:tabs>
        <w:spacing w:before="100" w:after="100" w:line="360" w:lineRule="auto"/>
        <w:jc w:val="both"/>
        <w:outlineLvl w:val="0"/>
        <w:rPr>
          <w:rFonts w:ascii="Times New Roman" w:hAnsi="Times New Roman" w:eastAsia="仿宋_GB2312" w:cs="Times New Roman"/>
          <w:b/>
          <w:bCs/>
          <w:sz w:val="30"/>
          <w:szCs w:val="30"/>
        </w:rPr>
      </w:pPr>
      <w:bookmarkStart w:id="18" w:name="_Toc112445128"/>
      <w:r>
        <w:rPr>
          <w:rFonts w:ascii="Times New Roman" w:hAnsi="Times New Roman" w:eastAsia="仿宋_GB2312" w:cs="Times New Roman"/>
          <w:b/>
          <w:bCs/>
          <w:sz w:val="30"/>
          <w:szCs w:val="30"/>
        </w:rPr>
        <w:t>四、财政拨款收支预算情况说明</w:t>
      </w:r>
      <w:bookmarkEnd w:id="18"/>
    </w:p>
    <w:p>
      <w:pPr>
        <w:pStyle w:val="3"/>
        <w:tabs>
          <w:tab w:val="left" w:pos="284"/>
        </w:tabs>
        <w:spacing w:line="560" w:lineRule="exact"/>
        <w:ind w:firstLine="560" w:firstLineChars="200"/>
        <w:outlineLvl w:val="1"/>
        <w:rPr>
          <w:rFonts w:ascii="Times New Roman" w:hAnsi="Times New Roman" w:eastAsia="宋体" w:cs="Times New Roman"/>
          <w:sz w:val="28"/>
          <w:szCs w:val="28"/>
        </w:rPr>
      </w:pPr>
      <w:bookmarkStart w:id="19" w:name="_Toc112445129"/>
      <w:r>
        <w:rPr>
          <w:rFonts w:hint="eastAsia" w:ascii="Times New Roman" w:hAnsi="Times New Roman" w:eastAsia="宋体" w:cs="Times New Roman"/>
          <w:sz w:val="28"/>
          <w:szCs w:val="28"/>
          <w:lang w:eastAsia="zh-CN"/>
        </w:rPr>
        <w:t>人力资源和社会保障服务中心2024</w:t>
      </w:r>
      <w:r>
        <w:rPr>
          <w:rFonts w:ascii="Times New Roman" w:hAnsi="Times New Roman" w:eastAsia="宋体" w:cs="Times New Roman"/>
          <w:sz w:val="28"/>
          <w:szCs w:val="28"/>
        </w:rPr>
        <w:t>年财政拨款收支总预算</w:t>
      </w:r>
      <w:r>
        <w:rPr>
          <w:rFonts w:hint="eastAsia" w:ascii="Times New Roman" w:hAnsi="Times New Roman" w:eastAsia="宋体" w:cs="Times New Roman"/>
          <w:sz w:val="28"/>
          <w:szCs w:val="28"/>
          <w:lang w:val="en-US" w:eastAsia="zh-CN"/>
        </w:rPr>
        <w:t>41.19</w:t>
      </w:r>
      <w:r>
        <w:rPr>
          <w:rFonts w:ascii="Times New Roman" w:hAnsi="Times New Roman" w:eastAsia="宋体" w:cs="Times New Roman"/>
          <w:sz w:val="28"/>
          <w:szCs w:val="28"/>
        </w:rPr>
        <w:t>万元。收入包括：本年一般公共预算拨款收入</w:t>
      </w:r>
      <w:r>
        <w:rPr>
          <w:rFonts w:hint="eastAsia" w:ascii="Times New Roman" w:hAnsi="Times New Roman" w:eastAsia="宋体" w:cs="Times New Roman"/>
          <w:sz w:val="28"/>
          <w:szCs w:val="28"/>
          <w:lang w:val="en-US" w:eastAsia="zh-CN"/>
        </w:rPr>
        <w:t>41.19</w:t>
      </w:r>
      <w:r>
        <w:rPr>
          <w:rFonts w:ascii="Times New Roman" w:hAnsi="Times New Roman" w:eastAsia="宋体" w:cs="Times New Roman"/>
          <w:sz w:val="28"/>
          <w:szCs w:val="28"/>
        </w:rPr>
        <w:t>万元，支出包括：社会保障和就业支出</w:t>
      </w:r>
      <w:r>
        <w:rPr>
          <w:rFonts w:hint="eastAsia" w:ascii="Times New Roman" w:hAnsi="Times New Roman" w:eastAsia="宋体" w:cs="Times New Roman"/>
          <w:sz w:val="28"/>
          <w:szCs w:val="28"/>
          <w:lang w:val="en-US" w:eastAsia="zh-CN"/>
        </w:rPr>
        <w:t>37.76</w:t>
      </w:r>
      <w:r>
        <w:rPr>
          <w:rFonts w:ascii="Times New Roman" w:hAnsi="Times New Roman" w:eastAsia="宋体" w:cs="Times New Roman"/>
          <w:sz w:val="28"/>
          <w:szCs w:val="28"/>
        </w:rPr>
        <w:t>万元、</w:t>
      </w:r>
      <w:r>
        <w:rPr>
          <w:rFonts w:hint="eastAsia" w:ascii="Times New Roman" w:hAnsi="Times New Roman" w:eastAsia="宋体" w:cs="Times New Roman"/>
          <w:sz w:val="28"/>
          <w:szCs w:val="28"/>
          <w:lang w:eastAsia="zh-CN"/>
        </w:rPr>
        <w:t>住房保障</w:t>
      </w:r>
      <w:r>
        <w:rPr>
          <w:rFonts w:hint="eastAsia" w:ascii="Times New Roman" w:hAnsi="Times New Roman" w:eastAsia="宋体" w:cs="Times New Roman"/>
          <w:sz w:val="28"/>
          <w:szCs w:val="28"/>
        </w:rPr>
        <w:t>支出</w:t>
      </w:r>
      <w:r>
        <w:rPr>
          <w:rFonts w:hint="eastAsia" w:ascii="Times New Roman" w:hAnsi="Times New Roman" w:eastAsia="宋体" w:cs="Times New Roman"/>
          <w:sz w:val="28"/>
          <w:szCs w:val="28"/>
          <w:lang w:val="en-US" w:eastAsia="zh-CN"/>
        </w:rPr>
        <w:t>3.43</w:t>
      </w:r>
      <w:r>
        <w:rPr>
          <w:rFonts w:ascii="Times New Roman" w:hAnsi="Times New Roman" w:eastAsia="宋体" w:cs="Times New Roman"/>
          <w:sz w:val="28"/>
          <w:szCs w:val="28"/>
        </w:rPr>
        <w:t>万元。</w:t>
      </w:r>
      <w:bookmarkEnd w:id="19"/>
    </w:p>
    <w:p>
      <w:pPr>
        <w:pStyle w:val="3"/>
        <w:tabs>
          <w:tab w:val="left" w:pos="284"/>
        </w:tabs>
        <w:spacing w:before="100" w:after="100" w:line="360" w:lineRule="auto"/>
        <w:jc w:val="both"/>
        <w:outlineLvl w:val="0"/>
        <w:rPr>
          <w:rFonts w:ascii="Times New Roman" w:hAnsi="Times New Roman" w:eastAsia="仿宋_GB2312" w:cs="Times New Roman"/>
          <w:b/>
          <w:bCs/>
          <w:sz w:val="30"/>
          <w:szCs w:val="30"/>
        </w:rPr>
      </w:pPr>
      <w:bookmarkStart w:id="20" w:name="_Toc112445130"/>
      <w:r>
        <w:rPr>
          <w:rFonts w:ascii="Times New Roman" w:hAnsi="Times New Roman" w:eastAsia="仿宋_GB2312" w:cs="Times New Roman"/>
          <w:b/>
          <w:bCs/>
          <w:sz w:val="30"/>
          <w:szCs w:val="30"/>
        </w:rPr>
        <w:t>五、一般公共预算当年拨款情况说明</w:t>
      </w:r>
      <w:bookmarkEnd w:id="20"/>
    </w:p>
    <w:p>
      <w:pPr>
        <w:pStyle w:val="3"/>
        <w:tabs>
          <w:tab w:val="left" w:pos="284"/>
        </w:tabs>
        <w:spacing w:line="560" w:lineRule="exact"/>
        <w:ind w:firstLine="560" w:firstLineChars="200"/>
        <w:outlineLvl w:val="1"/>
        <w:rPr>
          <w:rFonts w:ascii="Times New Roman" w:hAnsi="Times New Roman" w:eastAsia="宋体" w:cs="Times New Roman"/>
          <w:sz w:val="28"/>
          <w:szCs w:val="28"/>
        </w:rPr>
      </w:pPr>
      <w:bookmarkStart w:id="21" w:name="_Toc112445131"/>
      <w:r>
        <w:rPr>
          <w:rFonts w:ascii="Times New Roman" w:hAnsi="Times New Roman" w:eastAsia="宋体" w:cs="Times New Roman"/>
          <w:sz w:val="28"/>
          <w:szCs w:val="28"/>
        </w:rPr>
        <w:t>（一）一般公共预算当年拨款规模变化情况</w:t>
      </w:r>
      <w:bookmarkEnd w:id="21"/>
    </w:p>
    <w:p>
      <w:pPr>
        <w:pStyle w:val="3"/>
        <w:tabs>
          <w:tab w:val="left" w:pos="284"/>
        </w:tabs>
        <w:spacing w:line="5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人力资源和社会保障服务中心2024</w:t>
      </w:r>
      <w:r>
        <w:rPr>
          <w:rFonts w:ascii="Times New Roman" w:hAnsi="Times New Roman" w:eastAsia="宋体" w:cs="Times New Roman"/>
          <w:sz w:val="24"/>
          <w:szCs w:val="24"/>
        </w:rPr>
        <w:t>年一般公共预算当年拨款</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万元，主要是人员工资调标。</w:t>
      </w:r>
    </w:p>
    <w:p>
      <w:pPr>
        <w:pStyle w:val="3"/>
        <w:tabs>
          <w:tab w:val="left" w:pos="284"/>
        </w:tabs>
        <w:spacing w:line="560" w:lineRule="exact"/>
        <w:ind w:firstLine="560" w:firstLineChars="200"/>
        <w:outlineLvl w:val="1"/>
        <w:rPr>
          <w:rFonts w:ascii="Times New Roman" w:hAnsi="Times New Roman" w:eastAsia="宋体" w:cs="Times New Roman"/>
          <w:sz w:val="28"/>
          <w:szCs w:val="28"/>
        </w:rPr>
      </w:pPr>
      <w:bookmarkStart w:id="22" w:name="_Toc112445132"/>
      <w:r>
        <w:rPr>
          <w:rFonts w:ascii="Times New Roman" w:hAnsi="Times New Roman" w:eastAsia="宋体" w:cs="Times New Roman"/>
          <w:sz w:val="28"/>
          <w:szCs w:val="28"/>
        </w:rPr>
        <w:t>（二）一般公共预算当年拨款结构情况</w:t>
      </w:r>
      <w:bookmarkEnd w:id="22"/>
    </w:p>
    <w:p>
      <w:pPr>
        <w:pStyle w:val="3"/>
        <w:tabs>
          <w:tab w:val="left" w:pos="284"/>
        </w:tabs>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社会保障和就业支出</w:t>
      </w:r>
      <w:r>
        <w:rPr>
          <w:rFonts w:hint="eastAsia" w:ascii="Times New Roman" w:hAnsi="Times New Roman" w:eastAsia="宋体" w:cs="Times New Roman"/>
          <w:sz w:val="24"/>
          <w:szCs w:val="24"/>
          <w:lang w:val="en-US" w:eastAsia="zh-CN"/>
        </w:rPr>
        <w:t>37.76</w:t>
      </w:r>
      <w:r>
        <w:rPr>
          <w:rFonts w:ascii="Times New Roman" w:hAnsi="Times New Roman" w:eastAsia="宋体" w:cs="Times New Roman"/>
          <w:sz w:val="24"/>
          <w:szCs w:val="24"/>
        </w:rPr>
        <w:t>万元</w:t>
      </w:r>
      <w:r>
        <w:rPr>
          <w:rFonts w:hint="eastAsia" w:ascii="Times New Roman" w:hAnsi="Times New Roman" w:eastAsia="宋体" w:cs="Times New Roman"/>
          <w:sz w:val="24"/>
          <w:szCs w:val="24"/>
          <w:lang w:eastAsia="zh-CN"/>
        </w:rPr>
        <w:t>、</w:t>
      </w:r>
      <w:r>
        <w:rPr>
          <w:rFonts w:hint="eastAsia" w:ascii="Times New Roman" w:hAnsi="Times New Roman" w:eastAsia="宋体" w:cs="Times New Roman"/>
          <w:sz w:val="28"/>
          <w:szCs w:val="28"/>
          <w:lang w:eastAsia="zh-CN"/>
        </w:rPr>
        <w:t>住房保障</w:t>
      </w:r>
      <w:r>
        <w:rPr>
          <w:rFonts w:ascii="Times New Roman" w:hAnsi="Times New Roman" w:eastAsia="宋体" w:cs="Times New Roman"/>
          <w:sz w:val="24"/>
          <w:szCs w:val="24"/>
        </w:rPr>
        <w:t>支出</w:t>
      </w:r>
      <w:r>
        <w:rPr>
          <w:rFonts w:hint="eastAsia" w:ascii="Times New Roman" w:hAnsi="Times New Roman" w:eastAsia="宋体" w:cs="Times New Roman"/>
          <w:sz w:val="24"/>
          <w:szCs w:val="24"/>
          <w:lang w:val="en-US" w:eastAsia="zh-CN"/>
        </w:rPr>
        <w:t>3.43</w:t>
      </w:r>
      <w:r>
        <w:rPr>
          <w:rFonts w:ascii="Times New Roman" w:hAnsi="Times New Roman" w:eastAsia="宋体" w:cs="Times New Roman"/>
          <w:sz w:val="24"/>
          <w:szCs w:val="24"/>
        </w:rPr>
        <w:t>万元。</w:t>
      </w:r>
    </w:p>
    <w:p>
      <w:pPr>
        <w:pStyle w:val="3"/>
        <w:tabs>
          <w:tab w:val="left" w:pos="284"/>
        </w:tabs>
        <w:spacing w:line="560" w:lineRule="exact"/>
        <w:ind w:firstLine="560" w:firstLineChars="200"/>
        <w:outlineLvl w:val="1"/>
        <w:rPr>
          <w:rFonts w:ascii="Times New Roman" w:hAnsi="Times New Roman" w:eastAsia="仿宋_GB2312" w:cs="Times New Roman"/>
          <w:sz w:val="30"/>
          <w:szCs w:val="30"/>
        </w:rPr>
      </w:pPr>
      <w:bookmarkStart w:id="23" w:name="_Toc112445133"/>
      <w:r>
        <w:rPr>
          <w:rFonts w:ascii="Times New Roman" w:hAnsi="Times New Roman" w:eastAsia="宋体" w:cs="Times New Roman"/>
          <w:sz w:val="28"/>
          <w:szCs w:val="28"/>
        </w:rPr>
        <w:t>（三）一般公共预算当年拨款具体使用情况</w:t>
      </w:r>
      <w:bookmarkEnd w:id="23"/>
    </w:p>
    <w:p>
      <w:pPr>
        <w:pStyle w:val="3"/>
        <w:tabs>
          <w:tab w:val="left" w:pos="284"/>
        </w:tabs>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1、社会保障和就业（类）行政事业单位离退休（款）机关事业单位基本养老保险缴费支出（项）</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年预算数为</w:t>
      </w:r>
      <w:r>
        <w:rPr>
          <w:rFonts w:hint="eastAsia" w:ascii="Times New Roman" w:hAnsi="Times New Roman" w:eastAsia="宋体" w:cs="Times New Roman"/>
          <w:sz w:val="24"/>
          <w:szCs w:val="24"/>
          <w:lang w:val="en-US" w:eastAsia="zh-CN"/>
        </w:rPr>
        <w:t>37.76</w:t>
      </w:r>
      <w:r>
        <w:rPr>
          <w:rFonts w:ascii="Times New Roman" w:hAnsi="Times New Roman" w:eastAsia="宋体" w:cs="Times New Roman"/>
          <w:sz w:val="24"/>
          <w:szCs w:val="24"/>
        </w:rPr>
        <w:t>万元，主要用于：实施养老保险制度后，部门按规定由单位缴纳的基本养老保险费支出。　　　</w:t>
      </w:r>
    </w:p>
    <w:p>
      <w:pPr>
        <w:pStyle w:val="3"/>
        <w:spacing w:line="5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ascii="Times New Roman" w:hAnsi="Times New Roman" w:eastAsia="宋体" w:cs="Times New Roman"/>
          <w:sz w:val="24"/>
          <w:szCs w:val="24"/>
        </w:rPr>
        <w:t>、</w:t>
      </w:r>
      <w:r>
        <w:rPr>
          <w:rFonts w:hint="eastAsia" w:ascii="Times New Roman" w:hAnsi="Times New Roman" w:eastAsia="宋体" w:cs="Times New Roman"/>
          <w:sz w:val="24"/>
          <w:szCs w:val="24"/>
          <w:lang w:val="en-US" w:eastAsia="zh-CN"/>
        </w:rPr>
        <w:t>住房保障</w:t>
      </w:r>
      <w:r>
        <w:rPr>
          <w:rFonts w:ascii="Times New Roman" w:hAnsi="Times New Roman" w:eastAsia="宋体" w:cs="Times New Roman"/>
          <w:sz w:val="24"/>
          <w:szCs w:val="24"/>
        </w:rPr>
        <w:t>支出（类）行政事业单位事业、</w:t>
      </w:r>
      <w:r>
        <w:rPr>
          <w:rFonts w:hint="eastAsia" w:ascii="Times New Roman" w:hAnsi="Times New Roman" w:eastAsia="宋体" w:cs="Times New Roman"/>
          <w:sz w:val="24"/>
          <w:szCs w:val="24"/>
          <w:lang w:val="en-US" w:eastAsia="zh-CN"/>
        </w:rPr>
        <w:t>住房保障</w:t>
      </w:r>
      <w:r>
        <w:rPr>
          <w:rFonts w:ascii="Times New Roman" w:hAnsi="Times New Roman" w:eastAsia="宋体" w:cs="Times New Roman"/>
          <w:sz w:val="24"/>
          <w:szCs w:val="24"/>
        </w:rPr>
        <w:t>（项）:</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年预算数为</w:t>
      </w:r>
      <w:r>
        <w:rPr>
          <w:rFonts w:hint="eastAsia" w:ascii="Times New Roman" w:hAnsi="Times New Roman" w:eastAsia="宋体" w:cs="Times New Roman"/>
          <w:sz w:val="24"/>
          <w:szCs w:val="24"/>
          <w:lang w:val="en-US" w:eastAsia="zh-CN"/>
        </w:rPr>
        <w:t>3.43</w:t>
      </w:r>
      <w:r>
        <w:rPr>
          <w:rFonts w:ascii="Times New Roman" w:hAnsi="Times New Roman" w:eastAsia="宋体" w:cs="Times New Roman"/>
          <w:sz w:val="24"/>
          <w:szCs w:val="24"/>
        </w:rPr>
        <w:t>万元，主要用于：部门下属事业单位基本</w:t>
      </w:r>
      <w:r>
        <w:rPr>
          <w:rFonts w:hint="eastAsia" w:ascii="Times New Roman" w:hAnsi="Times New Roman" w:eastAsia="宋体" w:cs="Times New Roman"/>
          <w:sz w:val="24"/>
          <w:szCs w:val="24"/>
          <w:lang w:eastAsia="zh-CN"/>
        </w:rPr>
        <w:t>住房保障</w:t>
      </w:r>
      <w:r>
        <w:rPr>
          <w:rFonts w:ascii="Times New Roman" w:hAnsi="Times New Roman" w:eastAsia="宋体" w:cs="Times New Roman"/>
          <w:sz w:val="24"/>
          <w:szCs w:val="24"/>
        </w:rPr>
        <w:t>缴费支出。</w:t>
      </w:r>
    </w:p>
    <w:p>
      <w:pPr>
        <w:pStyle w:val="3"/>
        <w:spacing w:before="100" w:after="100" w:line="360" w:lineRule="auto"/>
        <w:jc w:val="both"/>
        <w:outlineLvl w:val="0"/>
        <w:rPr>
          <w:rFonts w:ascii="Times New Roman" w:hAnsi="Times New Roman" w:eastAsia="仿宋_GB2312" w:cs="Times New Roman"/>
          <w:b/>
          <w:bCs/>
          <w:sz w:val="30"/>
          <w:szCs w:val="30"/>
        </w:rPr>
      </w:pPr>
      <w:bookmarkStart w:id="24" w:name="_Toc112445134"/>
      <w:r>
        <w:rPr>
          <w:rFonts w:ascii="Times New Roman" w:hAnsi="Times New Roman" w:eastAsia="仿宋_GB2312" w:cs="Times New Roman"/>
          <w:b/>
          <w:bCs/>
          <w:sz w:val="30"/>
          <w:szCs w:val="30"/>
        </w:rPr>
        <w:t>六、一般公共预算基本支出情况说明</w:t>
      </w:r>
      <w:bookmarkEnd w:id="24"/>
    </w:p>
    <w:p>
      <w:pPr>
        <w:pStyle w:val="3"/>
        <w:spacing w:before="100" w:after="100" w:line="360" w:lineRule="auto"/>
        <w:ind w:firstLine="480" w:firstLineChars="200"/>
        <w:jc w:val="both"/>
        <w:outlineLvl w:val="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人力资源和社会保障服务中心2024</w:t>
      </w:r>
      <w:r>
        <w:rPr>
          <w:rFonts w:ascii="Times New Roman" w:hAnsi="Times New Roman" w:eastAsia="宋体" w:cs="Times New Roman"/>
          <w:sz w:val="24"/>
          <w:szCs w:val="24"/>
        </w:rPr>
        <w:t>年一般公共预算基本支出</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万元，其中：</w:t>
      </w:r>
    </w:p>
    <w:p>
      <w:pPr>
        <w:pStyle w:val="3"/>
        <w:spacing w:before="100" w:after="100" w:line="360" w:lineRule="auto"/>
        <w:ind w:firstLine="480" w:firstLineChars="200"/>
        <w:jc w:val="both"/>
        <w:outlineLvl w:val="0"/>
        <w:rPr>
          <w:rFonts w:ascii="Times New Roman" w:hAnsi="Times New Roman" w:eastAsia="宋体" w:cs="Times New Roman"/>
          <w:sz w:val="24"/>
          <w:szCs w:val="24"/>
        </w:rPr>
      </w:pPr>
      <w:r>
        <w:rPr>
          <w:rFonts w:ascii="Times New Roman" w:hAnsi="Times New Roman" w:eastAsia="宋体" w:cs="Times New Roman"/>
          <w:sz w:val="24"/>
          <w:szCs w:val="24"/>
        </w:rPr>
        <w:t>人员经费</w:t>
      </w:r>
      <w:r>
        <w:rPr>
          <w:rFonts w:hint="eastAsia" w:ascii="Times New Roman" w:hAnsi="Times New Roman" w:eastAsia="宋体" w:cs="Times New Roman"/>
          <w:sz w:val="24"/>
          <w:szCs w:val="24"/>
          <w:lang w:val="en-US" w:eastAsia="zh-CN"/>
        </w:rPr>
        <w:t>37.86</w:t>
      </w:r>
      <w:r>
        <w:rPr>
          <w:rFonts w:ascii="Times New Roman" w:hAnsi="Times New Roman" w:eastAsia="宋体" w:cs="Times New Roman"/>
          <w:sz w:val="24"/>
          <w:szCs w:val="24"/>
        </w:rPr>
        <w:t>万元，主要包括：基本工资、津贴补贴、奖金、社会保险缴费、绩效工资、机关事业单位基本养老保险缴费、住房公积金。</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公用经费</w:t>
      </w:r>
      <w:r>
        <w:rPr>
          <w:rFonts w:hint="eastAsia" w:ascii="Times New Roman" w:hAnsi="Times New Roman" w:eastAsia="宋体" w:cs="Times New Roman"/>
          <w:sz w:val="24"/>
          <w:szCs w:val="24"/>
          <w:lang w:val="en-US" w:eastAsia="zh-CN"/>
        </w:rPr>
        <w:t>3.33</w:t>
      </w:r>
      <w:r>
        <w:rPr>
          <w:rFonts w:ascii="Times New Roman" w:hAnsi="Times New Roman" w:eastAsia="宋体" w:cs="Times New Roman"/>
          <w:sz w:val="24"/>
          <w:szCs w:val="24"/>
        </w:rPr>
        <w:t>万元，主要包括：办公费、电费、邮电费、差旅费、工会经费。</w:t>
      </w:r>
    </w:p>
    <w:p>
      <w:pPr>
        <w:pStyle w:val="3"/>
        <w:spacing w:before="100" w:after="100" w:line="360" w:lineRule="auto"/>
        <w:jc w:val="both"/>
        <w:outlineLvl w:val="0"/>
        <w:rPr>
          <w:rFonts w:ascii="Times New Roman" w:hAnsi="Times New Roman" w:eastAsia="仿宋_GB2312" w:cs="Times New Roman"/>
          <w:b/>
          <w:bCs/>
          <w:sz w:val="30"/>
          <w:szCs w:val="30"/>
        </w:rPr>
      </w:pPr>
      <w:bookmarkStart w:id="25" w:name="_Toc112445135"/>
      <w:r>
        <w:rPr>
          <w:rFonts w:ascii="Times New Roman" w:hAnsi="Times New Roman" w:eastAsia="仿宋_GB2312" w:cs="Times New Roman"/>
          <w:b/>
          <w:bCs/>
          <w:sz w:val="30"/>
          <w:szCs w:val="30"/>
        </w:rPr>
        <w:t>七、“三公”经费财政拨款预算安排情况说明</w:t>
      </w:r>
      <w:bookmarkEnd w:id="25"/>
    </w:p>
    <w:p>
      <w:pPr>
        <w:pStyle w:val="3"/>
        <w:spacing w:line="5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人力资源和社会保障服务中心2024</w:t>
      </w:r>
      <w:r>
        <w:rPr>
          <w:rFonts w:ascii="Times New Roman" w:hAnsi="Times New Roman" w:eastAsia="宋体" w:cs="Times New Roman"/>
          <w:sz w:val="24"/>
          <w:szCs w:val="24"/>
        </w:rPr>
        <w:t>年“三公”经费财政拨款预算数 0万元，其中：因公出国（境）经费 0万元，公务接待费 0万元，公务用车购置及运行维护费 0万元。</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（一）</w:t>
      </w:r>
      <w:r>
        <w:rPr>
          <w:rFonts w:hint="eastAsia" w:ascii="Times New Roman" w:hAnsi="Times New Roman" w:eastAsia="宋体" w:cs="Times New Roman"/>
          <w:sz w:val="24"/>
          <w:szCs w:val="24"/>
          <w:lang w:eastAsia="zh-CN"/>
        </w:rPr>
        <w:t>2024人力资源和社会保障服务中心</w:t>
      </w:r>
      <w:r>
        <w:rPr>
          <w:rFonts w:ascii="Times New Roman" w:hAnsi="Times New Roman" w:eastAsia="宋体" w:cs="Times New Roman"/>
          <w:sz w:val="24"/>
          <w:szCs w:val="24"/>
        </w:rPr>
        <w:t>无因公出国（境）经费。</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（二）</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eastAsia="zh-CN"/>
        </w:rPr>
        <w:t>人力资源和社会保障服务中心</w:t>
      </w:r>
      <w:r>
        <w:rPr>
          <w:rFonts w:ascii="Times New Roman" w:hAnsi="Times New Roman" w:eastAsia="宋体" w:cs="Times New Roman"/>
          <w:sz w:val="24"/>
          <w:szCs w:val="24"/>
        </w:rPr>
        <w:t>没预算公务接待费。</w:t>
      </w:r>
    </w:p>
    <w:p>
      <w:pPr>
        <w:pStyle w:val="3"/>
        <w:spacing w:line="56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（三）</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w:t>
      </w:r>
      <w:r>
        <w:rPr>
          <w:rFonts w:hint="eastAsia" w:ascii="Times New Roman" w:hAnsi="Times New Roman" w:eastAsia="宋体" w:cs="Times New Roman"/>
          <w:sz w:val="24"/>
          <w:szCs w:val="24"/>
          <w:lang w:eastAsia="zh-CN"/>
        </w:rPr>
        <w:t>人力资源和社会保障服务中心</w:t>
      </w:r>
      <w:r>
        <w:rPr>
          <w:rFonts w:ascii="Times New Roman" w:hAnsi="Times New Roman" w:eastAsia="宋体" w:cs="Times New Roman"/>
          <w:sz w:val="24"/>
          <w:szCs w:val="24"/>
        </w:rPr>
        <w:t>无公务用车购置及运行维护费。</w:t>
      </w:r>
    </w:p>
    <w:p>
      <w:pPr>
        <w:pStyle w:val="3"/>
        <w:spacing w:before="100" w:after="100" w:line="360" w:lineRule="auto"/>
        <w:jc w:val="both"/>
        <w:outlineLvl w:val="0"/>
        <w:rPr>
          <w:rFonts w:ascii="Times New Roman" w:hAnsi="Times New Roman" w:eastAsia="仿宋_GB2312" w:cs="Times New Roman"/>
          <w:b/>
          <w:bCs/>
          <w:sz w:val="30"/>
          <w:szCs w:val="30"/>
        </w:rPr>
      </w:pPr>
      <w:bookmarkStart w:id="26" w:name="_Toc112445136"/>
      <w:r>
        <w:rPr>
          <w:rFonts w:ascii="Times New Roman" w:hAnsi="Times New Roman" w:eastAsia="仿宋_GB2312" w:cs="Times New Roman"/>
          <w:b/>
          <w:bCs/>
          <w:sz w:val="30"/>
          <w:szCs w:val="30"/>
        </w:rPr>
        <w:t>八、政府性基金预算支出情况说明</w:t>
      </w:r>
      <w:bookmarkEnd w:id="26"/>
    </w:p>
    <w:p>
      <w:pPr>
        <w:pStyle w:val="3"/>
        <w:spacing w:line="560" w:lineRule="exact"/>
        <w:ind w:firstLine="480" w:firstLineChars="200"/>
        <w:jc w:val="both"/>
        <w:rPr>
          <w:rFonts w:ascii="Times New Roman" w:hAnsi="Times New Roman" w:eastAsia="仿宋_GB2312" w:cs="Times New Roman"/>
          <w:sz w:val="30"/>
          <w:szCs w:val="30"/>
        </w:rPr>
      </w:pPr>
      <w:r>
        <w:rPr>
          <w:rFonts w:hint="eastAsia" w:ascii="Times New Roman" w:hAnsi="Times New Roman" w:eastAsia="宋体" w:cs="Times New Roman"/>
          <w:sz w:val="24"/>
          <w:szCs w:val="24"/>
          <w:lang w:eastAsia="zh-CN"/>
        </w:rPr>
        <w:t>人力资源和社会保障服务中心2024</w:t>
      </w:r>
      <w:r>
        <w:rPr>
          <w:rFonts w:ascii="Times New Roman" w:hAnsi="Times New Roman" w:eastAsia="宋体" w:cs="Times New Roman"/>
          <w:sz w:val="24"/>
          <w:szCs w:val="24"/>
        </w:rPr>
        <w:t>年没有使用政府性基金预算拨款安排的支出</w:t>
      </w:r>
      <w:r>
        <w:rPr>
          <w:rFonts w:ascii="Times New Roman" w:hAnsi="Times New Roman" w:eastAsia="仿宋_GB2312" w:cs="Times New Roman"/>
          <w:sz w:val="30"/>
          <w:szCs w:val="30"/>
        </w:rPr>
        <w:t>。</w:t>
      </w:r>
    </w:p>
    <w:p>
      <w:pPr>
        <w:pStyle w:val="3"/>
        <w:spacing w:before="100" w:after="100" w:line="360" w:lineRule="auto"/>
        <w:jc w:val="both"/>
        <w:outlineLvl w:val="0"/>
        <w:rPr>
          <w:rFonts w:ascii="Times New Roman" w:hAnsi="Times New Roman" w:eastAsia="仿宋_GB2312" w:cs="Times New Roman"/>
          <w:b/>
          <w:bCs/>
          <w:sz w:val="30"/>
          <w:szCs w:val="30"/>
        </w:rPr>
      </w:pPr>
      <w:bookmarkStart w:id="27" w:name="_Toc112445137"/>
      <w:r>
        <w:rPr>
          <w:rFonts w:ascii="Times New Roman" w:hAnsi="Times New Roman" w:eastAsia="仿宋_GB2312" w:cs="Times New Roman"/>
          <w:b/>
          <w:bCs/>
          <w:sz w:val="30"/>
          <w:szCs w:val="30"/>
        </w:rPr>
        <w:t>九、其他重要事项的情况说明</w:t>
      </w:r>
      <w:bookmarkEnd w:id="27"/>
    </w:p>
    <w:p>
      <w:pPr>
        <w:pStyle w:val="3"/>
        <w:spacing w:line="560" w:lineRule="exact"/>
        <w:ind w:firstLine="560" w:firstLineChars="200"/>
        <w:jc w:val="both"/>
        <w:outlineLvl w:val="1"/>
        <w:rPr>
          <w:rFonts w:ascii="Times New Roman" w:hAnsi="Times New Roman" w:eastAsia="宋体" w:cs="Times New Roman"/>
          <w:sz w:val="28"/>
          <w:szCs w:val="28"/>
        </w:rPr>
      </w:pPr>
      <w:bookmarkStart w:id="28" w:name="_Toc112445138"/>
      <w:r>
        <w:rPr>
          <w:rFonts w:ascii="Times New Roman" w:hAnsi="Times New Roman" w:eastAsia="宋体" w:cs="Times New Roman"/>
          <w:sz w:val="28"/>
          <w:szCs w:val="28"/>
        </w:rPr>
        <w:t>（一）政府采购情况。</w:t>
      </w:r>
      <w:bookmarkEnd w:id="28"/>
    </w:p>
    <w:p>
      <w:pPr>
        <w:pStyle w:val="3"/>
        <w:spacing w:line="56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年，没有安排政府采购预算。</w:t>
      </w:r>
      <w:bookmarkStart w:id="31" w:name="_GoBack"/>
      <w:bookmarkEnd w:id="31"/>
    </w:p>
    <w:p>
      <w:pPr>
        <w:spacing w:line="560" w:lineRule="exact"/>
        <w:ind w:firstLine="560" w:firstLineChars="200"/>
        <w:outlineLvl w:val="1"/>
        <w:rPr>
          <w:rFonts w:ascii="Times New Roman" w:hAnsi="Times New Roman" w:eastAsia="宋体" w:cs="Times New Roman"/>
          <w:sz w:val="28"/>
          <w:szCs w:val="28"/>
        </w:rPr>
      </w:pPr>
      <w:bookmarkStart w:id="29" w:name="_Toc112445139"/>
      <w:r>
        <w:rPr>
          <w:rFonts w:ascii="Times New Roman" w:hAnsi="Times New Roman" w:eastAsia="宋体" w:cs="Times New Roman"/>
          <w:sz w:val="28"/>
          <w:szCs w:val="28"/>
        </w:rPr>
        <w:t>（二）绩效目标设置情况</w:t>
      </w:r>
      <w:bookmarkEnd w:id="29"/>
    </w:p>
    <w:p>
      <w:pPr>
        <w:spacing w:line="560" w:lineRule="exact"/>
        <w:ind w:firstLine="480" w:firstLineChars="200"/>
        <w:jc w:val="left"/>
        <w:rPr>
          <w:rFonts w:ascii="Times New Roman" w:hAnsi="Times New Roman" w:eastAsia="宋体" w:cs="Times New Roman"/>
          <w:sz w:val="24"/>
          <w:szCs w:val="24"/>
        </w:rPr>
      </w:pP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年财政部门通用项目和专用项目均按要求实行绩效目标管理，涉及一般公共预算当年拨款</w:t>
      </w:r>
      <w:r>
        <w:rPr>
          <w:rFonts w:hint="eastAsia" w:ascii="Times New Roman" w:hAnsi="Times New Roman" w:eastAsia="宋体" w:cs="Times New Roman"/>
          <w:sz w:val="24"/>
          <w:szCs w:val="24"/>
          <w:lang w:val="en-US" w:eastAsia="zh-CN"/>
        </w:rPr>
        <w:t>41.19</w:t>
      </w:r>
      <w:r>
        <w:rPr>
          <w:rFonts w:ascii="Times New Roman" w:hAnsi="Times New Roman" w:eastAsia="宋体" w:cs="Times New Roman"/>
          <w:sz w:val="24"/>
          <w:szCs w:val="24"/>
        </w:rPr>
        <w:t>万元。</w:t>
      </w:r>
    </w:p>
    <w:p>
      <w:pPr>
        <w:spacing w:line="56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 xml:space="preserve">附件： </w:t>
      </w:r>
      <w:r>
        <w:rPr>
          <w:rFonts w:hint="eastAsia" w:ascii="Times New Roman" w:hAnsi="Times New Roman" w:eastAsia="宋体" w:cs="Times New Roman"/>
          <w:sz w:val="24"/>
          <w:szCs w:val="24"/>
          <w:lang w:eastAsia="zh-CN"/>
        </w:rPr>
        <w:t>2024</w:t>
      </w:r>
      <w:r>
        <w:rPr>
          <w:rFonts w:ascii="Times New Roman" w:hAnsi="Times New Roman" w:eastAsia="宋体" w:cs="Times New Roman"/>
          <w:sz w:val="24"/>
          <w:szCs w:val="24"/>
        </w:rPr>
        <w:t>年部门预算公开报表</w:t>
      </w:r>
    </w:p>
    <w:p>
      <w:pPr>
        <w:spacing w:before="312" w:beforeLines="100" w:after="312" w:afterLines="100" w:line="360" w:lineRule="auto"/>
        <w:outlineLvl w:val="0"/>
        <w:rPr>
          <w:rFonts w:ascii="Times New Roman" w:hAnsi="Times New Roman" w:eastAsia="黑体" w:cs="Times New Roman"/>
          <w:b/>
          <w:bCs/>
          <w:sz w:val="28"/>
          <w:szCs w:val="28"/>
        </w:rPr>
      </w:pPr>
      <w:bookmarkStart w:id="30" w:name="_Toc112445140"/>
      <w:r>
        <w:rPr>
          <w:rStyle w:val="13"/>
          <w:rFonts w:ascii="Times New Roman" w:hAnsi="Times New Roman" w:eastAsia="黑体" w:cs="Times New Roman"/>
          <w:sz w:val="28"/>
          <w:szCs w:val="28"/>
        </w:rPr>
        <w:t>十、名词解释</w:t>
      </w:r>
      <w:bookmarkEnd w:id="30"/>
    </w:p>
    <w:p>
      <w:pPr>
        <w:pStyle w:val="14"/>
        <w:spacing w:line="360" w:lineRule="auto"/>
        <w:ind w:firstLine="480" w:firstLineChars="200"/>
        <w:rPr>
          <w:rFonts w:ascii="Times New Roman" w:eastAsia="宋体" w:cs="Times New Roman"/>
        </w:rPr>
      </w:pPr>
      <w:r>
        <w:rPr>
          <w:rFonts w:ascii="Times New Roman" w:eastAsia="宋体" w:cs="Times New Roman"/>
        </w:rPr>
        <w:t>1、财政拨款收入：指单位从同级财政部门取得的财政预算资金。</w:t>
      </w:r>
    </w:p>
    <w:p>
      <w:pPr>
        <w:pStyle w:val="14"/>
        <w:spacing w:line="360" w:lineRule="auto"/>
        <w:ind w:firstLine="480" w:firstLineChars="200"/>
        <w:rPr>
          <w:rFonts w:ascii="Times New Roman" w:eastAsia="宋体" w:cs="Times New Roman"/>
        </w:rPr>
      </w:pPr>
      <w:r>
        <w:rPr>
          <w:rFonts w:ascii="Times New Roman" w:eastAsia="宋体" w:cs="Times New Roman"/>
        </w:rPr>
        <w:t>2、事业收入：指事业单位开展专业业务活动及辅助活动取得的收入。</w:t>
      </w:r>
    </w:p>
    <w:p>
      <w:pPr>
        <w:pStyle w:val="14"/>
        <w:spacing w:line="360" w:lineRule="auto"/>
        <w:ind w:firstLine="480" w:firstLineChars="200"/>
        <w:rPr>
          <w:rFonts w:ascii="Times New Roman" w:eastAsia="宋体" w:cs="Times New Roman"/>
        </w:rPr>
      </w:pPr>
      <w:r>
        <w:rPr>
          <w:rFonts w:ascii="Times New Roman" w:eastAsia="宋体" w:cs="Times New Roman"/>
        </w:rPr>
        <w:t>3、经营收入：指事业单位在专业业务活动及其辅助活动之外开展非独立核算经营活动取得的收入。</w:t>
      </w:r>
    </w:p>
    <w:p>
      <w:pPr>
        <w:pStyle w:val="14"/>
        <w:spacing w:line="360" w:lineRule="auto"/>
        <w:ind w:firstLine="480" w:firstLineChars="200"/>
        <w:rPr>
          <w:rFonts w:ascii="Times New Roman" w:eastAsia="宋体" w:cs="Times New Roman"/>
        </w:rPr>
      </w:pPr>
      <w:r>
        <w:rPr>
          <w:rFonts w:ascii="Times New Roman" w:eastAsia="宋体" w:cs="Times New Roman"/>
        </w:rPr>
        <w:t>4、其他收入：指单位取得的除上述收入以外的各项收入。</w:t>
      </w:r>
    </w:p>
    <w:p>
      <w:pPr>
        <w:pStyle w:val="14"/>
        <w:spacing w:line="360" w:lineRule="auto"/>
        <w:ind w:firstLine="480" w:firstLineChars="200"/>
        <w:rPr>
          <w:rFonts w:ascii="Times New Roman" w:eastAsia="宋体" w:cs="Times New Roman"/>
        </w:rPr>
      </w:pPr>
      <w:r>
        <w:rPr>
          <w:rFonts w:ascii="Times New Roman" w:eastAsia="宋体" w:cs="Times New Roman"/>
        </w:rPr>
        <w:t xml:space="preserve">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pStyle w:val="14"/>
        <w:spacing w:line="360" w:lineRule="auto"/>
        <w:ind w:firstLine="480" w:firstLineChars="200"/>
        <w:rPr>
          <w:rFonts w:ascii="Times New Roman" w:eastAsia="宋体" w:cs="Times New Roman"/>
        </w:rPr>
      </w:pPr>
      <w:r>
        <w:rPr>
          <w:rFonts w:ascii="Times New Roman" w:eastAsia="宋体" w:cs="Times New Roman"/>
        </w:rPr>
        <w:t xml:space="preserve">6、年初结转和结余：指以前年度尚未完成、结转到本年按有关规定继续使用的资金。 </w:t>
      </w:r>
    </w:p>
    <w:p>
      <w:pPr>
        <w:pStyle w:val="14"/>
        <w:spacing w:line="360" w:lineRule="auto"/>
        <w:ind w:firstLine="480" w:firstLineChars="200"/>
        <w:rPr>
          <w:rFonts w:ascii="Times New Roman" w:eastAsia="宋体" w:cs="Times New Roman"/>
        </w:rPr>
      </w:pPr>
      <w:r>
        <w:rPr>
          <w:rFonts w:ascii="Times New Roman" w:eastAsia="宋体" w:cs="Times New Roman"/>
        </w:rPr>
        <w:t>7、结余分配：指事业单位按照事业单位会计制度的规定从非财政补助结余中分配的事业基金和职工福利基金等。</w:t>
      </w:r>
    </w:p>
    <w:p>
      <w:pPr>
        <w:pStyle w:val="14"/>
        <w:spacing w:line="360" w:lineRule="auto"/>
        <w:ind w:firstLine="480" w:firstLineChars="200"/>
        <w:rPr>
          <w:rFonts w:ascii="Times New Roman" w:eastAsia="宋体" w:cs="Times New Roman"/>
        </w:rPr>
      </w:pPr>
      <w:r>
        <w:rPr>
          <w:rFonts w:ascii="Times New Roman" w:eastAsia="宋体" w:cs="Times New Roman"/>
        </w:rPr>
        <w:t>8、年末结转和结余：指单位按有关规定结转到下年或以后年度继续使用的资金。</w:t>
      </w:r>
    </w:p>
    <w:p>
      <w:pPr>
        <w:spacing w:line="360" w:lineRule="auto"/>
        <w:ind w:firstLine="480" w:firstLineChars="200"/>
        <w:jc w:val="left"/>
        <w:rPr>
          <w:rStyle w:val="9"/>
          <w:rFonts w:ascii="Times New Roman" w:hAnsi="Times New Roman" w:eastAsia="宋体" w:cs="Times New Roman"/>
          <w:b w:val="0"/>
          <w:color w:val="000000"/>
          <w:sz w:val="24"/>
          <w:szCs w:val="24"/>
        </w:rPr>
      </w:pPr>
      <w:r>
        <w:rPr>
          <w:rStyle w:val="9"/>
          <w:rFonts w:ascii="Times New Roman" w:hAnsi="Times New Roman" w:eastAsia="宋体" w:cs="Times New Roman"/>
          <w:b w:val="0"/>
          <w:color w:val="000000"/>
          <w:sz w:val="24"/>
          <w:szCs w:val="24"/>
        </w:rPr>
        <w:t>社会保障和就业（类）人力资源和社会保障管理事务（款）</w:t>
      </w:r>
    </w:p>
    <w:p>
      <w:pPr>
        <w:spacing w:line="360" w:lineRule="auto"/>
        <w:ind w:firstLine="480" w:firstLineChars="200"/>
        <w:jc w:val="left"/>
        <w:rPr>
          <w:rFonts w:ascii="Times New Roman" w:hAnsi="Times New Roman" w:eastAsia="宋体" w:cs="Times New Roman"/>
          <w:color w:val="000000"/>
          <w:kern w:val="0"/>
          <w:sz w:val="24"/>
          <w:szCs w:val="24"/>
        </w:rPr>
      </w:pPr>
      <w:r>
        <w:rPr>
          <w:rStyle w:val="9"/>
          <w:rFonts w:ascii="Times New Roman" w:hAnsi="Times New Roman" w:eastAsia="宋体" w:cs="Times New Roman"/>
          <w:b w:val="0"/>
          <w:color w:val="000000"/>
          <w:sz w:val="24"/>
          <w:szCs w:val="24"/>
        </w:rPr>
        <w:t xml:space="preserve">9、社会保险经办机构（项）: </w:t>
      </w:r>
      <w:r>
        <w:rPr>
          <w:rFonts w:ascii="Times New Roman" w:hAnsi="Times New Roman" w:eastAsia="宋体" w:cs="Times New Roman"/>
          <w:color w:val="000000"/>
          <w:kern w:val="0"/>
          <w:sz w:val="24"/>
          <w:szCs w:val="24"/>
        </w:rPr>
        <w:t>指</w:t>
      </w:r>
      <w:r>
        <w:rPr>
          <w:rFonts w:hint="eastAsia" w:ascii="Times New Roman" w:hAnsi="Times New Roman" w:eastAsia="宋体" w:cs="Times New Roman"/>
          <w:color w:val="000000"/>
          <w:kern w:val="0"/>
          <w:sz w:val="24"/>
          <w:szCs w:val="24"/>
          <w:lang w:eastAsia="zh-CN"/>
        </w:rPr>
        <w:t>人力资源和社会保障服务中心</w:t>
      </w:r>
      <w:r>
        <w:rPr>
          <w:rFonts w:ascii="Times New Roman" w:hAnsi="Times New Roman" w:eastAsia="宋体" w:cs="Times New Roman"/>
          <w:color w:val="000000"/>
          <w:kern w:val="0"/>
          <w:sz w:val="24"/>
          <w:szCs w:val="24"/>
        </w:rPr>
        <w:t>正常运转的基本支出，包括基本工资、津贴补贴等人员经费以及办公费、印刷费、水电费等日常公用经费。</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10、社会保障和就业支出（类）行政事业单位离退休（款）机关事业单位基本养老保险缴费支出（项）:指实施养老保险制度后，部门按规定由单位缴纳的基本养老保险费支出。卫生健康支出（类）行政事业单位医疗（款）行政单</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11、医疗（项）:指机关及参公管理事业单位基本医疗保险缴费支出。</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12、卫生健康支出（类）行政事业单位医疗（款）公务员医疗补助（项）:反映财政部门安排的公务员医疗补助经费。</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13、住房保障（类）住房改革支出（款）住房公积金（项）:指部门按人力资源和社会保障部、财政部规定的基本工资和津贴补贴以及规定比例为职工缴纳的住房公积金支出。</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14、基本支出：指为保障机构正常运转、完成日常工作任务而发生的人员支出和公用支出。</w:t>
      </w:r>
    </w:p>
    <w:p>
      <w:pPr>
        <w:spacing w:line="360" w:lineRule="auto"/>
        <w:ind w:firstLine="480" w:firstLineChars="200"/>
        <w:jc w:val="left"/>
        <w:rPr>
          <w:rFonts w:ascii="Times New Roman" w:hAnsi="Times New Roman" w:eastAsia="宋体" w:cs="Times New Roman"/>
          <w:color w:val="000000"/>
          <w:kern w:val="0"/>
          <w:sz w:val="24"/>
          <w:szCs w:val="24"/>
        </w:rPr>
      </w:pPr>
      <w:r>
        <w:rPr>
          <w:rFonts w:ascii="Times New Roman" w:hAnsi="Times New Roman" w:eastAsia="宋体" w:cs="Times New Roman"/>
          <w:color w:val="000000"/>
          <w:kern w:val="0"/>
          <w:sz w:val="24"/>
          <w:szCs w:val="24"/>
        </w:rPr>
        <w:t xml:space="preserve">14、项目支出：指在基本支出之外为完成特定行政任务和事业发展目标所发生的支出。 </w:t>
      </w:r>
    </w:p>
    <w:p>
      <w:pPr>
        <w:pStyle w:val="14"/>
        <w:spacing w:line="360" w:lineRule="auto"/>
        <w:ind w:firstLine="480" w:firstLineChars="200"/>
        <w:rPr>
          <w:rFonts w:ascii="Times New Roman" w:eastAsia="仿宋_GB2312" w:cs="Times New Roman"/>
          <w:sz w:val="32"/>
          <w:szCs w:val="32"/>
        </w:rPr>
      </w:pPr>
      <w:r>
        <w:rPr>
          <w:rFonts w:ascii="Times New Roman" w:eastAsia="宋体" w:cs="Times New Roman"/>
        </w:rPr>
        <w:t>15、“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ascii="Times New Roman" w:eastAsia="仿宋_GB2312" w:cs="Times New Roman"/>
          <w:sz w:val="32"/>
          <w:szCs w:val="32"/>
        </w:rPr>
        <w:t>。</w:t>
      </w:r>
    </w:p>
    <w:p>
      <w:pPr>
        <w:rPr>
          <w:rFonts w:ascii="Times New Roman" w:hAnsi="Times New Roman" w:eastAsia="仿宋_GB2312" w:cs="Times New Roman"/>
          <w:color w:val="000000"/>
          <w:kern w:val="0"/>
          <w:sz w:val="32"/>
          <w:szCs w:val="32"/>
        </w:rPr>
      </w:pPr>
    </w:p>
    <w:p>
      <w:pPr>
        <w:rPr>
          <w:rFonts w:ascii="Times New Roman" w:hAnsi="Times New Roman" w:cs="Times New Roman"/>
        </w:rPr>
      </w:pPr>
    </w:p>
    <w:p>
      <w:pPr>
        <w:pStyle w:val="3"/>
        <w:ind w:firstLine="992" w:firstLineChars="310"/>
        <w:rPr>
          <w:rFonts w:ascii="Times New Roman" w:hAnsi="Times New Roman" w:eastAsia="仿宋_GB2312" w:cs="Times New Roman"/>
          <w:color w:val="000000"/>
          <w:kern w:val="0"/>
          <w:sz w:val="32"/>
          <w:szCs w:val="32"/>
        </w:rPr>
      </w:pPr>
    </w:p>
    <w:p>
      <w:pPr>
        <w:pStyle w:val="3"/>
        <w:rPr>
          <w:rFonts w:ascii="Times New Roman" w:hAnsi="Times New Roman" w:eastAsia="黑体" w:cs="Times New Roman"/>
          <w:b/>
          <w:bCs/>
          <w:color w:val="000000"/>
          <w:kern w:val="0"/>
          <w:sz w:val="32"/>
          <w:szCs w:val="32"/>
        </w:rPr>
        <w:sectPr>
          <w:footerReference r:id="rId9" w:type="default"/>
          <w:pgSz w:w="11906" w:h="16838"/>
          <w:pgMar w:top="1440" w:right="1800" w:bottom="1440" w:left="1800" w:header="851" w:footer="992" w:gutter="0"/>
          <w:pgNumType w:start="1"/>
          <w:cols w:space="720" w:num="1"/>
          <w:docGrid w:type="lines" w:linePitch="312" w:charSpace="0"/>
        </w:sectPr>
      </w:pPr>
    </w:p>
    <w:p>
      <w:pPr>
        <w:widowControl/>
        <w:wordWrap w:val="0"/>
        <w:spacing w:line="480" w:lineRule="atLeast"/>
        <w:ind w:firstLine="420" w:firstLineChars="200"/>
        <w:rPr>
          <w:rFonts w:ascii="Times New Roman" w:hAnsi="Times New Roman" w:cs="Times New Roman"/>
        </w:rPr>
        <w:sectPr>
          <w:footerReference r:id="rId10" w:type="default"/>
          <w:pgSz w:w="11906" w:h="16838"/>
          <w:pgMar w:top="1440" w:right="1800" w:bottom="1440" w:left="1800" w:header="851" w:footer="992" w:gutter="0"/>
          <w:cols w:space="720" w:num="1"/>
          <w:docGrid w:type="lines" w:linePitch="312" w:charSpace="0"/>
        </w:sectPr>
      </w:pPr>
    </w:p>
    <w:p>
      <w:pPr>
        <w:rPr>
          <w:rFonts w:ascii="Times New Roman" w:hAnsi="Times New Roman" w:cs="Times New Roman"/>
          <w:sz w:val="30"/>
          <w:szCs w:val="30"/>
        </w:rPr>
      </w:pPr>
    </w:p>
    <w:sectPr>
      <w:footerReference r:id="rId11"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Light">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方正小标宋简体">
    <w:altName w:val="宋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1">
                      <a:spAutoFit/>
                    </wps:bodyPr>
                  </wps:wsp>
                </a:graphicData>
              </a:graphic>
            </wp:anchor>
          </w:drawing>
        </mc:Choice>
        <mc:Fallback>
          <w:pict>
            <v:shape id="文本框39"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BT3j2W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r>
      <w:rPr>
        <w:rFonts w:hint="eastAsia"/>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1">
                      <a:spAutoFit/>
                    </wps:bodyPr>
                  </wps:wsp>
                </a:graphicData>
              </a:graphic>
            </wp:anchor>
          </w:drawing>
        </mc:Choice>
        <mc:Fallback>
          <w:pict>
            <v:shape id="文本框4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vp8kBAACZ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18v&#10;c3v6ADVmPQTMS8OdH3BpZj+gM6seVLT5i3oIxrG552tz5ZCIyI/Wq/W6wpDA2HxBfPb4PERIb6W3&#10;JBsNjTi90lR+eg9pTJ1TcjXn77UxZYLG/eVAzOxhmfvIMVtp2A+ToL1vz6inx8E31OGeU2LeOexr&#10;3pHZiLOxn41jiPrQIbVl4QXh9piQROGWK4ywU2GcWFE3bVdeiT/vJevxj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wv6+n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p>
                      </w:txbxContent>
                    </wps:txbx>
                    <wps:bodyPr wrap="none" lIns="0" tIns="0" rIns="0" bIns="0" upright="1">
                      <a:spAutoFit/>
                    </wps:bodyPr>
                  </wps:wsp>
                </a:graphicData>
              </a:graphic>
            </wp:anchor>
          </w:drawing>
        </mc:Choice>
        <mc:Fallback>
          <w:pict>
            <v:shape id="文本框3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9pSJ4yQEAAJkDAAAOAAAAAAAAAAEAIAAAAB4BAABkcnMvZTJvRG9j&#10;LnhtbFBLBQYAAAAABgAGAFkBAABZBQAAAAA=&#10;">
              <v:fill on="f" focussize="0,0"/>
              <v:stroke on="f"/>
              <v:imagedata o:title=""/>
              <o:lock v:ext="edit" aspectratio="f"/>
              <v:textbox inset="0mm,0mm,0mm,0mm" style="mso-fit-shape-to-text:t;">
                <w:txbxContent>
                  <w:p>
                    <w:pPr>
                      <w:snapToGrid w:val="0"/>
                      <w:rPr>
                        <w:sz w:val="18"/>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1">
                      <a:spAutoFit/>
                    </wps:bodyPr>
                  </wps:wsp>
                </a:graphicData>
              </a:graphic>
            </wp:anchor>
          </w:drawing>
        </mc:Choice>
        <mc:Fallback>
          <w:pict>
            <v:shape id="文本框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sRA/8gBAACY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l3m&#10;7vQBakx6CJiWhjs/4M7MfkBnFj2oaPMX5RCMY2/P197KIRGRH61X63WFIYGx+YL47PF5iJDeSm9J&#10;NhoacXilp/z0HtKYOqfkas7fa2PKAI37y4GY2cMy95FjttKwHyZBe9+eUU+Pc2+owzWnxLxz2Na8&#10;IrMRZ2M/G8cQ9aFDasvCC8LtMSGJwi1XGGGnwjiwom5arrwRf95L1uMPtf0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IbEQP/IAQAAmAMAAA4AAAAAAAAAAQAgAAAAHgEAAGRycy9lMm9Eb2Mu&#10;eG1sUEsFBgAAAAAGAAYAWQEAAFg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JhNWVmODg2Y2ZjZDQ4MzIwODJlOGE0MGM4ZDkzZjUifQ=="/>
  </w:docVars>
  <w:rsids>
    <w:rsidRoot w:val="00163946"/>
    <w:rsid w:val="000251A6"/>
    <w:rsid w:val="00036551"/>
    <w:rsid w:val="000C3D2F"/>
    <w:rsid w:val="00163946"/>
    <w:rsid w:val="00232C44"/>
    <w:rsid w:val="00242966"/>
    <w:rsid w:val="005E448A"/>
    <w:rsid w:val="00774D79"/>
    <w:rsid w:val="008F73CD"/>
    <w:rsid w:val="009E6F42"/>
    <w:rsid w:val="00B06FF2"/>
    <w:rsid w:val="00C158BA"/>
    <w:rsid w:val="00C37A14"/>
    <w:rsid w:val="00D33354"/>
    <w:rsid w:val="00DA423B"/>
    <w:rsid w:val="00EB248A"/>
    <w:rsid w:val="00FA1228"/>
    <w:rsid w:val="01D932CB"/>
    <w:rsid w:val="04D94B9F"/>
    <w:rsid w:val="04E5017D"/>
    <w:rsid w:val="087F780C"/>
    <w:rsid w:val="0D4376D0"/>
    <w:rsid w:val="0FA71D21"/>
    <w:rsid w:val="12502B0D"/>
    <w:rsid w:val="1EDF7A0F"/>
    <w:rsid w:val="209E5C9D"/>
    <w:rsid w:val="20B52AD1"/>
    <w:rsid w:val="22EB790D"/>
    <w:rsid w:val="23805678"/>
    <w:rsid w:val="276A32FA"/>
    <w:rsid w:val="28F81F86"/>
    <w:rsid w:val="29003BF9"/>
    <w:rsid w:val="2C9405CA"/>
    <w:rsid w:val="2DBD6F7B"/>
    <w:rsid w:val="30D847C8"/>
    <w:rsid w:val="3AD24A17"/>
    <w:rsid w:val="3BC64444"/>
    <w:rsid w:val="3D1E7956"/>
    <w:rsid w:val="3FEC357B"/>
    <w:rsid w:val="47B13CCE"/>
    <w:rsid w:val="4C13082A"/>
    <w:rsid w:val="4F380170"/>
    <w:rsid w:val="50290600"/>
    <w:rsid w:val="54751375"/>
    <w:rsid w:val="57D473A0"/>
    <w:rsid w:val="5B8D1701"/>
    <w:rsid w:val="5C9508E8"/>
    <w:rsid w:val="608C5797"/>
    <w:rsid w:val="633914DA"/>
    <w:rsid w:val="64005A77"/>
    <w:rsid w:val="64316A0A"/>
    <w:rsid w:val="69647895"/>
    <w:rsid w:val="69EE0A76"/>
    <w:rsid w:val="72605510"/>
    <w:rsid w:val="73F24D69"/>
    <w:rsid w:val="7933257B"/>
    <w:rsid w:val="79DE1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99"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黑体"/>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unhideWhenUsed/>
    <w:uiPriority w:val="39"/>
  </w:style>
  <w:style w:type="paragraph" w:styleId="6">
    <w:name w:val="toc 2"/>
    <w:basedOn w:val="1"/>
    <w:next w:val="1"/>
    <w:unhideWhenUsed/>
    <w:qFormat/>
    <w:uiPriority w:val="39"/>
    <w:pPr>
      <w:ind w:left="420" w:leftChars="200"/>
    </w:pPr>
  </w:style>
  <w:style w:type="character" w:styleId="9">
    <w:name w:val="Strong"/>
    <w:qFormat/>
    <w:uiPriority w:val="99"/>
    <w:rPr>
      <w:b/>
    </w:rPr>
  </w:style>
  <w:style w:type="character" w:styleId="10">
    <w:name w:val="Hyperlink"/>
    <w:unhideWhenUsed/>
    <w:qFormat/>
    <w:uiPriority w:val="99"/>
    <w:rPr>
      <w:color w:val="0563C1"/>
      <w:u w:val="single"/>
    </w:rPr>
  </w:style>
  <w:style w:type="character" w:customStyle="1" w:styleId="11">
    <w:name w:val="页脚 字符"/>
    <w:link w:val="3"/>
    <w:uiPriority w:val="99"/>
    <w:rPr>
      <w:rFonts w:ascii="等线" w:hAnsi="等线" w:eastAsia="等线" w:cs="黑体"/>
      <w:sz w:val="18"/>
      <w:szCs w:val="18"/>
    </w:rPr>
  </w:style>
  <w:style w:type="character" w:customStyle="1" w:styleId="12">
    <w:name w:val="页眉 字符"/>
    <w:link w:val="4"/>
    <w:uiPriority w:val="99"/>
    <w:rPr>
      <w:rFonts w:ascii="等线" w:hAnsi="等线" w:eastAsia="等线" w:cs="黑体"/>
      <w:sz w:val="18"/>
      <w:szCs w:val="18"/>
    </w:rPr>
  </w:style>
  <w:style w:type="character" w:customStyle="1" w:styleId="13">
    <w:name w:val="标题 1 Char"/>
    <w:qFormat/>
    <w:uiPriority w:val="0"/>
    <w:rPr>
      <w:b/>
      <w:kern w:val="44"/>
      <w:sz w:val="44"/>
    </w:rPr>
  </w:style>
  <w:style w:type="paragraph" w:customStyle="1" w:styleId="14">
    <w:name w:val="Default"/>
    <w:qFormat/>
    <w:uiPriority w:val="99"/>
    <w:pPr>
      <w:widowControl w:val="0"/>
      <w:autoSpaceDE w:val="0"/>
      <w:autoSpaceDN w:val="0"/>
      <w:adjustRightInd w:val="0"/>
    </w:pPr>
    <w:rPr>
      <w:rFonts w:ascii="仿宋" w:hAnsi="Times New Roman" w:eastAsia="仿宋" w:cs="仿宋"/>
      <w:color w:val="000000"/>
      <w:sz w:val="24"/>
      <w:szCs w:val="24"/>
      <w:lang w:val="en-US" w:eastAsia="zh-CN" w:bidi="ar-SA"/>
    </w:rPr>
  </w:style>
  <w:style w:type="character" w:customStyle="1" w:styleId="15">
    <w:name w:val="标题 1 字符"/>
    <w:link w:val="2"/>
    <w:qFormat/>
    <w:uiPriority w:val="9"/>
    <w:rPr>
      <w:rFonts w:ascii="等线" w:hAnsi="等线" w:eastAsia="等线" w:cs="黑体"/>
      <w:b/>
      <w:bCs/>
      <w:kern w:val="44"/>
      <w:sz w:val="44"/>
      <w:szCs w:val="44"/>
    </w:rPr>
  </w:style>
  <w:style w:type="paragraph" w:customStyle="1" w:styleId="16">
    <w:name w:val="TOC Heading"/>
    <w:basedOn w:val="2"/>
    <w:next w:val="1"/>
    <w:unhideWhenUsed/>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34DE3-F1D4-4A98-BFB0-E30872A7DC50}">
  <ds:schemaRefs/>
</ds:datastoreItem>
</file>

<file path=docProps/app.xml><?xml version="1.0" encoding="utf-8"?>
<Properties xmlns="http://schemas.openxmlformats.org/officeDocument/2006/extended-properties" xmlns:vt="http://schemas.openxmlformats.org/officeDocument/2006/docPropsVTypes">
  <Template>Normal</Template>
  <Pages>11</Pages>
  <Words>3438</Words>
  <Characters>3626</Characters>
  <Lines>39</Lines>
  <Paragraphs>11</Paragraphs>
  <TotalTime>6</TotalTime>
  <ScaleCrop>false</ScaleCrop>
  <LinksUpToDate>false</LinksUpToDate>
  <CharactersWithSpaces>3705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2021-10-11T04:17:00Z</dcterms:created>
  <dc:creator>Administrator</dc:creator>
  <cp:lastModifiedBy>Administrator</cp:lastModifiedBy>
  <dcterms:modified xsi:type="dcterms:W3CDTF">2024-05-22T06:55:48Z</dcterms:modified>
  <dc:title>      2021年度</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34DC1ABE4BE2412D87209EA1C1AB3F0C_13</vt:lpwstr>
  </property>
</Properties>
</file>