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黑体" w:hAnsi="黑体" w:eastAsia="黑体"/>
          <w:color w:val="000000"/>
          <w:sz w:val="44"/>
          <w:szCs w:val="44"/>
        </w:rPr>
      </w:pPr>
      <w:bookmarkStart w:id="0" w:name="_Toc15378441"/>
      <w:bookmarkStart w:id="1" w:name="_Toc15377425"/>
      <w:bookmarkStart w:id="2" w:name="_Toc15377193"/>
      <w:bookmarkStart w:id="3" w:name="_Toc15396475"/>
      <w:bookmarkStart w:id="4" w:name="_Toc15396597"/>
    </w:p>
    <w:p>
      <w:pPr>
        <w:adjustRightInd w:val="0"/>
        <w:snapToGrid w:val="0"/>
        <w:spacing w:line="360" w:lineRule="auto"/>
        <w:jc w:val="center"/>
        <w:rPr>
          <w:rFonts w:hint="eastAsia" w:ascii="黑体" w:hAnsi="黑体" w:eastAsia="黑体"/>
          <w:color w:val="000000"/>
          <w:sz w:val="44"/>
          <w:szCs w:val="44"/>
        </w:rPr>
      </w:pPr>
    </w:p>
    <w:p>
      <w:pPr>
        <w:adjustRightInd w:val="0"/>
        <w:snapToGrid w:val="0"/>
        <w:spacing w:line="360" w:lineRule="auto"/>
        <w:jc w:val="center"/>
        <w:rPr>
          <w:rFonts w:hint="eastAsia" w:ascii="黑体" w:hAnsi="黑体" w:eastAsia="黑体"/>
          <w:color w:val="000000"/>
          <w:sz w:val="44"/>
          <w:szCs w:val="44"/>
        </w:rPr>
      </w:pPr>
    </w:p>
    <w:p>
      <w:pPr>
        <w:adjustRightInd w:val="0"/>
        <w:snapToGrid w:val="0"/>
        <w:spacing w:line="360" w:lineRule="auto"/>
        <w:jc w:val="center"/>
        <w:rPr>
          <w:rFonts w:ascii="方正小标宋简体" w:hAnsi="宋体" w:eastAsia="方正小标宋简体"/>
          <w:color w:val="000000"/>
          <w:sz w:val="44"/>
          <w:szCs w:val="44"/>
        </w:rPr>
      </w:pPr>
      <w:r>
        <w:rPr>
          <w:rFonts w:hint="eastAsia" w:ascii="黑体" w:hAnsi="黑体" w:eastAsia="黑体"/>
          <w:color w:val="000000"/>
          <w:sz w:val="44"/>
          <w:szCs w:val="44"/>
        </w:rPr>
        <w:t>202</w:t>
      </w:r>
      <w:r>
        <w:rPr>
          <w:rFonts w:hint="eastAsia" w:ascii="黑体" w:hAnsi="黑体" w:eastAsia="黑体"/>
          <w:color w:val="000000"/>
          <w:sz w:val="44"/>
          <w:szCs w:val="44"/>
          <w:lang w:val="en-US" w:eastAsia="zh-CN"/>
        </w:rPr>
        <w:t>4</w:t>
      </w:r>
      <w:r>
        <w:rPr>
          <w:rFonts w:hint="eastAsia" w:ascii="方正小标宋简体" w:hAnsi="宋体" w:eastAsia="方正小标宋简体"/>
          <w:color w:val="000000"/>
          <w:sz w:val="44"/>
          <w:szCs w:val="44"/>
        </w:rPr>
        <w:t>年度</w:t>
      </w:r>
      <w:bookmarkEnd w:id="0"/>
      <w:bookmarkEnd w:id="1"/>
      <w:bookmarkEnd w:id="2"/>
      <w:bookmarkEnd w:id="3"/>
      <w:bookmarkEnd w:id="4"/>
    </w:p>
    <w:p>
      <w:pPr>
        <w:adjustRightInd w:val="0"/>
        <w:snapToGrid w:val="0"/>
        <w:spacing w:line="360" w:lineRule="auto"/>
        <w:jc w:val="center"/>
        <w:rPr>
          <w:rFonts w:ascii="方正小标宋简体" w:hAnsi="宋体" w:eastAsia="方正小标宋简体"/>
          <w:color w:val="000000"/>
          <w:sz w:val="44"/>
          <w:szCs w:val="44"/>
        </w:rPr>
      </w:pPr>
      <w:bookmarkStart w:id="5" w:name="_Toc15378442"/>
      <w:bookmarkStart w:id="6" w:name="_Toc15396476"/>
      <w:bookmarkStart w:id="7" w:name="_Toc15377194"/>
      <w:bookmarkStart w:id="8" w:name="_Toc15377426"/>
      <w:bookmarkStart w:id="9" w:name="_Toc15396598"/>
      <w:r>
        <w:rPr>
          <w:rFonts w:hint="eastAsia" w:ascii="方正小标宋简体" w:hAnsi="宋体" w:eastAsia="方正小标宋简体"/>
          <w:color w:val="000000"/>
          <w:sz w:val="44"/>
          <w:szCs w:val="44"/>
        </w:rPr>
        <w:t>四川省</w:t>
      </w:r>
      <w:bookmarkStart w:id="10" w:name="_Toc15306268"/>
      <w:r>
        <w:rPr>
          <w:rFonts w:hint="eastAsia" w:ascii="方正小标宋简体" w:hAnsi="宋体" w:eastAsia="方正小标宋简体"/>
          <w:color w:val="000000"/>
          <w:sz w:val="44"/>
          <w:szCs w:val="44"/>
        </w:rPr>
        <w:t>巴中市巴州区</w:t>
      </w:r>
    </w:p>
    <w:p>
      <w:pPr>
        <w:adjustRightInd w:val="0"/>
        <w:snapToGrid w:val="0"/>
        <w:spacing w:line="360" w:lineRule="auto"/>
        <w:jc w:val="center"/>
        <w:rPr>
          <w:rFonts w:ascii="方正小标宋简体" w:hAnsi="宋体" w:eastAsia="方正小标宋简体"/>
          <w:color w:val="000000"/>
          <w:sz w:val="44"/>
          <w:szCs w:val="44"/>
        </w:rPr>
      </w:pPr>
      <w:r>
        <w:rPr>
          <w:rFonts w:hint="eastAsia" w:ascii="方正小标宋简体" w:hAnsi="宋体" w:eastAsia="方正小标宋简体"/>
          <w:color w:val="000000"/>
          <w:sz w:val="44"/>
          <w:szCs w:val="44"/>
          <w:lang w:val="en-US" w:eastAsia="zh-CN"/>
        </w:rPr>
        <w:t>大和乡</w:t>
      </w:r>
      <w:r>
        <w:rPr>
          <w:rFonts w:hint="eastAsia" w:ascii="方正小标宋简体" w:hAnsi="宋体" w:eastAsia="方正小标宋简体"/>
          <w:color w:val="000000"/>
          <w:sz w:val="44"/>
          <w:szCs w:val="44"/>
        </w:rPr>
        <w:t>便民服务中心部门</w:t>
      </w:r>
      <w:bookmarkEnd w:id="5"/>
      <w:bookmarkEnd w:id="6"/>
      <w:bookmarkEnd w:id="7"/>
      <w:bookmarkEnd w:id="8"/>
      <w:bookmarkEnd w:id="9"/>
      <w:bookmarkEnd w:id="10"/>
      <w:r>
        <w:rPr>
          <w:rFonts w:hint="eastAsia" w:ascii="方正小标宋简体" w:hAnsi="宋体" w:eastAsia="方正小标宋简体"/>
          <w:color w:val="000000"/>
          <w:sz w:val="44"/>
          <w:szCs w:val="44"/>
        </w:rPr>
        <w:t>预算编制说明</w:t>
      </w: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adjustRightInd w:val="0"/>
        <w:snapToGrid w:val="0"/>
        <w:spacing w:line="360" w:lineRule="auto"/>
        <w:jc w:val="center"/>
        <w:rPr>
          <w:rFonts w:ascii="方正小标宋简体" w:hAnsi="宋体" w:eastAsia="方正小标宋简体"/>
          <w:color w:val="000000"/>
          <w:sz w:val="52"/>
          <w:szCs w:val="52"/>
        </w:rPr>
      </w:pPr>
    </w:p>
    <w:p>
      <w:pPr>
        <w:widowControl/>
        <w:rPr>
          <w:rFonts w:ascii="黑体" w:hAnsi="黑体" w:eastAsia="黑体"/>
          <w:color w:val="000000"/>
          <w:sz w:val="48"/>
          <w:szCs w:val="48"/>
        </w:rPr>
      </w:pPr>
    </w:p>
    <w:p>
      <w:pPr>
        <w:pStyle w:val="2"/>
      </w:pPr>
    </w:p>
    <w:p>
      <w:pPr>
        <w:pStyle w:val="2"/>
      </w:pPr>
    </w:p>
    <w:p>
      <w:pPr>
        <w:pStyle w:val="2"/>
      </w:pPr>
    </w:p>
    <w:p>
      <w:pPr>
        <w:pStyle w:val="2"/>
      </w:pPr>
    </w:p>
    <w:p>
      <w:pPr>
        <w:pStyle w:val="2"/>
      </w:pPr>
    </w:p>
    <w:p>
      <w:pPr>
        <w:pStyle w:val="2"/>
        <w:rPr>
          <w:rFonts w:hint="eastAsia"/>
        </w:rPr>
        <w:sectPr>
          <w:headerReference r:id="rId3" w:type="default"/>
          <w:footerReference r:id="rId4" w:type="default"/>
          <w:pgSz w:w="11906" w:h="16838"/>
          <w:pgMar w:top="1440" w:right="1800" w:bottom="1440" w:left="1800" w:header="851" w:footer="992" w:gutter="0"/>
          <w:pgNumType w:start="4"/>
          <w:cols w:space="720" w:num="1"/>
          <w:titlePg/>
          <w:docGrid w:type="lines" w:linePitch="312" w:charSpace="0"/>
        </w:sectPr>
      </w:pPr>
    </w:p>
    <w:p>
      <w:pPr>
        <w:pStyle w:val="16"/>
        <w:jc w:val="center"/>
        <w:rPr>
          <w:rFonts w:ascii="宋体" w:hAnsi="宋体" w:eastAsia="宋体"/>
          <w:b/>
          <w:bCs/>
          <w:color w:val="000000"/>
          <w:sz w:val="36"/>
          <w:szCs w:val="36"/>
        </w:rPr>
      </w:pPr>
      <w:r>
        <w:rPr>
          <w:rFonts w:ascii="宋体" w:hAnsi="宋体" w:eastAsia="宋体"/>
          <w:b/>
          <w:bCs/>
          <w:color w:val="000000"/>
          <w:sz w:val="36"/>
          <w:szCs w:val="36"/>
          <w:lang w:val="zh-CN"/>
        </w:rPr>
        <w:t>目</w:t>
      </w:r>
      <w:r>
        <w:rPr>
          <w:rFonts w:hint="eastAsia" w:ascii="宋体" w:hAnsi="宋体" w:eastAsia="宋体"/>
          <w:b/>
          <w:bCs/>
          <w:color w:val="000000"/>
          <w:sz w:val="36"/>
          <w:szCs w:val="36"/>
          <w:lang w:val="zh-CN"/>
        </w:rPr>
        <w:t xml:space="preserve"> </w:t>
      </w:r>
      <w:r>
        <w:rPr>
          <w:rFonts w:ascii="宋体" w:hAnsi="宋体" w:eastAsia="宋体"/>
          <w:b/>
          <w:bCs/>
          <w:color w:val="000000"/>
          <w:sz w:val="36"/>
          <w:szCs w:val="36"/>
          <w:lang w:val="zh-CN"/>
        </w:rPr>
        <w:t>录</w:t>
      </w:r>
    </w:p>
    <w:p>
      <w:pPr>
        <w:pStyle w:val="5"/>
        <w:rPr>
          <w:rFonts w:ascii="Calibri" w:hAnsi="Calibri" w:eastAsia="宋体"/>
          <w:sz w:val="21"/>
          <w:szCs w:val="22"/>
        </w:rPr>
      </w:pPr>
      <w:r>
        <w:fldChar w:fldCharType="begin"/>
      </w:r>
      <w:r>
        <w:instrText xml:space="preserve"> TOC \o "1-3" \h \z \u </w:instrText>
      </w:r>
      <w:r>
        <w:fldChar w:fldCharType="separate"/>
      </w:r>
      <w:r>
        <w:fldChar w:fldCharType="begin"/>
      </w:r>
      <w:r>
        <w:instrText xml:space="preserve"> HYPERLINK \l "_Toc112441228" </w:instrText>
      </w:r>
      <w:r>
        <w:fldChar w:fldCharType="separate"/>
      </w:r>
      <w:r>
        <w:rPr>
          <w:rStyle w:val="10"/>
          <w:rFonts w:ascii="黑体" w:hAnsi="黑体" w:eastAsia="黑体" w:cs="宋体"/>
          <w:b/>
          <w:bCs/>
          <w:kern w:val="0"/>
        </w:rPr>
        <w:t>一、基本职能及主要工作</w:t>
      </w:r>
      <w:r>
        <w:tab/>
      </w:r>
      <w:r>
        <w:fldChar w:fldCharType="begin"/>
      </w:r>
      <w:r>
        <w:instrText xml:space="preserve"> PAGEREF _Toc112441228 \h </w:instrText>
      </w:r>
      <w:r>
        <w:fldChar w:fldCharType="separate"/>
      </w:r>
      <w:r>
        <w:t>1</w:t>
      </w:r>
      <w:r>
        <w:fldChar w:fldCharType="end"/>
      </w:r>
      <w:r>
        <w:fldChar w:fldCharType="end"/>
      </w:r>
    </w:p>
    <w:p>
      <w:pPr>
        <w:pStyle w:val="6"/>
        <w:rPr>
          <w:rFonts w:ascii="宋体" w:hAnsi="宋体"/>
          <w:sz w:val="24"/>
        </w:rPr>
      </w:pPr>
      <w:r>
        <w:fldChar w:fldCharType="begin"/>
      </w:r>
      <w:r>
        <w:instrText xml:space="preserve"> HYPERLINK \l "_Toc112441229" </w:instrText>
      </w:r>
      <w:r>
        <w:fldChar w:fldCharType="separate"/>
      </w:r>
      <w:r>
        <w:rPr>
          <w:rStyle w:val="10"/>
          <w:rFonts w:ascii="宋体" w:hAnsi="宋体" w:cs="宋体"/>
          <w:kern w:val="0"/>
          <w:sz w:val="24"/>
        </w:rPr>
        <w:t>（一）基本职能简介</w:t>
      </w:r>
      <w:r>
        <w:rPr>
          <w:rFonts w:ascii="宋体" w:hAnsi="宋体"/>
          <w:sz w:val="24"/>
        </w:rPr>
        <w:tab/>
      </w:r>
      <w:r>
        <w:rPr>
          <w:rFonts w:ascii="宋体" w:hAnsi="宋体"/>
          <w:sz w:val="24"/>
        </w:rPr>
        <w:fldChar w:fldCharType="begin"/>
      </w:r>
      <w:r>
        <w:rPr>
          <w:rFonts w:ascii="宋体" w:hAnsi="宋体"/>
          <w:sz w:val="24"/>
        </w:rPr>
        <w:instrText xml:space="preserve"> PAGEREF _Toc112441229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6"/>
        <w:rPr>
          <w:rFonts w:ascii="宋体" w:hAnsi="宋体"/>
          <w:sz w:val="24"/>
        </w:rPr>
      </w:pPr>
      <w:r>
        <w:fldChar w:fldCharType="begin"/>
      </w:r>
      <w:r>
        <w:instrText xml:space="preserve"> HYPERLINK \l "_Toc112441230" </w:instrText>
      </w:r>
      <w:r>
        <w:fldChar w:fldCharType="separate"/>
      </w:r>
      <w:r>
        <w:rPr>
          <w:rStyle w:val="10"/>
          <w:rFonts w:ascii="宋体" w:hAnsi="宋体" w:cs="宋体"/>
          <w:kern w:val="0"/>
          <w:sz w:val="24"/>
        </w:rPr>
        <w:t>（二）</w:t>
      </w:r>
      <w:r>
        <w:rPr>
          <w:rStyle w:val="10"/>
          <w:rFonts w:hint="eastAsia" w:ascii="宋体" w:hAnsi="宋体" w:cs="宋体"/>
          <w:kern w:val="0"/>
          <w:sz w:val="24"/>
          <w:lang w:val="en-US" w:eastAsia="zh-CN"/>
        </w:rPr>
        <w:t>2024</w:t>
      </w:r>
      <w:r>
        <w:rPr>
          <w:rStyle w:val="10"/>
          <w:rFonts w:ascii="宋体" w:hAnsi="宋体" w:cs="宋体"/>
          <w:kern w:val="0"/>
          <w:sz w:val="24"/>
        </w:rPr>
        <w:t>年重点工作</w:t>
      </w:r>
      <w:r>
        <w:rPr>
          <w:rFonts w:ascii="宋体" w:hAnsi="宋体"/>
          <w:sz w:val="24"/>
        </w:rPr>
        <w:tab/>
      </w:r>
      <w:r>
        <w:rPr>
          <w:rFonts w:ascii="宋体" w:hAnsi="宋体"/>
          <w:sz w:val="24"/>
        </w:rPr>
        <w:fldChar w:fldCharType="begin"/>
      </w:r>
      <w:r>
        <w:rPr>
          <w:rFonts w:ascii="宋体" w:hAnsi="宋体"/>
          <w:sz w:val="24"/>
        </w:rPr>
        <w:instrText xml:space="preserve"> PAGEREF _Toc112441230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5"/>
        <w:rPr>
          <w:rFonts w:ascii="Calibri" w:hAnsi="Calibri" w:eastAsia="宋体"/>
          <w:sz w:val="21"/>
          <w:szCs w:val="22"/>
        </w:rPr>
      </w:pPr>
      <w:r>
        <w:fldChar w:fldCharType="begin"/>
      </w:r>
      <w:r>
        <w:instrText xml:space="preserve"> HYPERLINK \l "_Toc112441231" </w:instrText>
      </w:r>
      <w:r>
        <w:fldChar w:fldCharType="separate"/>
      </w:r>
      <w:r>
        <w:rPr>
          <w:rStyle w:val="10"/>
          <w:rFonts w:ascii="黑体" w:hAnsi="黑体" w:eastAsia="黑体" w:cs="宋体"/>
          <w:b/>
          <w:bCs/>
          <w:kern w:val="0"/>
        </w:rPr>
        <w:t>二、部门预算单位构成</w:t>
      </w:r>
      <w:r>
        <w:tab/>
      </w:r>
      <w:r>
        <w:fldChar w:fldCharType="begin"/>
      </w:r>
      <w:r>
        <w:instrText xml:space="preserve"> PAGEREF _Toc112441231 \h </w:instrText>
      </w:r>
      <w:r>
        <w:fldChar w:fldCharType="separate"/>
      </w:r>
      <w:r>
        <w:t>1</w:t>
      </w:r>
      <w:r>
        <w:fldChar w:fldCharType="end"/>
      </w:r>
      <w:r>
        <w:fldChar w:fldCharType="end"/>
      </w:r>
    </w:p>
    <w:p>
      <w:pPr>
        <w:pStyle w:val="5"/>
        <w:rPr>
          <w:rFonts w:ascii="Calibri" w:hAnsi="Calibri" w:eastAsia="宋体"/>
          <w:sz w:val="21"/>
          <w:szCs w:val="22"/>
        </w:rPr>
      </w:pPr>
      <w:r>
        <w:fldChar w:fldCharType="begin"/>
      </w:r>
      <w:r>
        <w:instrText xml:space="preserve"> HYPERLINK \l "_Toc112441232" </w:instrText>
      </w:r>
      <w:r>
        <w:fldChar w:fldCharType="separate"/>
      </w:r>
      <w:r>
        <w:rPr>
          <w:rStyle w:val="10"/>
          <w:rFonts w:ascii="黑体" w:hAnsi="黑体" w:eastAsia="黑体" w:cs="宋体"/>
          <w:b/>
          <w:bCs/>
          <w:kern w:val="0"/>
        </w:rPr>
        <w:t>三、收支预算情况说明</w:t>
      </w:r>
      <w:r>
        <w:tab/>
      </w:r>
      <w:r>
        <w:fldChar w:fldCharType="begin"/>
      </w:r>
      <w:r>
        <w:instrText xml:space="preserve"> PAGEREF _Toc112441232 \h </w:instrText>
      </w:r>
      <w:r>
        <w:fldChar w:fldCharType="separate"/>
      </w:r>
      <w:r>
        <w:t>1</w:t>
      </w:r>
      <w:r>
        <w:fldChar w:fldCharType="end"/>
      </w:r>
      <w:r>
        <w:fldChar w:fldCharType="end"/>
      </w:r>
    </w:p>
    <w:p>
      <w:pPr>
        <w:pStyle w:val="5"/>
        <w:rPr>
          <w:rFonts w:ascii="Calibri" w:hAnsi="Calibri" w:eastAsia="宋体"/>
          <w:sz w:val="21"/>
          <w:szCs w:val="22"/>
        </w:rPr>
      </w:pPr>
      <w:r>
        <w:fldChar w:fldCharType="begin"/>
      </w:r>
      <w:r>
        <w:instrText xml:space="preserve"> HYPERLINK \l "_Toc112441233" </w:instrText>
      </w:r>
      <w:r>
        <w:fldChar w:fldCharType="separate"/>
      </w:r>
      <w:r>
        <w:rPr>
          <w:rStyle w:val="10"/>
          <w:rFonts w:ascii="黑体" w:hAnsi="黑体" w:eastAsia="黑体" w:cs="宋体"/>
          <w:b/>
          <w:bCs/>
          <w:kern w:val="0"/>
        </w:rPr>
        <w:t>四、财政拨款收支预算情况说明</w:t>
      </w:r>
      <w:r>
        <w:tab/>
      </w:r>
      <w:r>
        <w:fldChar w:fldCharType="begin"/>
      </w:r>
      <w:r>
        <w:instrText xml:space="preserve"> PAGEREF _Toc112441233 \h </w:instrText>
      </w:r>
      <w:r>
        <w:fldChar w:fldCharType="separate"/>
      </w:r>
      <w:r>
        <w:t>2</w:t>
      </w:r>
      <w:r>
        <w:fldChar w:fldCharType="end"/>
      </w:r>
      <w:r>
        <w:fldChar w:fldCharType="end"/>
      </w:r>
    </w:p>
    <w:p>
      <w:pPr>
        <w:pStyle w:val="5"/>
        <w:rPr>
          <w:rFonts w:ascii="Calibri" w:hAnsi="Calibri" w:eastAsia="宋体"/>
          <w:sz w:val="21"/>
          <w:szCs w:val="22"/>
        </w:rPr>
      </w:pPr>
      <w:r>
        <w:fldChar w:fldCharType="begin"/>
      </w:r>
      <w:r>
        <w:instrText xml:space="preserve"> HYPERLINK \l "_Toc112441234" </w:instrText>
      </w:r>
      <w:r>
        <w:fldChar w:fldCharType="separate"/>
      </w:r>
      <w:r>
        <w:rPr>
          <w:rStyle w:val="10"/>
          <w:rFonts w:ascii="黑体" w:hAnsi="黑体" w:eastAsia="黑体" w:cs="宋体"/>
          <w:b/>
          <w:bCs/>
          <w:kern w:val="0"/>
        </w:rPr>
        <w:t>五、一般公共预算当年拨款情况说明</w:t>
      </w:r>
      <w:r>
        <w:tab/>
      </w:r>
      <w:r>
        <w:fldChar w:fldCharType="begin"/>
      </w:r>
      <w:r>
        <w:instrText xml:space="preserve"> PAGEREF _Toc112441234 \h </w:instrText>
      </w:r>
      <w:r>
        <w:fldChar w:fldCharType="separate"/>
      </w:r>
      <w:r>
        <w:t>2</w:t>
      </w:r>
      <w:r>
        <w:fldChar w:fldCharType="end"/>
      </w:r>
      <w:r>
        <w:fldChar w:fldCharType="end"/>
      </w:r>
    </w:p>
    <w:p>
      <w:pPr>
        <w:pStyle w:val="6"/>
        <w:rPr>
          <w:rFonts w:ascii="宋体" w:hAnsi="宋体"/>
          <w:sz w:val="24"/>
        </w:rPr>
      </w:pPr>
      <w:r>
        <w:fldChar w:fldCharType="begin"/>
      </w:r>
      <w:r>
        <w:instrText xml:space="preserve"> HYPERLINK \l "_Toc112441235" </w:instrText>
      </w:r>
      <w:r>
        <w:fldChar w:fldCharType="separate"/>
      </w:r>
      <w:r>
        <w:rPr>
          <w:rStyle w:val="10"/>
          <w:rFonts w:ascii="宋体" w:hAnsi="宋体" w:cs="宋体"/>
          <w:kern w:val="0"/>
          <w:sz w:val="24"/>
        </w:rPr>
        <w:t>（一）一般公共预算当年拨款规模变化情况</w:t>
      </w:r>
      <w:r>
        <w:rPr>
          <w:rFonts w:ascii="宋体" w:hAnsi="宋体"/>
          <w:sz w:val="24"/>
        </w:rPr>
        <w:tab/>
      </w:r>
      <w:r>
        <w:rPr>
          <w:rFonts w:ascii="宋体" w:hAnsi="宋体"/>
          <w:sz w:val="24"/>
        </w:rPr>
        <w:fldChar w:fldCharType="begin"/>
      </w:r>
      <w:r>
        <w:rPr>
          <w:rFonts w:ascii="宋体" w:hAnsi="宋体"/>
          <w:sz w:val="24"/>
        </w:rPr>
        <w:instrText xml:space="preserve"> PAGEREF _Toc112441235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6"/>
        <w:rPr>
          <w:rFonts w:ascii="宋体" w:hAnsi="宋体"/>
          <w:sz w:val="24"/>
        </w:rPr>
      </w:pPr>
      <w:r>
        <w:fldChar w:fldCharType="begin"/>
      </w:r>
      <w:r>
        <w:instrText xml:space="preserve"> HYPERLINK \l "_Toc112441236" </w:instrText>
      </w:r>
      <w:r>
        <w:fldChar w:fldCharType="separate"/>
      </w:r>
      <w:r>
        <w:rPr>
          <w:rStyle w:val="10"/>
          <w:rFonts w:ascii="宋体" w:hAnsi="宋体" w:cs="宋体"/>
          <w:kern w:val="0"/>
          <w:sz w:val="24"/>
        </w:rPr>
        <w:t>（二）一般公共预算当年拨款结构情况</w:t>
      </w:r>
      <w:r>
        <w:rPr>
          <w:rFonts w:ascii="宋体" w:hAnsi="宋体"/>
          <w:sz w:val="24"/>
        </w:rPr>
        <w:tab/>
      </w:r>
      <w:r>
        <w:rPr>
          <w:rFonts w:ascii="宋体" w:hAnsi="宋体"/>
          <w:sz w:val="24"/>
        </w:rPr>
        <w:fldChar w:fldCharType="begin"/>
      </w:r>
      <w:r>
        <w:rPr>
          <w:rFonts w:ascii="宋体" w:hAnsi="宋体"/>
          <w:sz w:val="24"/>
        </w:rPr>
        <w:instrText xml:space="preserve"> PAGEREF _Toc112441236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6"/>
        <w:rPr>
          <w:rFonts w:ascii="宋体" w:hAnsi="宋体"/>
          <w:sz w:val="24"/>
        </w:rPr>
      </w:pPr>
      <w:r>
        <w:fldChar w:fldCharType="begin"/>
      </w:r>
      <w:r>
        <w:instrText xml:space="preserve"> HYPERLINK \l "_Toc112441237" </w:instrText>
      </w:r>
      <w:r>
        <w:fldChar w:fldCharType="separate"/>
      </w:r>
      <w:r>
        <w:rPr>
          <w:rStyle w:val="10"/>
          <w:rFonts w:ascii="宋体" w:hAnsi="宋体" w:cs="宋体"/>
          <w:kern w:val="0"/>
          <w:sz w:val="24"/>
        </w:rPr>
        <w:t>（三）一般公共预算当年拨款具体使用情况</w:t>
      </w:r>
      <w:r>
        <w:rPr>
          <w:rFonts w:ascii="宋体" w:hAnsi="宋体"/>
          <w:sz w:val="24"/>
        </w:rPr>
        <w:tab/>
      </w:r>
      <w:r>
        <w:rPr>
          <w:rFonts w:ascii="宋体" w:hAnsi="宋体"/>
          <w:sz w:val="24"/>
        </w:rPr>
        <w:fldChar w:fldCharType="begin"/>
      </w:r>
      <w:r>
        <w:rPr>
          <w:rFonts w:ascii="宋体" w:hAnsi="宋体"/>
          <w:sz w:val="24"/>
        </w:rPr>
        <w:instrText xml:space="preserve"> PAGEREF _Toc112441237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5"/>
        <w:rPr>
          <w:rFonts w:ascii="Calibri" w:hAnsi="Calibri" w:eastAsia="宋体"/>
          <w:sz w:val="21"/>
          <w:szCs w:val="22"/>
        </w:rPr>
      </w:pPr>
      <w:r>
        <w:fldChar w:fldCharType="begin"/>
      </w:r>
      <w:r>
        <w:instrText xml:space="preserve"> HYPERLINK \l "_Toc112441238" </w:instrText>
      </w:r>
      <w:r>
        <w:fldChar w:fldCharType="separate"/>
      </w:r>
      <w:r>
        <w:rPr>
          <w:rStyle w:val="10"/>
          <w:rFonts w:ascii="黑体" w:hAnsi="黑体" w:eastAsia="黑体" w:cs="宋体"/>
          <w:b/>
          <w:bCs/>
          <w:kern w:val="0"/>
        </w:rPr>
        <w:t>六、一般公共预算基本支出情况说明</w:t>
      </w:r>
      <w:r>
        <w:tab/>
      </w:r>
      <w:r>
        <w:fldChar w:fldCharType="begin"/>
      </w:r>
      <w:r>
        <w:instrText xml:space="preserve"> PAGEREF _Toc112441238 \h </w:instrText>
      </w:r>
      <w:r>
        <w:fldChar w:fldCharType="separate"/>
      </w:r>
      <w:r>
        <w:t>3</w:t>
      </w:r>
      <w:r>
        <w:fldChar w:fldCharType="end"/>
      </w:r>
      <w:r>
        <w:fldChar w:fldCharType="end"/>
      </w:r>
    </w:p>
    <w:p>
      <w:pPr>
        <w:pStyle w:val="5"/>
        <w:rPr>
          <w:rFonts w:ascii="Calibri" w:hAnsi="Calibri" w:eastAsia="宋体"/>
          <w:sz w:val="21"/>
          <w:szCs w:val="22"/>
        </w:rPr>
      </w:pPr>
      <w:r>
        <w:fldChar w:fldCharType="begin"/>
      </w:r>
      <w:r>
        <w:instrText xml:space="preserve"> HYPERLINK \l "_Toc112441239" </w:instrText>
      </w:r>
      <w:r>
        <w:fldChar w:fldCharType="separate"/>
      </w:r>
      <w:r>
        <w:rPr>
          <w:rStyle w:val="10"/>
          <w:rFonts w:ascii="黑体" w:hAnsi="黑体" w:eastAsia="黑体" w:cs="宋体"/>
          <w:b/>
          <w:bCs/>
          <w:kern w:val="0"/>
        </w:rPr>
        <w:t>七、“三公”经费财政拨款预算安排情况说明</w:t>
      </w:r>
      <w:r>
        <w:tab/>
      </w:r>
      <w:r>
        <w:fldChar w:fldCharType="begin"/>
      </w:r>
      <w:r>
        <w:instrText xml:space="preserve"> PAGEREF _Toc112441239 \h </w:instrText>
      </w:r>
      <w:r>
        <w:fldChar w:fldCharType="separate"/>
      </w:r>
      <w:r>
        <w:t>3</w:t>
      </w:r>
      <w:r>
        <w:fldChar w:fldCharType="end"/>
      </w:r>
      <w:r>
        <w:fldChar w:fldCharType="end"/>
      </w:r>
    </w:p>
    <w:p>
      <w:pPr>
        <w:pStyle w:val="5"/>
        <w:rPr>
          <w:rFonts w:ascii="Calibri" w:hAnsi="Calibri" w:eastAsia="宋体"/>
          <w:sz w:val="21"/>
          <w:szCs w:val="22"/>
        </w:rPr>
      </w:pPr>
      <w:r>
        <w:fldChar w:fldCharType="begin"/>
      </w:r>
      <w:r>
        <w:instrText xml:space="preserve"> HYPERLINK \l "_Toc112441240" </w:instrText>
      </w:r>
      <w:r>
        <w:fldChar w:fldCharType="separate"/>
      </w:r>
      <w:r>
        <w:rPr>
          <w:rStyle w:val="10"/>
          <w:rFonts w:ascii="黑体" w:hAnsi="黑体" w:eastAsia="黑体" w:cs="宋体"/>
          <w:b/>
          <w:bCs/>
          <w:kern w:val="0"/>
        </w:rPr>
        <w:t>八、政府性基金预算支出情况说明</w:t>
      </w:r>
      <w:r>
        <w:tab/>
      </w:r>
      <w:r>
        <w:fldChar w:fldCharType="begin"/>
      </w:r>
      <w:r>
        <w:instrText xml:space="preserve"> PAGEREF _Toc112441240 \h </w:instrText>
      </w:r>
      <w:r>
        <w:fldChar w:fldCharType="separate"/>
      </w:r>
      <w:r>
        <w:t>3</w:t>
      </w:r>
      <w:r>
        <w:fldChar w:fldCharType="end"/>
      </w:r>
      <w:r>
        <w:fldChar w:fldCharType="end"/>
      </w:r>
    </w:p>
    <w:p>
      <w:pPr>
        <w:pStyle w:val="5"/>
        <w:rPr>
          <w:rFonts w:ascii="Calibri" w:hAnsi="Calibri" w:eastAsia="宋体"/>
          <w:sz w:val="21"/>
          <w:szCs w:val="22"/>
        </w:rPr>
      </w:pPr>
      <w:r>
        <w:fldChar w:fldCharType="begin"/>
      </w:r>
      <w:r>
        <w:instrText xml:space="preserve"> HYPERLINK \l "_Toc112441241" </w:instrText>
      </w:r>
      <w:r>
        <w:fldChar w:fldCharType="separate"/>
      </w:r>
      <w:r>
        <w:rPr>
          <w:rStyle w:val="10"/>
          <w:rFonts w:ascii="黑体" w:hAnsi="黑体" w:eastAsia="黑体" w:cs="宋体"/>
          <w:b/>
          <w:bCs/>
          <w:kern w:val="0"/>
        </w:rPr>
        <w:t>九、其他重要事项的情况说明</w:t>
      </w:r>
      <w:r>
        <w:tab/>
      </w:r>
      <w:r>
        <w:fldChar w:fldCharType="begin"/>
      </w:r>
      <w:r>
        <w:instrText xml:space="preserve"> PAGEREF _Toc112441241 \h </w:instrText>
      </w:r>
      <w:r>
        <w:fldChar w:fldCharType="separate"/>
      </w:r>
      <w:r>
        <w:t>3</w:t>
      </w:r>
      <w:r>
        <w:fldChar w:fldCharType="end"/>
      </w:r>
      <w:r>
        <w:fldChar w:fldCharType="end"/>
      </w:r>
    </w:p>
    <w:p>
      <w:pPr>
        <w:pStyle w:val="6"/>
        <w:rPr>
          <w:rFonts w:ascii="宋体" w:hAnsi="宋体"/>
          <w:sz w:val="24"/>
        </w:rPr>
      </w:pPr>
      <w:r>
        <w:rPr>
          <w:rStyle w:val="10"/>
          <w:rFonts w:ascii="宋体" w:hAnsi="宋体"/>
          <w:sz w:val="24"/>
        </w:rPr>
        <w:fldChar w:fldCharType="begin"/>
      </w:r>
      <w:r>
        <w:rPr>
          <w:rStyle w:val="10"/>
          <w:rFonts w:ascii="宋体" w:hAnsi="宋体"/>
          <w:sz w:val="24"/>
        </w:rPr>
        <w:instrText xml:space="preserve"> </w:instrText>
      </w:r>
      <w:r>
        <w:rPr>
          <w:rFonts w:ascii="宋体" w:hAnsi="宋体"/>
          <w:sz w:val="24"/>
        </w:rPr>
        <w:instrText xml:space="preserve">HYPERLINK \l "_Toc112441242"</w:instrText>
      </w:r>
      <w:r>
        <w:rPr>
          <w:rStyle w:val="10"/>
          <w:rFonts w:ascii="宋体" w:hAnsi="宋体"/>
          <w:sz w:val="24"/>
        </w:rPr>
        <w:instrText xml:space="preserve"> </w:instrText>
      </w:r>
      <w:r>
        <w:rPr>
          <w:rStyle w:val="10"/>
          <w:rFonts w:ascii="宋体" w:hAnsi="宋体"/>
          <w:sz w:val="24"/>
        </w:rPr>
        <w:fldChar w:fldCharType="separate"/>
      </w:r>
      <w:r>
        <w:rPr>
          <w:rStyle w:val="10"/>
          <w:rFonts w:ascii="宋体" w:hAnsi="宋体"/>
          <w:sz w:val="24"/>
        </w:rPr>
        <w:t>（一）政府采购情况</w:t>
      </w:r>
      <w:r>
        <w:rPr>
          <w:rStyle w:val="10"/>
          <w:rFonts w:ascii="宋体" w:hAnsi="宋体"/>
          <w:b/>
          <w:bCs/>
          <w:sz w:val="24"/>
        </w:rPr>
        <w:t>。</w:t>
      </w:r>
      <w:r>
        <w:rPr>
          <w:rFonts w:ascii="宋体" w:hAnsi="宋体"/>
          <w:sz w:val="24"/>
        </w:rPr>
        <w:tab/>
      </w:r>
      <w:r>
        <w:rPr>
          <w:rFonts w:ascii="宋体" w:hAnsi="宋体"/>
          <w:sz w:val="24"/>
        </w:rPr>
        <w:fldChar w:fldCharType="begin"/>
      </w:r>
      <w:r>
        <w:rPr>
          <w:rFonts w:ascii="宋体" w:hAnsi="宋体"/>
          <w:sz w:val="24"/>
        </w:rPr>
        <w:instrText xml:space="preserve"> PAGEREF _Toc112441242 \h </w:instrText>
      </w:r>
      <w:r>
        <w:rPr>
          <w:rFonts w:ascii="宋体" w:hAnsi="宋体"/>
          <w:sz w:val="24"/>
        </w:rPr>
        <w:fldChar w:fldCharType="separate"/>
      </w:r>
      <w:r>
        <w:rPr>
          <w:rFonts w:ascii="宋体" w:hAnsi="宋体"/>
          <w:sz w:val="24"/>
        </w:rPr>
        <w:t>4</w:t>
      </w:r>
      <w:r>
        <w:rPr>
          <w:rFonts w:ascii="宋体" w:hAnsi="宋体"/>
          <w:sz w:val="24"/>
        </w:rPr>
        <w:fldChar w:fldCharType="end"/>
      </w:r>
      <w:r>
        <w:rPr>
          <w:rStyle w:val="10"/>
          <w:rFonts w:ascii="宋体" w:hAnsi="宋体"/>
          <w:sz w:val="24"/>
        </w:rPr>
        <w:fldChar w:fldCharType="end"/>
      </w:r>
    </w:p>
    <w:p>
      <w:pPr>
        <w:pStyle w:val="6"/>
        <w:rPr>
          <w:rFonts w:ascii="Calibri" w:hAnsi="Calibri"/>
          <w:sz w:val="24"/>
        </w:rPr>
      </w:pPr>
      <w:r>
        <w:fldChar w:fldCharType="begin"/>
      </w:r>
      <w:r>
        <w:instrText xml:space="preserve"> HYPERLINK \l "_Toc112441243" </w:instrText>
      </w:r>
      <w:r>
        <w:fldChar w:fldCharType="separate"/>
      </w:r>
      <w:r>
        <w:rPr>
          <w:rStyle w:val="10"/>
          <w:rFonts w:ascii="宋体" w:hAnsi="宋体" w:cs="宋体"/>
          <w:kern w:val="0"/>
          <w:sz w:val="24"/>
        </w:rPr>
        <w:t>（二）绩效目标设置情况</w:t>
      </w:r>
      <w:r>
        <w:rPr>
          <w:rFonts w:ascii="宋体" w:hAnsi="宋体"/>
          <w:sz w:val="24"/>
        </w:rPr>
        <w:tab/>
      </w:r>
      <w:r>
        <w:rPr>
          <w:rFonts w:ascii="宋体" w:hAnsi="宋体"/>
          <w:sz w:val="24"/>
        </w:rPr>
        <w:fldChar w:fldCharType="begin"/>
      </w:r>
      <w:r>
        <w:rPr>
          <w:rFonts w:ascii="宋体" w:hAnsi="宋体"/>
          <w:sz w:val="24"/>
        </w:rPr>
        <w:instrText xml:space="preserve"> PAGEREF _Toc112441243 \h </w:instrText>
      </w:r>
      <w:r>
        <w:rPr>
          <w:rFonts w:ascii="宋体" w:hAnsi="宋体"/>
          <w:sz w:val="24"/>
        </w:rPr>
        <w:fldChar w:fldCharType="separate"/>
      </w:r>
      <w:r>
        <w:rPr>
          <w:rFonts w:ascii="宋体" w:hAnsi="宋体"/>
          <w:sz w:val="24"/>
        </w:rPr>
        <w:t>4</w:t>
      </w:r>
      <w:r>
        <w:rPr>
          <w:rFonts w:ascii="宋体" w:hAnsi="宋体"/>
          <w:sz w:val="24"/>
        </w:rPr>
        <w:fldChar w:fldCharType="end"/>
      </w:r>
      <w:r>
        <w:rPr>
          <w:rFonts w:ascii="宋体" w:hAnsi="宋体"/>
          <w:sz w:val="24"/>
        </w:rPr>
        <w:fldChar w:fldCharType="end"/>
      </w:r>
    </w:p>
    <w:p>
      <w:pPr>
        <w:pStyle w:val="5"/>
        <w:rPr>
          <w:rFonts w:ascii="Calibri" w:hAnsi="Calibri" w:eastAsia="宋体"/>
          <w:sz w:val="21"/>
          <w:szCs w:val="22"/>
        </w:rPr>
      </w:pPr>
      <w:r>
        <w:fldChar w:fldCharType="begin"/>
      </w:r>
      <w:r>
        <w:instrText xml:space="preserve"> HYPERLINK \l "_Toc112441244" </w:instrText>
      </w:r>
      <w:r>
        <w:fldChar w:fldCharType="separate"/>
      </w:r>
      <w:r>
        <w:rPr>
          <w:rStyle w:val="10"/>
          <w:rFonts w:ascii="黑体" w:hAnsi="黑体" w:eastAsia="黑体"/>
          <w:kern w:val="44"/>
        </w:rPr>
        <w:t>十、名词解释</w:t>
      </w:r>
      <w:r>
        <w:tab/>
      </w:r>
      <w:r>
        <w:fldChar w:fldCharType="begin"/>
      </w:r>
      <w:r>
        <w:instrText xml:space="preserve"> PAGEREF _Toc112441244 \h </w:instrText>
      </w:r>
      <w:r>
        <w:fldChar w:fldCharType="separate"/>
      </w:r>
      <w:r>
        <w:t>4</w:t>
      </w:r>
      <w:r>
        <w:fldChar w:fldCharType="end"/>
      </w:r>
      <w:r>
        <w:fldChar w:fldCharType="end"/>
      </w:r>
    </w:p>
    <w:p>
      <w:pPr>
        <w:rPr>
          <w:rFonts w:hint="eastAsia"/>
        </w:rPr>
      </w:pPr>
      <w:r>
        <w:rPr>
          <w:b/>
          <w:bCs/>
          <w:lang w:val="zh-CN"/>
        </w:rPr>
        <w:fldChar w:fldCharType="end"/>
      </w: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sectPr>
          <w:footerReference r:id="rId5" w:type="default"/>
          <w:pgSz w:w="11906" w:h="16838"/>
          <w:pgMar w:top="1440" w:right="1800" w:bottom="1440" w:left="1800" w:header="851" w:footer="992" w:gutter="0"/>
          <w:cols w:space="720" w:num="1"/>
          <w:docGrid w:type="lines" w:linePitch="312" w:charSpace="0"/>
        </w:sectPr>
      </w:pPr>
    </w:p>
    <w:p>
      <w:r>
        <w:rPr>
          <w:rFonts w:hint="eastAsia" w:ascii="仿宋_GB2312" w:hAnsi="宋体" w:eastAsia="仿宋_GB2312" w:cs="宋体"/>
          <w:color w:val="000000"/>
          <w:kern w:val="0"/>
          <w:sz w:val="32"/>
          <w:szCs w:val="32"/>
        </w:rPr>
        <w:t>附件： 202</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年部门预算公开报表</w:t>
      </w:r>
    </w:p>
    <w:p>
      <w:pPr>
        <w:pStyle w:val="6"/>
        <w:adjustRightInd w:val="0"/>
        <w:snapToGrid w:val="0"/>
        <w:spacing w:line="480" w:lineRule="auto"/>
        <w:jc w:val="left"/>
        <w:rPr>
          <w:rFonts w:ascii="仿宋" w:hAnsi="仿宋" w:eastAsia="仿宋" w:cs="黑体"/>
          <w:sz w:val="28"/>
          <w:szCs w:val="28"/>
        </w:rPr>
      </w:pPr>
      <w:r>
        <w:rPr>
          <w:sz w:val="28"/>
          <w:szCs w:val="28"/>
        </w:rPr>
        <w:t xml:space="preserve">                                 </w:t>
      </w:r>
    </w:p>
    <w:p>
      <w:pPr>
        <w:pStyle w:val="6"/>
        <w:adjustRightInd w:val="0"/>
        <w:snapToGrid w:val="0"/>
        <w:spacing w:line="480" w:lineRule="auto"/>
        <w:jc w:val="left"/>
        <w:rPr>
          <w:sz w:val="28"/>
          <w:szCs w:val="28"/>
        </w:rPr>
      </w:pPr>
      <w:r>
        <w:rPr>
          <w:rFonts w:hint="eastAsia" w:ascii="仿宋" w:hAnsi="仿宋" w:eastAsia="仿宋"/>
          <w:sz w:val="28"/>
          <w:szCs w:val="28"/>
        </w:rPr>
        <w:t>一、</w:t>
      </w:r>
      <w:r>
        <w:rPr>
          <w:sz w:val="28"/>
          <w:szCs w:val="28"/>
        </w:rPr>
        <w:t>部门收支总表</w:t>
      </w:r>
    </w:p>
    <w:p>
      <w:pPr>
        <w:pStyle w:val="6"/>
        <w:adjustRightInd w:val="0"/>
        <w:snapToGrid w:val="0"/>
        <w:spacing w:line="480" w:lineRule="auto"/>
        <w:ind w:firstLine="280" w:firstLineChars="100"/>
        <w:jc w:val="left"/>
        <w:rPr>
          <w:rFonts w:ascii="仿宋" w:hAnsi="仿宋" w:eastAsia="仿宋" w:cs="黑体"/>
          <w:sz w:val="28"/>
          <w:szCs w:val="28"/>
        </w:rPr>
      </w:pPr>
      <w:r>
        <w:rPr>
          <w:rFonts w:hint="eastAsia" w:ascii="仿宋" w:hAnsi="仿宋" w:eastAsia="仿宋"/>
          <w:sz w:val="28"/>
          <w:szCs w:val="28"/>
        </w:rPr>
        <w:t>1</w:t>
      </w:r>
      <w:r>
        <w:rPr>
          <w:rFonts w:ascii="仿宋" w:hAnsi="仿宋" w:eastAsia="仿宋"/>
          <w:sz w:val="28"/>
          <w:szCs w:val="28"/>
        </w:rPr>
        <w:t>-1</w:t>
      </w:r>
      <w:r>
        <w:rPr>
          <w:rFonts w:hint="eastAsia" w:ascii="仿宋" w:hAnsi="仿宋" w:eastAsia="仿宋"/>
          <w:sz w:val="28"/>
          <w:szCs w:val="28"/>
        </w:rPr>
        <w:t>、部门</w:t>
      </w:r>
      <w:r>
        <w:rPr>
          <w:rFonts w:hint="eastAsia"/>
          <w:sz w:val="28"/>
          <w:szCs w:val="28"/>
        </w:rPr>
        <w:t>收入</w:t>
      </w:r>
      <w:r>
        <w:rPr>
          <w:rFonts w:hint="eastAsia" w:ascii="仿宋" w:hAnsi="仿宋" w:eastAsia="仿宋"/>
          <w:sz w:val="28"/>
          <w:szCs w:val="28"/>
        </w:rPr>
        <w:t>总</w:t>
      </w:r>
      <w:r>
        <w:rPr>
          <w:rFonts w:hint="eastAsia"/>
          <w:sz w:val="28"/>
          <w:szCs w:val="28"/>
        </w:rPr>
        <w:t>表</w:t>
      </w:r>
    </w:p>
    <w:p>
      <w:pPr>
        <w:pStyle w:val="6"/>
        <w:adjustRightInd w:val="0"/>
        <w:snapToGrid w:val="0"/>
        <w:spacing w:line="480" w:lineRule="auto"/>
        <w:ind w:leftChars="0" w:firstLine="280" w:firstLineChars="100"/>
        <w:jc w:val="left"/>
        <w:rPr>
          <w:rFonts w:ascii="仿宋" w:hAnsi="仿宋" w:eastAsia="仿宋" w:cs="黑体"/>
          <w:sz w:val="28"/>
          <w:szCs w:val="28"/>
        </w:rPr>
      </w:pP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、部门</w:t>
      </w:r>
      <w:r>
        <w:rPr>
          <w:rFonts w:hint="eastAsia"/>
          <w:sz w:val="28"/>
          <w:szCs w:val="28"/>
        </w:rPr>
        <w:t>支出</w:t>
      </w:r>
      <w:r>
        <w:rPr>
          <w:rFonts w:hint="eastAsia" w:ascii="仿宋" w:hAnsi="仿宋" w:eastAsia="仿宋"/>
          <w:sz w:val="28"/>
          <w:szCs w:val="28"/>
        </w:rPr>
        <w:t>总</w:t>
      </w:r>
      <w:r>
        <w:rPr>
          <w:rFonts w:hint="eastAsia"/>
          <w:sz w:val="28"/>
          <w:szCs w:val="28"/>
        </w:rPr>
        <w:t>表</w:t>
      </w:r>
    </w:p>
    <w:p>
      <w:pPr>
        <w:pStyle w:val="6"/>
        <w:adjustRightInd w:val="0"/>
        <w:snapToGrid w:val="0"/>
        <w:spacing w:line="480" w:lineRule="auto"/>
        <w:jc w:val="left"/>
        <w:rPr>
          <w:sz w:val="28"/>
          <w:szCs w:val="28"/>
        </w:rPr>
      </w:pPr>
      <w:r>
        <w:rPr>
          <w:rFonts w:hint="eastAsia" w:ascii="仿宋" w:hAnsi="仿宋" w:eastAsia="仿宋"/>
          <w:sz w:val="28"/>
          <w:szCs w:val="28"/>
        </w:rPr>
        <w:t>二、</w:t>
      </w:r>
      <w:r>
        <w:rPr>
          <w:rFonts w:hint="eastAsia"/>
          <w:sz w:val="28"/>
          <w:szCs w:val="28"/>
        </w:rPr>
        <w:t>财政拨款收支预算总表</w:t>
      </w:r>
    </w:p>
    <w:p>
      <w:pPr>
        <w:pStyle w:val="6"/>
        <w:adjustRightInd w:val="0"/>
        <w:snapToGrid w:val="0"/>
        <w:spacing w:line="480" w:lineRule="auto"/>
        <w:jc w:val="left"/>
        <w:rPr>
          <w:rFonts w:ascii="仿宋" w:hAnsi="仿宋" w:eastAsia="仿宋"/>
          <w:sz w:val="28"/>
          <w:szCs w:val="28"/>
        </w:rPr>
      </w:pPr>
      <w:r>
        <w:rPr>
          <w:rFonts w:hint="eastAsia" w:ascii="仿宋" w:hAnsi="仿宋" w:eastAsia="仿宋"/>
          <w:sz w:val="28"/>
          <w:szCs w:val="28"/>
        </w:rPr>
        <w:t>三、一般公共预算支出预算表</w:t>
      </w:r>
    </w:p>
    <w:p>
      <w:pPr>
        <w:pStyle w:val="6"/>
        <w:adjustRightInd w:val="0"/>
        <w:snapToGrid w:val="0"/>
        <w:spacing w:line="480" w:lineRule="auto"/>
        <w:jc w:val="left"/>
        <w:rPr>
          <w:sz w:val="28"/>
          <w:szCs w:val="28"/>
        </w:rPr>
      </w:pPr>
      <w:r>
        <w:rPr>
          <w:rFonts w:ascii="仿宋" w:hAnsi="仿宋" w:eastAsia="仿宋"/>
          <w:sz w:val="28"/>
          <w:szCs w:val="28"/>
        </w:rPr>
        <w:t xml:space="preserve">  3-1</w:t>
      </w:r>
      <w:r>
        <w:rPr>
          <w:rFonts w:hint="eastAsia" w:ascii="仿宋" w:hAnsi="仿宋" w:eastAsia="仿宋"/>
          <w:sz w:val="28"/>
          <w:szCs w:val="28"/>
        </w:rPr>
        <w:t>、一</w:t>
      </w:r>
      <w:r>
        <w:rPr>
          <w:rFonts w:hint="eastAsia"/>
          <w:sz w:val="28"/>
          <w:szCs w:val="28"/>
        </w:rPr>
        <w:t>般公共预算基本支出预算表</w:t>
      </w:r>
    </w:p>
    <w:p>
      <w:pPr>
        <w:pStyle w:val="6"/>
        <w:adjustRightInd w:val="0"/>
        <w:snapToGrid w:val="0"/>
        <w:spacing w:line="480" w:lineRule="auto"/>
        <w:ind w:firstLine="280" w:firstLineChars="100"/>
        <w:jc w:val="left"/>
        <w:rPr>
          <w:sz w:val="28"/>
          <w:szCs w:val="28"/>
        </w:rPr>
      </w:pPr>
      <w:r>
        <w:rPr>
          <w:sz w:val="28"/>
          <w:szCs w:val="28"/>
        </w:rPr>
        <w:t>3-2</w:t>
      </w:r>
      <w:r>
        <w:rPr>
          <w:rFonts w:hint="eastAsia"/>
          <w:sz w:val="28"/>
          <w:szCs w:val="28"/>
        </w:rPr>
        <w:t>、一般公共预算项目支出预算表</w:t>
      </w:r>
    </w:p>
    <w:p>
      <w:pPr>
        <w:pStyle w:val="6"/>
        <w:adjustRightInd w:val="0"/>
        <w:snapToGrid w:val="0"/>
        <w:spacing w:line="480" w:lineRule="auto"/>
        <w:ind w:firstLine="280" w:firstLineChars="100"/>
        <w:jc w:val="left"/>
        <w:rPr>
          <w:sz w:val="28"/>
          <w:szCs w:val="28"/>
        </w:rPr>
      </w:pPr>
      <w:r>
        <w:rPr>
          <w:sz w:val="28"/>
          <w:szCs w:val="28"/>
        </w:rPr>
        <w:t>3-3</w:t>
      </w:r>
      <w:r>
        <w:rPr>
          <w:rFonts w:hint="eastAsia"/>
          <w:sz w:val="28"/>
          <w:szCs w:val="28"/>
        </w:rPr>
        <w:t>、一般公共预算“三公”经费支出预算表</w:t>
      </w:r>
    </w:p>
    <w:p>
      <w:pPr>
        <w:pStyle w:val="6"/>
        <w:adjustRightInd w:val="0"/>
        <w:snapToGrid w:val="0"/>
        <w:spacing w:line="480" w:lineRule="auto"/>
        <w:jc w:val="left"/>
        <w:rPr>
          <w:rFonts w:ascii="仿宋" w:hAnsi="仿宋" w:eastAsia="仿宋"/>
          <w:sz w:val="28"/>
          <w:szCs w:val="28"/>
        </w:rPr>
      </w:pPr>
      <w:r>
        <w:rPr>
          <w:rFonts w:hint="eastAsia" w:ascii="仿宋" w:hAnsi="仿宋" w:eastAsia="仿宋"/>
          <w:sz w:val="28"/>
          <w:szCs w:val="28"/>
        </w:rPr>
        <w:t>四、政府性基金支出预算表</w:t>
      </w:r>
    </w:p>
    <w:p>
      <w:pPr>
        <w:pStyle w:val="6"/>
        <w:adjustRightInd w:val="0"/>
        <w:snapToGrid w:val="0"/>
        <w:spacing w:line="480" w:lineRule="auto"/>
        <w:ind w:firstLine="280" w:firstLineChars="100"/>
        <w:jc w:val="left"/>
        <w:rPr>
          <w:sz w:val="28"/>
          <w:szCs w:val="28"/>
        </w:rPr>
      </w:pPr>
      <w:r>
        <w:rPr>
          <w:sz w:val="28"/>
          <w:szCs w:val="28"/>
        </w:rPr>
        <w:t>4-1</w:t>
      </w:r>
      <w:r>
        <w:rPr>
          <w:rFonts w:hint="eastAsia"/>
          <w:sz w:val="28"/>
          <w:szCs w:val="28"/>
        </w:rPr>
        <w:t>、政府性基金预算“三公”经费支出预算表</w:t>
      </w:r>
    </w:p>
    <w:p>
      <w:pPr>
        <w:pStyle w:val="6"/>
        <w:adjustRightInd w:val="0"/>
        <w:snapToGrid w:val="0"/>
        <w:spacing w:line="480" w:lineRule="auto"/>
        <w:jc w:val="left"/>
        <w:rPr>
          <w:sz w:val="28"/>
          <w:szCs w:val="28"/>
        </w:rPr>
      </w:pPr>
      <w:r>
        <w:rPr>
          <w:rFonts w:hint="eastAsia" w:ascii="仿宋" w:hAnsi="仿宋" w:eastAsia="仿宋"/>
          <w:sz w:val="28"/>
          <w:szCs w:val="28"/>
        </w:rPr>
        <w:t>五、</w:t>
      </w:r>
      <w:r>
        <w:rPr>
          <w:rFonts w:hint="eastAsia"/>
          <w:sz w:val="28"/>
          <w:szCs w:val="28"/>
        </w:rPr>
        <w:t>国有资本经营预算支出预算表</w:t>
      </w:r>
    </w:p>
    <w:p>
      <w:pPr>
        <w:pStyle w:val="6"/>
        <w:adjustRightInd w:val="0"/>
        <w:snapToGrid w:val="0"/>
        <w:spacing w:line="480" w:lineRule="auto"/>
        <w:jc w:val="left"/>
        <w:rPr>
          <w:sz w:val="28"/>
          <w:szCs w:val="28"/>
        </w:rPr>
      </w:pPr>
      <w:r>
        <w:rPr>
          <w:rFonts w:hint="eastAsia" w:ascii="仿宋" w:hAnsi="仿宋" w:eastAsia="仿宋"/>
          <w:sz w:val="28"/>
          <w:szCs w:val="28"/>
        </w:rPr>
        <w:t>六、</w:t>
      </w:r>
      <w:r>
        <w:rPr>
          <w:rFonts w:hint="eastAsia" w:eastAsia="仿宋"/>
          <w:sz w:val="28"/>
          <w:szCs w:val="28"/>
          <w:lang w:eastAsia="zh-CN"/>
        </w:rPr>
        <w:t>2024</w:t>
      </w:r>
      <w:r>
        <w:rPr>
          <w:sz w:val="28"/>
          <w:szCs w:val="28"/>
        </w:rPr>
        <w:t>年部门（单位）整体支出绩效目标申报表</w:t>
      </w:r>
    </w:p>
    <w:p>
      <w:pPr>
        <w:pStyle w:val="6"/>
        <w:adjustRightInd w:val="0"/>
        <w:snapToGrid w:val="0"/>
        <w:spacing w:line="480" w:lineRule="auto"/>
        <w:jc w:val="left"/>
        <w:rPr>
          <w:sz w:val="28"/>
          <w:szCs w:val="28"/>
        </w:rPr>
      </w:pPr>
      <w:r>
        <w:rPr>
          <w:rFonts w:hint="eastAsia" w:ascii="仿宋" w:hAnsi="仿宋" w:eastAsia="仿宋"/>
          <w:sz w:val="28"/>
          <w:szCs w:val="28"/>
        </w:rPr>
        <w:t>七、</w:t>
      </w:r>
      <w:r>
        <w:rPr>
          <w:rFonts w:hint="eastAsia"/>
          <w:sz w:val="28"/>
          <w:szCs w:val="28"/>
        </w:rPr>
        <w:t>项目支出绩效预算目标表</w:t>
      </w:r>
    </w:p>
    <w:p>
      <w:pPr>
        <w:spacing w:line="560" w:lineRule="exact"/>
        <w:rPr>
          <w:rFonts w:ascii="黑体" w:hAnsi="黑体" w:eastAsia="黑体" w:cs="宋体"/>
          <w:b/>
          <w:bCs/>
          <w:color w:val="000000"/>
          <w:kern w:val="0"/>
          <w:sz w:val="32"/>
          <w:szCs w:val="32"/>
        </w:rPr>
      </w:pPr>
    </w:p>
    <w:p>
      <w:pPr>
        <w:pStyle w:val="2"/>
      </w:pPr>
    </w:p>
    <w:p>
      <w:pPr>
        <w:pStyle w:val="2"/>
      </w:pPr>
    </w:p>
    <w:p>
      <w:pPr>
        <w:pStyle w:val="2"/>
      </w:pPr>
    </w:p>
    <w:p>
      <w:pPr>
        <w:pStyle w:val="2"/>
      </w:pPr>
    </w:p>
    <w:p>
      <w:pPr>
        <w:pStyle w:val="2"/>
      </w:pPr>
    </w:p>
    <w:p>
      <w:pPr>
        <w:pStyle w:val="2"/>
      </w:pPr>
    </w:p>
    <w:p>
      <w:pPr>
        <w:pStyle w:val="2"/>
      </w:pPr>
    </w:p>
    <w:p>
      <w:pPr>
        <w:spacing w:line="560" w:lineRule="exact"/>
        <w:ind w:firstLine="321" w:firstLineChars="100"/>
        <w:rPr>
          <w:rFonts w:ascii="黑体" w:hAnsi="黑体" w:eastAsia="黑体" w:cs="宋体"/>
          <w:b/>
          <w:bCs/>
          <w:color w:val="000000"/>
          <w:kern w:val="0"/>
          <w:sz w:val="32"/>
          <w:szCs w:val="32"/>
        </w:rPr>
        <w:sectPr>
          <w:footerReference r:id="rId6" w:type="default"/>
          <w:pgSz w:w="11906" w:h="16838"/>
          <w:pgMar w:top="1440" w:right="1800" w:bottom="1440" w:left="1800" w:header="851" w:footer="992" w:gutter="0"/>
          <w:cols w:space="720" w:num="1"/>
          <w:docGrid w:type="lines" w:linePitch="312" w:charSpace="0"/>
        </w:sectPr>
      </w:pPr>
    </w:p>
    <w:p>
      <w:pPr>
        <w:pStyle w:val="2"/>
      </w:pPr>
    </w:p>
    <w:p>
      <w:pPr>
        <w:spacing w:line="560" w:lineRule="exact"/>
        <w:outlineLvl w:val="0"/>
        <w:rPr>
          <w:rFonts w:ascii="仿宋_GB2312" w:hAnsi="宋体" w:eastAsia="仿宋_GB2312" w:cs="宋体"/>
          <w:color w:val="000000"/>
          <w:kern w:val="0"/>
          <w:sz w:val="32"/>
          <w:szCs w:val="32"/>
        </w:rPr>
      </w:pPr>
      <w:bookmarkStart w:id="11" w:name="_Toc112441228"/>
      <w:r>
        <w:rPr>
          <w:rFonts w:hint="eastAsia" w:ascii="黑体" w:hAnsi="黑体" w:eastAsia="黑体" w:cs="宋体"/>
          <w:b/>
          <w:bCs/>
          <w:color w:val="000000"/>
          <w:kern w:val="0"/>
          <w:sz w:val="32"/>
          <w:szCs w:val="32"/>
        </w:rPr>
        <w:t>一、基本职能及主要工作</w:t>
      </w:r>
      <w:bookmarkEnd w:id="11"/>
    </w:p>
    <w:p>
      <w:pPr>
        <w:spacing w:line="560" w:lineRule="exact"/>
        <w:ind w:firstLine="280" w:firstLineChars="100"/>
        <w:outlineLvl w:val="1"/>
        <w:rPr>
          <w:rFonts w:ascii="仿宋_GB2312" w:hAnsi="宋体" w:eastAsia="仿宋_GB2312" w:cs="宋体"/>
          <w:color w:val="000000"/>
          <w:kern w:val="0"/>
          <w:sz w:val="28"/>
          <w:szCs w:val="28"/>
        </w:rPr>
      </w:pPr>
      <w:bookmarkStart w:id="12" w:name="_Toc112441229"/>
      <w:r>
        <w:rPr>
          <w:rFonts w:hint="eastAsia" w:ascii="楷体_GB2312" w:hAnsi="宋体" w:eastAsia="楷体_GB2312" w:cs="宋体"/>
          <w:color w:val="000000"/>
          <w:kern w:val="0"/>
          <w:sz w:val="28"/>
          <w:szCs w:val="28"/>
        </w:rPr>
        <w:t>（一）基本职能简介</w:t>
      </w:r>
      <w:bookmarkEnd w:id="12"/>
    </w:p>
    <w:p>
      <w:pPr>
        <w:spacing w:line="5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仿宋_GB2312"/>
          <w:sz w:val="24"/>
          <w:szCs w:val="24"/>
        </w:rPr>
        <w:t>负责制定相关行政服务制度和管理办法；</w:t>
      </w:r>
    </w:p>
    <w:p>
      <w:pPr>
        <w:spacing w:line="560" w:lineRule="exact"/>
        <w:ind w:firstLine="480" w:firstLineChars="200"/>
        <w:rPr>
          <w:rFonts w:ascii="宋体" w:hAnsi="宋体" w:eastAsia="宋体" w:cs="仿宋_GB2312"/>
          <w:sz w:val="24"/>
          <w:szCs w:val="24"/>
        </w:rPr>
      </w:pPr>
      <w:r>
        <w:rPr>
          <w:rFonts w:hint="eastAsia" w:ascii="宋体" w:hAnsi="宋体" w:eastAsia="宋体" w:cs="仿宋_GB2312"/>
          <w:sz w:val="24"/>
          <w:szCs w:val="24"/>
        </w:rPr>
        <w:t>2.负责受理政府授权或相关职能部门委托行政审批的相关服务事项；</w:t>
      </w:r>
    </w:p>
    <w:p>
      <w:pPr>
        <w:spacing w:line="560" w:lineRule="exact"/>
        <w:ind w:firstLine="480" w:firstLineChars="200"/>
        <w:rPr>
          <w:rFonts w:ascii="宋体" w:hAnsi="宋体" w:eastAsia="宋体" w:cs="仿宋_GB2312"/>
          <w:sz w:val="24"/>
          <w:szCs w:val="24"/>
        </w:rPr>
      </w:pPr>
      <w:r>
        <w:rPr>
          <w:rFonts w:hint="eastAsia" w:ascii="宋体" w:hAnsi="宋体" w:eastAsia="宋体" w:cs="仿宋_GB2312"/>
          <w:sz w:val="24"/>
          <w:szCs w:val="24"/>
        </w:rPr>
        <w:t>3.负责农村产权交易服务工作；</w:t>
      </w:r>
    </w:p>
    <w:p>
      <w:pPr>
        <w:spacing w:line="560" w:lineRule="exact"/>
        <w:ind w:firstLine="480" w:firstLineChars="200"/>
        <w:rPr>
          <w:rFonts w:ascii="宋体" w:hAnsi="宋体" w:eastAsia="宋体" w:cs="仿宋_GB2312"/>
          <w:sz w:val="24"/>
          <w:szCs w:val="24"/>
        </w:rPr>
      </w:pPr>
      <w:r>
        <w:rPr>
          <w:rFonts w:hint="eastAsia" w:ascii="宋体" w:hAnsi="宋体" w:eastAsia="宋体" w:cs="仿宋_GB2312"/>
          <w:sz w:val="24"/>
          <w:szCs w:val="24"/>
        </w:rPr>
        <w:t>4.负责服务事项信息、办件量等方面的数据汇总及分析工作；</w:t>
      </w:r>
    </w:p>
    <w:p>
      <w:pPr>
        <w:spacing w:line="560" w:lineRule="exact"/>
        <w:ind w:firstLine="480" w:firstLineChars="200"/>
        <w:rPr>
          <w:rFonts w:ascii="宋体" w:hAnsi="宋体" w:eastAsia="宋体" w:cs="仿宋_GB2312"/>
          <w:sz w:val="24"/>
          <w:szCs w:val="24"/>
        </w:rPr>
      </w:pPr>
      <w:r>
        <w:rPr>
          <w:rFonts w:hint="eastAsia" w:ascii="宋体" w:hAnsi="宋体" w:eastAsia="宋体" w:cs="仿宋_GB2312"/>
          <w:sz w:val="24"/>
          <w:szCs w:val="24"/>
        </w:rPr>
        <w:t>5.负责法律、法规、规章的宣传解释工作；负责党委政府安排的其他临时工作。</w:t>
      </w:r>
    </w:p>
    <w:p>
      <w:pPr>
        <w:spacing w:line="560" w:lineRule="exact"/>
        <w:ind w:firstLine="560" w:firstLineChars="200"/>
        <w:outlineLvl w:val="1"/>
        <w:rPr>
          <w:rFonts w:ascii="仿宋_GB2312" w:hAnsi="宋体" w:eastAsia="仿宋_GB2312" w:cs="宋体"/>
          <w:color w:val="000000"/>
          <w:kern w:val="0"/>
          <w:sz w:val="28"/>
          <w:szCs w:val="28"/>
        </w:rPr>
      </w:pPr>
      <w:bookmarkStart w:id="13" w:name="_Toc112441230"/>
      <w:r>
        <w:rPr>
          <w:rFonts w:hint="eastAsia" w:ascii="楷体_GB2312" w:hAnsi="宋体" w:eastAsia="楷体_GB2312" w:cs="宋体"/>
          <w:color w:val="000000"/>
          <w:kern w:val="0"/>
          <w:sz w:val="28"/>
          <w:szCs w:val="28"/>
        </w:rPr>
        <w:t>（二）202</w:t>
      </w:r>
      <w:r>
        <w:rPr>
          <w:rFonts w:hint="eastAsia" w:ascii="楷体_GB2312" w:hAnsi="宋体" w:eastAsia="楷体_GB2312" w:cs="宋体"/>
          <w:color w:val="000000"/>
          <w:kern w:val="0"/>
          <w:sz w:val="28"/>
          <w:szCs w:val="28"/>
          <w:lang w:val="en-US" w:eastAsia="zh-CN"/>
        </w:rPr>
        <w:t>4</w:t>
      </w:r>
      <w:r>
        <w:rPr>
          <w:rFonts w:hint="eastAsia" w:ascii="楷体_GB2312" w:hAnsi="宋体" w:eastAsia="楷体_GB2312" w:cs="宋体"/>
          <w:color w:val="000000"/>
          <w:kern w:val="0"/>
          <w:sz w:val="28"/>
          <w:szCs w:val="28"/>
        </w:rPr>
        <w:t>年重点工作</w:t>
      </w:r>
      <w:bookmarkEnd w:id="13"/>
    </w:p>
    <w:p>
      <w:pPr>
        <w:spacing w:line="560" w:lineRule="exact"/>
        <w:ind w:firstLine="480" w:firstLineChars="200"/>
        <w:rPr>
          <w:rFonts w:hint="eastAsia" w:ascii="宋体" w:hAnsi="宋体" w:eastAsia="宋体" w:cs="仿宋_GB2312"/>
          <w:sz w:val="24"/>
          <w:szCs w:val="24"/>
          <w:lang w:val="en-US" w:eastAsia="zh-CN"/>
        </w:rPr>
      </w:pPr>
      <w:bookmarkStart w:id="14" w:name="_Toc112441231"/>
      <w:r>
        <w:rPr>
          <w:rFonts w:hint="eastAsia" w:ascii="宋体" w:hAnsi="宋体" w:eastAsia="宋体" w:cs="仿宋_GB2312"/>
          <w:sz w:val="24"/>
          <w:szCs w:val="24"/>
          <w:lang w:val="en-US" w:eastAsia="zh-CN"/>
        </w:rPr>
        <w:t>大和乡</w:t>
      </w:r>
      <w:r>
        <w:rPr>
          <w:rFonts w:hint="default" w:ascii="宋体" w:hAnsi="宋体" w:eastAsia="宋体" w:cs="仿宋_GB2312"/>
          <w:sz w:val="24"/>
          <w:szCs w:val="24"/>
          <w:lang w:val="en-US" w:eastAsia="zh-CN"/>
        </w:rPr>
        <w:t>便民服务中心按照便民、公开、依法、高效的原则，立足便民服务中心组织、协调、指导和监督职能，真抓实干、夯实基础、开拓创新，为改善全镇经济发展软环境做出新的更大的贡献。</w:t>
      </w:r>
      <w:r>
        <w:rPr>
          <w:rFonts w:hint="eastAsia" w:ascii="宋体" w:hAnsi="宋体" w:eastAsia="宋体" w:cs="仿宋_GB2312"/>
          <w:sz w:val="24"/>
          <w:szCs w:val="24"/>
          <w:lang w:val="en-US" w:eastAsia="zh-CN"/>
        </w:rPr>
        <w:t>2024年便民服务中心要在镇党委、政府的领导和主管部门的指导下，坚持为民是根本，便民是目的，服务是本质，以优质服务贯穿于工作始终。</w:t>
      </w:r>
    </w:p>
    <w:p>
      <w:pPr>
        <w:spacing w:line="560" w:lineRule="exact"/>
        <w:ind w:firstLine="720" w:firstLineChars="300"/>
        <w:rPr>
          <w:rFonts w:hint="eastAsia" w:ascii="宋体" w:hAnsi="宋体" w:eastAsia="宋体" w:cs="仿宋_GB2312"/>
          <w:sz w:val="24"/>
          <w:szCs w:val="24"/>
          <w:lang w:val="en-US" w:eastAsia="zh-CN"/>
        </w:rPr>
      </w:pPr>
      <w:r>
        <w:rPr>
          <w:rFonts w:hint="eastAsia" w:ascii="宋体" w:hAnsi="宋体" w:eastAsia="宋体" w:cs="仿宋_GB2312"/>
          <w:sz w:val="24"/>
          <w:szCs w:val="24"/>
          <w:lang w:val="en-US" w:eastAsia="zh-CN"/>
        </w:rPr>
        <w:t>1</w:t>
      </w:r>
      <w:r>
        <w:rPr>
          <w:rFonts w:hint="default" w:ascii="宋体" w:hAnsi="宋体" w:eastAsia="宋体" w:cs="仿宋_GB2312"/>
          <w:sz w:val="24"/>
          <w:szCs w:val="24"/>
          <w:lang w:val="en-US" w:eastAsia="zh-CN"/>
        </w:rPr>
        <w:t>、持续完善中心、分中心、点</w:t>
      </w:r>
      <w:r>
        <w:rPr>
          <w:rFonts w:hint="eastAsia" w:ascii="宋体" w:hAnsi="宋体" w:eastAsia="宋体" w:cs="仿宋_GB2312"/>
          <w:sz w:val="24"/>
          <w:szCs w:val="24"/>
          <w:lang w:val="en-US" w:eastAsia="zh-CN"/>
        </w:rPr>
        <w:t>(各村居)标准化建设。</w:t>
      </w:r>
    </w:p>
    <w:p>
      <w:pPr>
        <w:spacing w:line="560" w:lineRule="exact"/>
        <w:ind w:firstLine="480" w:firstLineChars="200"/>
        <w:rPr>
          <w:rFonts w:hint="eastAsia" w:ascii="宋体" w:hAnsi="宋体" w:eastAsia="宋体" w:cs="仿宋_GB2312"/>
          <w:sz w:val="24"/>
          <w:szCs w:val="24"/>
          <w:lang w:val="en-US" w:eastAsia="zh-CN"/>
        </w:rPr>
      </w:pPr>
      <w:r>
        <w:rPr>
          <w:rFonts w:hint="eastAsia" w:ascii="宋体" w:hAnsi="宋体" w:eastAsia="宋体" w:cs="仿宋_GB2312"/>
          <w:sz w:val="24"/>
          <w:szCs w:val="24"/>
          <w:lang w:val="en-US" w:eastAsia="zh-CN"/>
        </w:rPr>
        <w:t xml:space="preserve">  2、规范工作管理，提高服务水平。</w:t>
      </w:r>
    </w:p>
    <w:p>
      <w:pPr>
        <w:spacing w:line="560" w:lineRule="exact"/>
        <w:ind w:firstLine="720" w:firstLineChars="300"/>
        <w:rPr>
          <w:rFonts w:hint="default"/>
          <w:sz w:val="36"/>
          <w:szCs w:val="36"/>
          <w:lang w:val="en-US" w:eastAsia="zh-CN"/>
        </w:rPr>
      </w:pPr>
      <w:r>
        <w:rPr>
          <w:rFonts w:hint="eastAsia" w:ascii="宋体" w:hAnsi="宋体" w:eastAsia="宋体" w:cs="仿宋_GB2312"/>
          <w:sz w:val="24"/>
          <w:szCs w:val="24"/>
          <w:lang w:val="en-US" w:eastAsia="zh-CN"/>
        </w:rPr>
        <w:t>3.</w:t>
      </w:r>
      <w:r>
        <w:rPr>
          <w:rFonts w:hint="default" w:ascii="宋体" w:hAnsi="宋体" w:eastAsia="宋体" w:cs="仿宋_GB2312"/>
          <w:sz w:val="24"/>
          <w:szCs w:val="24"/>
          <w:lang w:val="en-US" w:eastAsia="zh-CN"/>
        </w:rPr>
        <w:t>改进工作态度，提高服务品位。</w:t>
      </w:r>
      <w:r>
        <w:rPr>
          <w:rFonts w:hint="eastAsia"/>
          <w:sz w:val="36"/>
          <w:szCs w:val="36"/>
          <w:lang w:val="en-US" w:eastAsia="zh-CN"/>
        </w:rPr>
        <w:t xml:space="preserve">   </w:t>
      </w:r>
    </w:p>
    <w:p>
      <w:pPr>
        <w:spacing w:line="560" w:lineRule="exact"/>
        <w:ind w:firstLine="720" w:firstLineChars="300"/>
        <w:rPr>
          <w:rFonts w:hint="eastAsia" w:ascii="宋体" w:hAnsi="宋体" w:eastAsia="宋体" w:cs="仿宋_GB2312"/>
          <w:sz w:val="24"/>
          <w:szCs w:val="24"/>
          <w:lang w:val="en-US" w:eastAsia="zh-CN"/>
        </w:rPr>
      </w:pPr>
      <w:r>
        <w:rPr>
          <w:rFonts w:hint="eastAsia" w:ascii="宋体" w:hAnsi="宋体" w:eastAsia="宋体" w:cs="仿宋_GB2312"/>
          <w:sz w:val="24"/>
          <w:szCs w:val="24"/>
          <w:lang w:val="en-US" w:eastAsia="zh-CN"/>
        </w:rPr>
        <w:t>4.加大力度，对被撤乡(羊凤、龙背)群众办事服务到位。</w:t>
      </w:r>
    </w:p>
    <w:p>
      <w:pPr>
        <w:spacing w:line="560" w:lineRule="exact"/>
        <w:ind w:firstLine="720" w:firstLineChars="300"/>
        <w:rPr>
          <w:rFonts w:hint="eastAsia" w:ascii="宋体" w:hAnsi="宋体" w:eastAsia="宋体" w:cs="仿宋_GB2312"/>
          <w:sz w:val="24"/>
          <w:szCs w:val="24"/>
          <w:lang w:val="en-US" w:eastAsia="zh-CN"/>
        </w:rPr>
      </w:pPr>
      <w:r>
        <w:rPr>
          <w:rFonts w:hint="eastAsia" w:ascii="宋体" w:hAnsi="宋体" w:eastAsia="宋体" w:cs="仿宋_GB2312"/>
          <w:sz w:val="24"/>
          <w:szCs w:val="24"/>
          <w:lang w:val="en-US" w:eastAsia="zh-CN"/>
        </w:rPr>
        <w:t>5.创新工作方式，提高服务效率。</w:t>
      </w:r>
    </w:p>
    <w:p>
      <w:pPr>
        <w:spacing w:line="560" w:lineRule="exact"/>
        <w:ind w:firstLine="720" w:firstLineChars="300"/>
        <w:rPr>
          <w:rFonts w:hint="eastAsia" w:ascii="宋体" w:hAnsi="宋体" w:eastAsia="宋体" w:cs="仿宋_GB2312"/>
          <w:sz w:val="24"/>
          <w:szCs w:val="24"/>
          <w:lang w:val="en-US" w:eastAsia="zh-CN"/>
        </w:rPr>
      </w:pPr>
      <w:r>
        <w:rPr>
          <w:rFonts w:hint="eastAsia" w:ascii="宋体" w:hAnsi="宋体" w:eastAsia="宋体" w:cs="仿宋_GB2312"/>
          <w:sz w:val="24"/>
          <w:szCs w:val="24"/>
          <w:lang w:val="en-US" w:eastAsia="zh-CN"/>
        </w:rPr>
        <w:t>6.强化工作监督，保证服务质量。</w:t>
      </w:r>
    </w:p>
    <w:p>
      <w:pPr>
        <w:widowControl/>
        <w:wordWrap w:val="0"/>
        <w:spacing w:line="480" w:lineRule="atLeast"/>
        <w:outlineLvl w:val="0"/>
        <w:rPr>
          <w:rFonts w:ascii="仿宋_GB2312" w:hAnsi="宋体" w:eastAsia="仿宋_GB2312" w:cs="宋体"/>
          <w:b/>
          <w:bCs/>
          <w:color w:val="000000"/>
          <w:kern w:val="0"/>
          <w:sz w:val="32"/>
          <w:szCs w:val="32"/>
        </w:rPr>
      </w:pPr>
      <w:r>
        <w:rPr>
          <w:rFonts w:hint="eastAsia" w:ascii="黑体" w:hAnsi="黑体" w:eastAsia="黑体" w:cs="宋体"/>
          <w:b/>
          <w:bCs/>
          <w:color w:val="000000"/>
          <w:kern w:val="0"/>
          <w:sz w:val="32"/>
          <w:szCs w:val="32"/>
        </w:rPr>
        <w:t>二、部门预算单位构成</w:t>
      </w:r>
      <w:bookmarkEnd w:id="14"/>
    </w:p>
    <w:p>
      <w:pPr>
        <w:widowControl/>
        <w:wordWrap w:val="0"/>
        <w:spacing w:line="480" w:lineRule="atLeast"/>
        <w:ind w:firstLine="480" w:firstLineChars="200"/>
        <w:rPr>
          <w:rFonts w:ascii="仿宋_GB2312" w:hAnsi="宋体" w:eastAsia="仿宋_GB2312" w:cs="宋体"/>
          <w:color w:val="000000"/>
          <w:kern w:val="0"/>
          <w:sz w:val="32"/>
          <w:szCs w:val="32"/>
        </w:rPr>
      </w:pPr>
      <w:r>
        <w:rPr>
          <w:rFonts w:hint="eastAsia" w:ascii="宋体" w:hAnsi="宋体" w:eastAsia="宋体" w:cs="宋体"/>
          <w:color w:val="000000"/>
          <w:kern w:val="0"/>
          <w:sz w:val="24"/>
          <w:szCs w:val="24"/>
        </w:rPr>
        <w:t>便民服务中心是事业单位，属于属二级预算单位</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w:t>
      </w:r>
    </w:p>
    <w:p>
      <w:pPr>
        <w:widowControl/>
        <w:wordWrap w:val="0"/>
        <w:spacing w:line="480" w:lineRule="atLeast"/>
        <w:outlineLvl w:val="0"/>
        <w:rPr>
          <w:rFonts w:ascii="黑体" w:hAnsi="黑体" w:eastAsia="黑体" w:cs="宋体"/>
          <w:b/>
          <w:bCs/>
          <w:color w:val="000000"/>
          <w:kern w:val="0"/>
          <w:sz w:val="32"/>
          <w:szCs w:val="32"/>
        </w:rPr>
      </w:pPr>
      <w:bookmarkStart w:id="15" w:name="_Toc112441232"/>
      <w:bookmarkStart w:id="16" w:name="_Hlk84844895"/>
      <w:r>
        <w:rPr>
          <w:rFonts w:hint="eastAsia" w:ascii="黑体" w:hAnsi="黑体" w:eastAsia="黑体" w:cs="宋体"/>
          <w:b/>
          <w:bCs/>
          <w:color w:val="000000"/>
          <w:kern w:val="0"/>
          <w:sz w:val="32"/>
          <w:szCs w:val="32"/>
        </w:rPr>
        <w:t>三、收支预算情况说明</w:t>
      </w:r>
      <w:bookmarkEnd w:id="15"/>
    </w:p>
    <w:bookmarkEnd w:id="16"/>
    <w:p>
      <w:pPr>
        <w:widowControl/>
        <w:wordWrap w:val="0"/>
        <w:spacing w:line="480" w:lineRule="atLeast"/>
        <w:ind w:firstLine="560" w:firstLineChars="200"/>
        <w:rPr>
          <w:rFonts w:ascii="黑体" w:hAnsi="黑体" w:eastAsia="黑体" w:cs="宋体"/>
          <w:b/>
          <w:bCs/>
          <w:color w:val="000000"/>
          <w:kern w:val="0"/>
          <w:sz w:val="32"/>
          <w:szCs w:val="32"/>
        </w:rPr>
      </w:pPr>
      <w:r>
        <w:rPr>
          <w:rFonts w:hint="eastAsia" w:ascii="仿宋_GB2312" w:hAnsi="宋体" w:eastAsia="仿宋_GB2312" w:cs="宋体"/>
          <w:color w:val="000000"/>
          <w:kern w:val="0"/>
          <w:sz w:val="28"/>
          <w:szCs w:val="28"/>
        </w:rPr>
        <w:t>按照综合预算的原则，便民服务中心所有收入和支出均纳入部门预算管理。收入包括：一般公共预算拨款收入、上级补助收入；支出包括：社会保障和就业支出、</w:t>
      </w:r>
      <w:r>
        <w:rPr>
          <w:rFonts w:hint="eastAsia" w:ascii="仿宋_GB2312" w:hAnsi="宋体" w:eastAsia="仿宋_GB2312" w:cs="宋体"/>
          <w:color w:val="000000"/>
          <w:kern w:val="0"/>
          <w:sz w:val="28"/>
          <w:szCs w:val="28"/>
          <w:lang w:val="en-US" w:eastAsia="zh-CN"/>
        </w:rPr>
        <w:t>卫生健康</w:t>
      </w:r>
      <w:r>
        <w:rPr>
          <w:rFonts w:hint="eastAsia" w:ascii="仿宋_GB2312" w:hAnsi="宋体" w:eastAsia="仿宋_GB2312" w:cs="宋体"/>
          <w:color w:val="000000"/>
          <w:kern w:val="0"/>
          <w:sz w:val="28"/>
          <w:szCs w:val="28"/>
        </w:rPr>
        <w:t>支出、住房保障支出。202</w:t>
      </w:r>
      <w:r>
        <w:rPr>
          <w:rFonts w:hint="eastAsia" w:ascii="仿宋_GB2312" w:hAnsi="宋体" w:eastAsia="仿宋_GB2312" w:cs="宋体"/>
          <w:color w:val="000000"/>
          <w:kern w:val="0"/>
          <w:sz w:val="28"/>
          <w:szCs w:val="28"/>
          <w:lang w:val="en-US" w:eastAsia="zh-CN"/>
        </w:rPr>
        <w:t>4</w:t>
      </w:r>
      <w:r>
        <w:rPr>
          <w:rFonts w:hint="eastAsia" w:ascii="仿宋_GB2312" w:hAnsi="宋体" w:eastAsia="仿宋_GB2312" w:cs="宋体"/>
          <w:color w:val="000000"/>
          <w:kern w:val="0"/>
          <w:sz w:val="28"/>
          <w:szCs w:val="28"/>
        </w:rPr>
        <w:t>年收支总预算</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w:t>
      </w:r>
      <w:r>
        <w:rPr>
          <w:rFonts w:hint="eastAsia" w:ascii="仿宋_GB2312" w:hAnsi="宋体" w:eastAsia="仿宋_GB2312" w:cs="宋体"/>
          <w:color w:val="000000"/>
          <w:kern w:val="0"/>
          <w:sz w:val="24"/>
          <w:szCs w:val="24"/>
        </w:rPr>
        <w:t>元。</w:t>
      </w:r>
    </w:p>
    <w:p>
      <w:pPr>
        <w:widowControl/>
        <w:wordWrap w:val="0"/>
        <w:spacing w:line="480" w:lineRule="atLeast"/>
        <w:ind w:firstLine="560" w:firstLineChars="200"/>
        <w:rPr>
          <w:rFonts w:ascii="宋体" w:hAnsi="宋体" w:eastAsia="宋体" w:cs="宋体"/>
          <w:color w:val="000000"/>
          <w:kern w:val="0"/>
          <w:sz w:val="28"/>
          <w:szCs w:val="28"/>
        </w:rPr>
      </w:pPr>
      <w:r>
        <w:rPr>
          <w:rFonts w:hint="eastAsia" w:ascii="宋体" w:hAnsi="宋体" w:eastAsia="宋体" w:cs="宋体"/>
          <w:color w:val="000000"/>
          <w:kern w:val="0"/>
          <w:sz w:val="28"/>
          <w:szCs w:val="28"/>
        </w:rPr>
        <w:t>（一）收入预算情况</w:t>
      </w:r>
    </w:p>
    <w:p>
      <w:pPr>
        <w:widowControl/>
        <w:wordWrap w:val="0"/>
        <w:spacing w:line="480" w:lineRule="atLeas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便民服务中心</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年收入预算</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万元，其中：上级补助收入0万元，占0%；一般公共预算拨款收入</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万元，占100%。</w:t>
      </w:r>
    </w:p>
    <w:p>
      <w:pPr>
        <w:widowControl/>
        <w:wordWrap w:val="0"/>
        <w:spacing w:line="480" w:lineRule="atLeast"/>
        <w:ind w:firstLine="560" w:firstLineChars="200"/>
        <w:rPr>
          <w:rFonts w:ascii="宋体" w:hAnsi="宋体" w:eastAsia="宋体" w:cs="宋体"/>
          <w:color w:val="000000"/>
          <w:kern w:val="0"/>
          <w:sz w:val="28"/>
          <w:szCs w:val="28"/>
        </w:rPr>
      </w:pPr>
      <w:r>
        <w:rPr>
          <w:rFonts w:hint="eastAsia" w:ascii="宋体" w:hAnsi="宋体" w:eastAsia="宋体" w:cs="宋体"/>
          <w:color w:val="000000"/>
          <w:kern w:val="0"/>
          <w:sz w:val="28"/>
          <w:szCs w:val="28"/>
        </w:rPr>
        <w:t>（二）支出预算情况</w:t>
      </w:r>
    </w:p>
    <w:p>
      <w:pPr>
        <w:widowControl/>
        <w:wordWrap w:val="0"/>
        <w:spacing w:line="480" w:lineRule="atLeast"/>
        <w:ind w:firstLine="560" w:firstLineChars="2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8"/>
          <w:szCs w:val="28"/>
        </w:rPr>
        <w:t>便民服务中心</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年支出预算</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万元，其中：基本支出</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万元，占100</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%；项目支出</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0万元，占</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0%。</w:t>
      </w:r>
    </w:p>
    <w:p>
      <w:pPr>
        <w:widowControl/>
        <w:wordWrap w:val="0"/>
        <w:spacing w:line="480" w:lineRule="atLeast"/>
        <w:outlineLvl w:val="0"/>
        <w:rPr>
          <w:rFonts w:ascii="仿宋_GB2312" w:hAnsi="宋体" w:eastAsia="仿宋_GB2312" w:cs="宋体"/>
          <w:color w:val="000000"/>
          <w:kern w:val="0"/>
          <w:sz w:val="32"/>
          <w:szCs w:val="32"/>
        </w:rPr>
      </w:pPr>
      <w:bookmarkStart w:id="17" w:name="_Toc112441233"/>
      <w:bookmarkStart w:id="18" w:name="_Hlk84844931"/>
      <w:r>
        <w:rPr>
          <w:rFonts w:hint="eastAsia" w:ascii="黑体" w:hAnsi="黑体" w:eastAsia="黑体" w:cs="宋体"/>
          <w:b/>
          <w:bCs/>
          <w:color w:val="000000"/>
          <w:kern w:val="0"/>
          <w:sz w:val="32"/>
          <w:szCs w:val="32"/>
        </w:rPr>
        <w:t>四、财政拨款收支预算情况说明</w:t>
      </w:r>
      <w:bookmarkEnd w:id="17"/>
      <w:bookmarkEnd w:id="18"/>
    </w:p>
    <w:p>
      <w:pPr>
        <w:widowControl/>
        <w:wordWrap w:val="0"/>
        <w:spacing w:line="480" w:lineRule="atLeas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便民服务中心</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年财政拨款收支总预算</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万元。收入包括：本年一般公共预算拨款收入</w:t>
      </w:r>
      <w:r>
        <w:rPr>
          <w:rFonts w:hint="eastAsia" w:ascii="仿宋_GB2312" w:hAnsi="宋体" w:eastAsia="仿宋_GB2312" w:cs="宋体"/>
          <w:color w:val="000000"/>
          <w:kern w:val="0"/>
          <w:sz w:val="28"/>
          <w:szCs w:val="28"/>
          <w:lang w:val="en-US" w:eastAsia="zh-CN"/>
        </w:rPr>
        <w:t>40.63</w:t>
      </w:r>
      <w:r>
        <w:rPr>
          <w:rFonts w:hint="eastAsia" w:ascii="仿宋_GB2312" w:hAnsi="宋体" w:eastAsia="仿宋_GB2312" w:cs="宋体"/>
          <w:color w:val="000000"/>
          <w:kern w:val="0"/>
          <w:sz w:val="28"/>
          <w:szCs w:val="28"/>
        </w:rPr>
        <w:t>万元、支出包括：社会保障和就业支出</w:t>
      </w:r>
      <w:r>
        <w:rPr>
          <w:rFonts w:hint="eastAsia" w:ascii="仿宋_GB2312" w:hAnsi="宋体" w:eastAsia="仿宋_GB2312" w:cs="宋体"/>
          <w:color w:val="000000"/>
          <w:kern w:val="0"/>
          <w:sz w:val="28"/>
          <w:szCs w:val="28"/>
          <w:lang w:val="en-US" w:eastAsia="zh-CN"/>
        </w:rPr>
        <w:t>3.85</w:t>
      </w:r>
      <w:r>
        <w:rPr>
          <w:rFonts w:hint="eastAsia" w:ascii="仿宋_GB2312" w:hAnsi="宋体" w:eastAsia="仿宋_GB2312" w:cs="宋体"/>
          <w:color w:val="000000"/>
          <w:kern w:val="0"/>
          <w:sz w:val="28"/>
          <w:szCs w:val="28"/>
        </w:rPr>
        <w:t>万元、</w:t>
      </w:r>
      <w:r>
        <w:rPr>
          <w:rFonts w:hint="eastAsia" w:ascii="仿宋_GB2312" w:hAnsi="宋体" w:eastAsia="仿宋_GB2312" w:cs="宋体"/>
          <w:color w:val="000000"/>
          <w:kern w:val="0"/>
          <w:sz w:val="28"/>
          <w:szCs w:val="28"/>
          <w:lang w:val="en-US" w:eastAsia="zh-CN"/>
        </w:rPr>
        <w:t>卫生健康</w:t>
      </w:r>
      <w:r>
        <w:rPr>
          <w:rFonts w:hint="eastAsia" w:ascii="仿宋_GB2312" w:hAnsi="宋体" w:eastAsia="仿宋_GB2312" w:cs="宋体"/>
          <w:color w:val="000000"/>
          <w:kern w:val="0"/>
          <w:sz w:val="28"/>
          <w:szCs w:val="28"/>
        </w:rPr>
        <w:t>支出</w:t>
      </w:r>
      <w:r>
        <w:rPr>
          <w:rFonts w:hint="eastAsia" w:ascii="仿宋_GB2312" w:hAnsi="宋体" w:eastAsia="仿宋_GB2312" w:cs="宋体"/>
          <w:color w:val="000000"/>
          <w:kern w:val="0"/>
          <w:sz w:val="28"/>
          <w:szCs w:val="28"/>
          <w:lang w:val="en-US" w:eastAsia="zh-CN"/>
        </w:rPr>
        <w:t>1.3</w:t>
      </w:r>
      <w:r>
        <w:rPr>
          <w:rFonts w:hint="eastAsia" w:ascii="仿宋_GB2312" w:hAnsi="宋体" w:eastAsia="仿宋_GB2312" w:cs="宋体"/>
          <w:color w:val="000000"/>
          <w:kern w:val="0"/>
          <w:sz w:val="28"/>
          <w:szCs w:val="28"/>
        </w:rPr>
        <w:t>万元、</w:t>
      </w:r>
      <w:r>
        <w:rPr>
          <w:rFonts w:hint="eastAsia" w:ascii="仿宋_GB2312" w:hAnsi="宋体" w:eastAsia="仿宋_GB2312" w:cs="宋体"/>
          <w:color w:val="000000"/>
          <w:kern w:val="0"/>
          <w:sz w:val="28"/>
          <w:szCs w:val="28"/>
          <w:lang w:val="en-US" w:eastAsia="zh-CN"/>
        </w:rPr>
        <w:t>资源勘探工业信息等支出32.10万元、</w:t>
      </w:r>
      <w:r>
        <w:rPr>
          <w:rFonts w:hint="eastAsia" w:ascii="仿宋_GB2312" w:hAnsi="宋体" w:eastAsia="仿宋_GB2312" w:cs="宋体"/>
          <w:color w:val="000000"/>
          <w:kern w:val="0"/>
          <w:sz w:val="28"/>
          <w:szCs w:val="28"/>
        </w:rPr>
        <w:t>住房保障支出</w:t>
      </w:r>
      <w:r>
        <w:rPr>
          <w:rFonts w:hint="eastAsia" w:ascii="仿宋_GB2312" w:hAnsi="宋体" w:eastAsia="仿宋_GB2312" w:cs="宋体"/>
          <w:color w:val="000000"/>
          <w:kern w:val="0"/>
          <w:sz w:val="28"/>
          <w:szCs w:val="28"/>
          <w:lang w:val="en-US" w:eastAsia="zh-CN"/>
        </w:rPr>
        <w:t>3.38</w:t>
      </w:r>
      <w:r>
        <w:rPr>
          <w:rFonts w:hint="eastAsia" w:ascii="仿宋_GB2312" w:hAnsi="宋体" w:eastAsia="仿宋_GB2312" w:cs="宋体"/>
          <w:color w:val="000000"/>
          <w:kern w:val="0"/>
          <w:sz w:val="28"/>
          <w:szCs w:val="28"/>
        </w:rPr>
        <w:t>万元。</w:t>
      </w:r>
      <w:bookmarkStart w:id="19" w:name="_Hlk84844952"/>
    </w:p>
    <w:p>
      <w:pPr>
        <w:widowControl/>
        <w:wordWrap w:val="0"/>
        <w:spacing w:line="480" w:lineRule="atLeast"/>
        <w:outlineLvl w:val="0"/>
        <w:rPr>
          <w:rFonts w:ascii="黑体" w:hAnsi="黑体" w:eastAsia="黑体" w:cs="宋体"/>
          <w:b/>
          <w:bCs/>
          <w:color w:val="000000"/>
          <w:kern w:val="0"/>
          <w:sz w:val="32"/>
          <w:szCs w:val="32"/>
        </w:rPr>
      </w:pPr>
      <w:bookmarkStart w:id="20" w:name="_Toc112441234"/>
      <w:r>
        <w:rPr>
          <w:rFonts w:hint="eastAsia" w:ascii="黑体" w:hAnsi="黑体" w:eastAsia="黑体" w:cs="宋体"/>
          <w:b/>
          <w:bCs/>
          <w:color w:val="000000"/>
          <w:kern w:val="0"/>
          <w:sz w:val="32"/>
          <w:szCs w:val="32"/>
        </w:rPr>
        <w:t>五、一般公共预算当年拨款情况说明</w:t>
      </w:r>
      <w:bookmarkEnd w:id="19"/>
      <w:bookmarkEnd w:id="20"/>
    </w:p>
    <w:p>
      <w:pPr>
        <w:widowControl/>
        <w:wordWrap w:val="0"/>
        <w:spacing w:line="480" w:lineRule="atLeast"/>
        <w:ind w:firstLine="560" w:firstLineChars="200"/>
        <w:outlineLvl w:val="1"/>
        <w:rPr>
          <w:rFonts w:ascii="仿宋_GB2312" w:hAnsi="宋体" w:eastAsia="仿宋_GB2312" w:cs="宋体"/>
          <w:color w:val="000000"/>
          <w:kern w:val="0"/>
          <w:sz w:val="32"/>
          <w:szCs w:val="32"/>
        </w:rPr>
      </w:pPr>
      <w:bookmarkStart w:id="21" w:name="_Toc112441235"/>
      <w:r>
        <w:rPr>
          <w:rFonts w:hint="eastAsia" w:ascii="宋体" w:hAnsi="宋体" w:eastAsia="宋体" w:cs="宋体"/>
          <w:color w:val="000000"/>
          <w:kern w:val="0"/>
          <w:sz w:val="28"/>
          <w:szCs w:val="28"/>
        </w:rPr>
        <w:t>（一）一般公共预算当年拨款规模变化情况</w:t>
      </w:r>
      <w:bookmarkEnd w:id="21"/>
    </w:p>
    <w:p>
      <w:pPr>
        <w:widowControl/>
        <w:wordWrap w:val="0"/>
        <w:spacing w:line="480" w:lineRule="atLeast"/>
        <w:ind w:firstLine="240" w:firstLineChars="100"/>
        <w:rPr>
          <w:rFonts w:ascii="宋体" w:hAnsi="宋体" w:eastAsia="宋体" w:cs="宋体"/>
          <w:color w:val="000000"/>
          <w:kern w:val="0"/>
          <w:sz w:val="24"/>
          <w:szCs w:val="24"/>
        </w:rPr>
      </w:pPr>
      <w:r>
        <w:rPr>
          <w:rFonts w:hint="eastAsia" w:ascii="宋体" w:hAnsi="宋体" w:eastAsia="宋体" w:cs="宋体"/>
          <w:color w:val="000000"/>
          <w:kern w:val="0"/>
          <w:sz w:val="24"/>
          <w:szCs w:val="24"/>
        </w:rPr>
        <w:t>便民服务中心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年一般公共预算当年拨款</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40.63</w:t>
      </w:r>
      <w:r>
        <w:rPr>
          <w:rFonts w:hint="eastAsia" w:ascii="宋体" w:hAnsi="宋体" w:eastAsia="宋体" w:cs="宋体"/>
          <w:color w:val="000000"/>
          <w:kern w:val="0"/>
          <w:sz w:val="24"/>
          <w:szCs w:val="24"/>
        </w:rPr>
        <w:t>万元，主要是</w:t>
      </w:r>
      <w:r>
        <w:rPr>
          <w:rFonts w:hint="eastAsia" w:ascii="宋体" w:hAnsi="宋体" w:eastAsia="宋体" w:cs="宋体"/>
          <w:color w:val="000000"/>
          <w:kern w:val="0"/>
          <w:sz w:val="24"/>
          <w:szCs w:val="24"/>
          <w:lang w:val="en-US" w:eastAsia="zh-CN"/>
        </w:rPr>
        <w:t>预算按照定岗的原则，定岗人员增加了3人以及</w:t>
      </w:r>
      <w:r>
        <w:rPr>
          <w:rFonts w:hint="eastAsia" w:ascii="宋体" w:hAnsi="宋体" w:eastAsia="宋体" w:cs="宋体"/>
          <w:color w:val="000000"/>
          <w:kern w:val="0"/>
          <w:sz w:val="24"/>
          <w:szCs w:val="24"/>
        </w:rPr>
        <w:t>人员工资调标。</w:t>
      </w:r>
    </w:p>
    <w:p>
      <w:pPr>
        <w:widowControl/>
        <w:wordWrap w:val="0"/>
        <w:spacing w:line="480" w:lineRule="atLeast"/>
        <w:ind w:firstLine="560" w:firstLineChars="200"/>
        <w:outlineLvl w:val="1"/>
        <w:rPr>
          <w:rFonts w:ascii="宋体" w:hAnsi="宋体" w:eastAsia="宋体" w:cs="宋体"/>
          <w:color w:val="000000"/>
          <w:kern w:val="0"/>
          <w:sz w:val="28"/>
          <w:szCs w:val="28"/>
        </w:rPr>
      </w:pPr>
      <w:bookmarkStart w:id="22" w:name="_Toc112441236"/>
      <w:r>
        <w:rPr>
          <w:rFonts w:hint="eastAsia" w:ascii="宋体" w:hAnsi="宋体" w:eastAsia="宋体" w:cs="宋体"/>
          <w:color w:val="000000"/>
          <w:kern w:val="0"/>
          <w:sz w:val="28"/>
          <w:szCs w:val="28"/>
        </w:rPr>
        <w:t>（二）一般公共预算当年拨款结构情况</w:t>
      </w:r>
      <w:bookmarkEnd w:id="22"/>
    </w:p>
    <w:p>
      <w:pPr>
        <w:widowControl/>
        <w:wordWrap w:val="0"/>
        <w:spacing w:line="480" w:lineRule="atLeast"/>
        <w:ind w:firstLine="480" w:firstLineChars="200"/>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社会保障和就业支出</w:t>
      </w:r>
      <w:r>
        <w:rPr>
          <w:rFonts w:hint="eastAsia" w:ascii="宋体" w:hAnsi="宋体" w:eastAsia="宋体" w:cs="宋体"/>
          <w:color w:val="000000"/>
          <w:kern w:val="0"/>
          <w:sz w:val="24"/>
          <w:szCs w:val="24"/>
          <w:lang w:val="en-US" w:eastAsia="zh-CN"/>
        </w:rPr>
        <w:t>3.85</w:t>
      </w:r>
      <w:r>
        <w:rPr>
          <w:rFonts w:hint="eastAsia" w:ascii="宋体" w:hAnsi="宋体" w:eastAsia="宋体" w:cs="宋体"/>
          <w:color w:val="000000"/>
          <w:kern w:val="0"/>
          <w:sz w:val="24"/>
          <w:szCs w:val="24"/>
        </w:rPr>
        <w:t>万元、</w:t>
      </w:r>
      <w:r>
        <w:rPr>
          <w:rFonts w:hint="eastAsia" w:ascii="仿宋_GB2312" w:hAnsi="宋体" w:eastAsia="仿宋_GB2312" w:cs="宋体"/>
          <w:color w:val="000000"/>
          <w:kern w:val="0"/>
          <w:sz w:val="28"/>
          <w:szCs w:val="28"/>
          <w:lang w:val="en-US" w:eastAsia="zh-CN"/>
        </w:rPr>
        <w:t>卫生健康</w:t>
      </w:r>
      <w:r>
        <w:rPr>
          <w:rFonts w:hint="eastAsia" w:ascii="仿宋_GB2312" w:hAnsi="宋体" w:eastAsia="仿宋_GB2312" w:cs="宋体"/>
          <w:color w:val="000000"/>
          <w:kern w:val="0"/>
          <w:sz w:val="28"/>
          <w:szCs w:val="28"/>
        </w:rPr>
        <w:t>支出</w:t>
      </w:r>
      <w:r>
        <w:rPr>
          <w:rFonts w:hint="eastAsia" w:ascii="宋体" w:hAnsi="宋体" w:eastAsia="宋体" w:cs="宋体"/>
          <w:color w:val="000000"/>
          <w:kern w:val="0"/>
          <w:sz w:val="24"/>
          <w:szCs w:val="24"/>
          <w:lang w:val="en-US" w:eastAsia="zh-CN"/>
        </w:rPr>
        <w:t>1.3</w:t>
      </w:r>
      <w:r>
        <w:rPr>
          <w:rFonts w:hint="eastAsia" w:ascii="宋体" w:hAnsi="宋体" w:eastAsia="宋体" w:cs="宋体"/>
          <w:color w:val="000000"/>
          <w:kern w:val="0"/>
          <w:sz w:val="24"/>
          <w:szCs w:val="24"/>
        </w:rPr>
        <w:t>万元、</w:t>
      </w:r>
      <w:r>
        <w:rPr>
          <w:rFonts w:hint="eastAsia" w:ascii="仿宋_GB2312" w:hAnsi="宋体" w:eastAsia="仿宋_GB2312" w:cs="宋体"/>
          <w:color w:val="000000"/>
          <w:kern w:val="0"/>
          <w:sz w:val="28"/>
          <w:szCs w:val="28"/>
          <w:lang w:val="en-US" w:eastAsia="zh-CN"/>
        </w:rPr>
        <w:t>资源勘探工业信息等支出32.10万元、</w:t>
      </w:r>
      <w:r>
        <w:rPr>
          <w:rFonts w:hint="eastAsia" w:ascii="宋体" w:hAnsi="宋体" w:eastAsia="宋体" w:cs="宋体"/>
          <w:color w:val="000000"/>
          <w:kern w:val="0"/>
          <w:sz w:val="24"/>
          <w:szCs w:val="24"/>
        </w:rPr>
        <w:t>住房保障支出</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3.38</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eastAsia="zh-CN"/>
        </w:rPr>
        <w:t>。</w:t>
      </w:r>
    </w:p>
    <w:p>
      <w:pPr>
        <w:ind w:firstLine="560" w:firstLineChars="200"/>
        <w:outlineLvl w:val="1"/>
        <w:rPr>
          <w:rFonts w:hint="eastAsia" w:ascii="仿宋_GB2312" w:hAnsi="宋体" w:eastAsia="宋体" w:cs="宋体"/>
          <w:color w:val="000000"/>
          <w:kern w:val="0"/>
          <w:sz w:val="28"/>
          <w:szCs w:val="28"/>
          <w:lang w:eastAsia="zh-CN"/>
        </w:rPr>
      </w:pPr>
      <w:bookmarkStart w:id="23" w:name="_Toc112441237"/>
      <w:r>
        <w:rPr>
          <w:rFonts w:hint="eastAsia" w:ascii="宋体" w:hAnsi="宋体" w:eastAsia="宋体" w:cs="宋体"/>
          <w:color w:val="000000"/>
          <w:kern w:val="0"/>
          <w:sz w:val="28"/>
          <w:szCs w:val="28"/>
        </w:rPr>
        <w:t>（三）一般公共预算当年拨款具体使用情况</w:t>
      </w:r>
      <w:bookmarkEnd w:id="23"/>
      <w:r>
        <w:rPr>
          <w:rFonts w:hint="eastAsia" w:ascii="宋体" w:hAnsi="宋体" w:eastAsia="宋体" w:cs="宋体"/>
          <w:color w:val="000000"/>
          <w:kern w:val="0"/>
          <w:sz w:val="28"/>
          <w:szCs w:val="28"/>
          <w:lang w:eastAsia="zh-CN"/>
        </w:rPr>
        <w:t>。</w:t>
      </w:r>
    </w:p>
    <w:p>
      <w:pPr>
        <w:widowControl/>
        <w:wordWrap w:val="0"/>
        <w:spacing w:line="480" w:lineRule="atLeast"/>
        <w:ind w:firstLine="560" w:firstLineChars="200"/>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1</w:t>
      </w:r>
      <w:r>
        <w:rPr>
          <w:rFonts w:hint="eastAsia" w:ascii="仿宋_GB2312" w:hAnsi="宋体" w:eastAsia="仿宋_GB2312" w:cs="宋体"/>
          <w:color w:val="000000"/>
          <w:kern w:val="0"/>
          <w:sz w:val="28"/>
          <w:szCs w:val="28"/>
        </w:rPr>
        <w:t>、社会保障和就业支出(类)行政事业单位离退休(款)机关事业单位基本养老保险缴费支出(项)</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年预算数为</w:t>
      </w:r>
      <w:r>
        <w:rPr>
          <w:rFonts w:hint="eastAsia" w:ascii="仿宋_GB2312" w:hAnsi="宋体" w:eastAsia="仿宋_GB2312" w:cs="宋体"/>
          <w:color w:val="000000"/>
          <w:kern w:val="0"/>
          <w:sz w:val="28"/>
          <w:szCs w:val="28"/>
          <w:lang w:val="en-US" w:eastAsia="zh-CN"/>
        </w:rPr>
        <w:t>3.85</w:t>
      </w:r>
      <w:r>
        <w:rPr>
          <w:rFonts w:hint="eastAsia" w:ascii="仿宋_GB2312" w:hAnsi="宋体" w:eastAsia="仿宋_GB2312" w:cs="宋体"/>
          <w:color w:val="000000"/>
          <w:kern w:val="0"/>
          <w:sz w:val="28"/>
          <w:szCs w:val="28"/>
        </w:rPr>
        <w:t xml:space="preserve">万元，主要用于实施养老保险制度后，部门按规定由单位缴纳的基本养老保险费支出。 </w:t>
      </w:r>
    </w:p>
    <w:p>
      <w:pPr>
        <w:widowControl/>
        <w:wordWrap w:val="0"/>
        <w:spacing w:line="480" w:lineRule="atLeast"/>
        <w:ind w:firstLine="560" w:firstLineChars="200"/>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卫生健康</w:t>
      </w:r>
      <w:r>
        <w:rPr>
          <w:rFonts w:hint="eastAsia" w:ascii="仿宋_GB2312" w:hAnsi="宋体" w:eastAsia="仿宋_GB2312" w:cs="宋体"/>
          <w:color w:val="000000"/>
          <w:kern w:val="0"/>
          <w:sz w:val="28"/>
          <w:szCs w:val="28"/>
        </w:rPr>
        <w:t>支出(类)行政事业单位医疗(款)事业单位医疗(项)</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年预算数为</w:t>
      </w:r>
      <w:r>
        <w:rPr>
          <w:rFonts w:hint="eastAsia" w:ascii="仿宋_GB2312" w:hAnsi="宋体" w:eastAsia="仿宋_GB2312" w:cs="宋体"/>
          <w:color w:val="000000"/>
          <w:kern w:val="0"/>
          <w:sz w:val="28"/>
          <w:szCs w:val="28"/>
          <w:lang w:val="en-US" w:eastAsia="zh-CN"/>
        </w:rPr>
        <w:t>1.30</w:t>
      </w:r>
      <w:r>
        <w:rPr>
          <w:rFonts w:hint="eastAsia" w:ascii="仿宋_GB2312" w:hAnsi="宋体" w:eastAsia="仿宋_GB2312" w:cs="宋体"/>
          <w:color w:val="000000"/>
          <w:kern w:val="0"/>
          <w:sz w:val="28"/>
          <w:szCs w:val="28"/>
        </w:rPr>
        <w:t>元，主要用于事业单位基本医疗保险缴费支出。</w:t>
      </w:r>
    </w:p>
    <w:p>
      <w:pPr>
        <w:widowControl/>
        <w:wordWrap w:val="0"/>
        <w:spacing w:line="480" w:lineRule="atLeast"/>
        <w:ind w:firstLine="560" w:firstLineChars="200"/>
        <w:rPr>
          <w:rFonts w:hint="default"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3、资源勘探工业信息等支出32.10万元，主要用于其他支持中小企业发展和管理支出。</w:t>
      </w:r>
    </w:p>
    <w:p>
      <w:pPr>
        <w:widowControl/>
        <w:wordWrap w:val="0"/>
        <w:spacing w:line="480" w:lineRule="atLeast"/>
        <w:ind w:firstLine="560" w:firstLineChars="200"/>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4</w:t>
      </w:r>
      <w:r>
        <w:rPr>
          <w:rFonts w:hint="eastAsia" w:ascii="仿宋_GB2312" w:hAnsi="宋体" w:eastAsia="仿宋_GB2312" w:cs="宋体"/>
          <w:color w:val="000000"/>
          <w:kern w:val="0"/>
          <w:sz w:val="28"/>
          <w:szCs w:val="28"/>
        </w:rPr>
        <w:t>、住房保障（类）住房改革支出（款）住房公积金（项）:</w:t>
      </w:r>
      <w:r>
        <w:rPr>
          <w:rFonts w:hint="eastAsia" w:ascii="仿宋_GB2312" w:hAnsi="宋体" w:eastAsia="仿宋_GB2312" w:cs="宋体"/>
          <w:color w:val="000000"/>
          <w:kern w:val="0"/>
          <w:sz w:val="28"/>
          <w:szCs w:val="28"/>
          <w:lang w:eastAsia="zh-CN"/>
        </w:rPr>
        <w:t>2024</w:t>
      </w:r>
      <w:r>
        <w:rPr>
          <w:rFonts w:hint="eastAsia" w:ascii="仿宋_GB2312" w:hAnsi="宋体" w:eastAsia="仿宋_GB2312" w:cs="宋体"/>
          <w:color w:val="000000"/>
          <w:kern w:val="0"/>
          <w:sz w:val="28"/>
          <w:szCs w:val="28"/>
        </w:rPr>
        <w:t>年预算数为</w:t>
      </w:r>
      <w:r>
        <w:rPr>
          <w:rFonts w:hint="eastAsia" w:ascii="仿宋_GB2312" w:hAnsi="宋体" w:eastAsia="仿宋_GB2312" w:cs="宋体"/>
          <w:color w:val="000000"/>
          <w:kern w:val="0"/>
          <w:sz w:val="28"/>
          <w:szCs w:val="28"/>
          <w:lang w:val="en-US" w:eastAsia="zh-CN"/>
        </w:rPr>
        <w:t>3.38</w:t>
      </w:r>
      <w:r>
        <w:rPr>
          <w:rFonts w:hint="eastAsia" w:ascii="仿宋_GB2312" w:hAnsi="宋体" w:eastAsia="仿宋_GB2312" w:cs="宋体"/>
          <w:color w:val="000000"/>
          <w:kern w:val="0"/>
          <w:sz w:val="28"/>
          <w:szCs w:val="28"/>
        </w:rPr>
        <w:t>万元，主要用于：部门按人力资源和社会保障部、财政部规定的基本工资和津贴补贴以及规定比例为职工缴纳的住房公积金支出</w:t>
      </w:r>
      <w:r>
        <w:rPr>
          <w:rFonts w:hint="eastAsia" w:ascii="仿宋_GB2312" w:hAnsi="宋体" w:eastAsia="仿宋_GB2312" w:cs="宋体"/>
          <w:color w:val="000000"/>
          <w:kern w:val="0"/>
          <w:sz w:val="28"/>
          <w:szCs w:val="28"/>
          <w:lang w:val="en-US" w:eastAsia="zh-CN"/>
        </w:rPr>
        <w:t>.</w:t>
      </w:r>
    </w:p>
    <w:p>
      <w:pPr>
        <w:widowControl/>
        <w:wordWrap w:val="0"/>
        <w:spacing w:line="480" w:lineRule="atLeast"/>
        <w:outlineLvl w:val="0"/>
        <w:rPr>
          <w:rFonts w:ascii="仿宋_GB2312" w:hAnsi="宋体" w:eastAsia="仿宋_GB2312" w:cs="宋体"/>
          <w:b/>
          <w:bCs/>
          <w:color w:val="000000"/>
          <w:kern w:val="0"/>
          <w:sz w:val="32"/>
          <w:szCs w:val="32"/>
        </w:rPr>
      </w:pPr>
      <w:bookmarkStart w:id="24" w:name="_Toc112441238"/>
      <w:bookmarkStart w:id="25" w:name="_Hlk84844977"/>
      <w:r>
        <w:rPr>
          <w:rFonts w:hint="eastAsia" w:ascii="黑体" w:hAnsi="黑体" w:eastAsia="黑体" w:cs="宋体"/>
          <w:b/>
          <w:bCs/>
          <w:color w:val="000000"/>
          <w:kern w:val="0"/>
          <w:sz w:val="32"/>
          <w:szCs w:val="32"/>
        </w:rPr>
        <w:t>六、一般公共预算基本支出情况说明</w:t>
      </w:r>
      <w:bookmarkEnd w:id="24"/>
      <w:bookmarkEnd w:id="25"/>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便民服务中心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年一般公共预算基本支出</w:t>
      </w:r>
      <w:r>
        <w:rPr>
          <w:rFonts w:hint="eastAsia" w:ascii="宋体" w:hAnsi="宋体" w:eastAsia="宋体" w:cs="宋体"/>
          <w:color w:val="000000"/>
          <w:kern w:val="0"/>
          <w:sz w:val="24"/>
          <w:szCs w:val="24"/>
          <w:lang w:val="en-US" w:eastAsia="zh-CN"/>
        </w:rPr>
        <w:t>40.63</w:t>
      </w:r>
      <w:r>
        <w:rPr>
          <w:rFonts w:hint="eastAsia" w:ascii="宋体" w:hAnsi="宋体" w:eastAsia="宋体" w:cs="宋体"/>
          <w:color w:val="000000"/>
          <w:kern w:val="0"/>
          <w:sz w:val="24"/>
          <w:szCs w:val="24"/>
        </w:rPr>
        <w:t xml:space="preserve">万元，其中: </w:t>
      </w:r>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人员经费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37.30</w:t>
      </w:r>
      <w:r>
        <w:rPr>
          <w:rFonts w:hint="eastAsia" w:ascii="宋体" w:hAnsi="宋体" w:eastAsia="宋体" w:cs="宋体"/>
          <w:color w:val="000000"/>
          <w:kern w:val="0"/>
          <w:sz w:val="24"/>
          <w:szCs w:val="24"/>
        </w:rPr>
        <w:t>万元,主要包括基本工资、津贴补贴、社会保险缴费、奖金、绩效工资、机关事业单位基本养老保险缴费、职业年金缴费、住房公积金、奖励金。</w:t>
      </w:r>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公用经费</w:t>
      </w:r>
      <w:r>
        <w:rPr>
          <w:rFonts w:hint="eastAsia" w:ascii="宋体" w:hAnsi="宋体" w:eastAsia="宋体" w:cs="宋体"/>
          <w:color w:val="000000"/>
          <w:kern w:val="0"/>
          <w:sz w:val="24"/>
          <w:szCs w:val="24"/>
          <w:lang w:val="en-US" w:eastAsia="zh-CN"/>
        </w:rPr>
        <w:t>3.33</w:t>
      </w:r>
      <w:r>
        <w:rPr>
          <w:rFonts w:hint="eastAsia" w:ascii="宋体" w:hAnsi="宋体" w:eastAsia="宋体" w:cs="宋体"/>
          <w:color w:val="000000"/>
          <w:kern w:val="0"/>
          <w:sz w:val="24"/>
          <w:szCs w:val="24"/>
        </w:rPr>
        <w:t>元，主要包括：办公费、印刷费、水费、电费、邮电费、差旅费、维修（护）费、会议费、培训费、劳务费、工会经费。</w:t>
      </w:r>
    </w:p>
    <w:p>
      <w:pPr>
        <w:widowControl/>
        <w:wordWrap w:val="0"/>
        <w:spacing w:line="480" w:lineRule="atLeast"/>
        <w:outlineLvl w:val="0"/>
        <w:rPr>
          <w:rFonts w:ascii="仿宋_GB2312" w:hAnsi="宋体" w:eastAsia="仿宋_GB2312" w:cs="宋体"/>
          <w:b/>
          <w:bCs/>
          <w:color w:val="000000"/>
          <w:kern w:val="0"/>
          <w:sz w:val="32"/>
          <w:szCs w:val="32"/>
        </w:rPr>
      </w:pPr>
      <w:bookmarkStart w:id="26" w:name="_Hlk84845006"/>
      <w:bookmarkStart w:id="27" w:name="_Toc112441239"/>
      <w:r>
        <w:rPr>
          <w:rFonts w:hint="eastAsia" w:ascii="黑体" w:hAnsi="黑体" w:eastAsia="黑体" w:cs="宋体"/>
          <w:b/>
          <w:bCs/>
          <w:color w:val="000000"/>
          <w:kern w:val="0"/>
          <w:sz w:val="32"/>
          <w:szCs w:val="32"/>
        </w:rPr>
        <w:t>七、“三公”经费财政拨款预算安排情况说明</w:t>
      </w:r>
      <w:bookmarkEnd w:id="26"/>
      <w:bookmarkEnd w:id="27"/>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便民服务中心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年“三公”经费财政拨款预算数</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0万元，其中：因公出国（境）经费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0万元，公务接待费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0万元，公务用车购置及运行维护费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w:t>
      </w:r>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便民服务中心无因公出国（境）经费。</w:t>
      </w:r>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年便民服务中心没预算公务接待费。</w:t>
      </w:r>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年便民服务中心无公务用车购置及运行维护费</w:t>
      </w:r>
    </w:p>
    <w:p>
      <w:pPr>
        <w:outlineLvl w:val="0"/>
        <w:rPr>
          <w:rFonts w:ascii="仿宋_GB2312" w:hAnsi="宋体" w:eastAsia="仿宋_GB2312" w:cs="宋体"/>
          <w:b/>
          <w:bCs/>
          <w:color w:val="000000"/>
          <w:kern w:val="0"/>
          <w:sz w:val="32"/>
          <w:szCs w:val="32"/>
        </w:rPr>
      </w:pPr>
      <w:bookmarkStart w:id="28" w:name="_Toc112441240"/>
      <w:bookmarkStart w:id="29" w:name="_Hlk84845034"/>
      <w:r>
        <w:rPr>
          <w:rFonts w:hint="eastAsia" w:ascii="黑体" w:hAnsi="黑体" w:eastAsia="黑体" w:cs="宋体"/>
          <w:b/>
          <w:bCs/>
          <w:color w:val="000000"/>
          <w:kern w:val="0"/>
          <w:sz w:val="32"/>
          <w:szCs w:val="32"/>
        </w:rPr>
        <w:t>八、政府性基金预算支出情况说明</w:t>
      </w:r>
      <w:bookmarkEnd w:id="28"/>
      <w:bookmarkEnd w:id="29"/>
    </w:p>
    <w:p>
      <w:pPr>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便民服务中心</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年没有使用政府性基金预算拨款安排的支出。</w:t>
      </w:r>
    </w:p>
    <w:p>
      <w:pPr>
        <w:outlineLvl w:val="0"/>
        <w:rPr>
          <w:rFonts w:ascii="仿宋_GB2312" w:hAnsi="宋体" w:eastAsia="仿宋_GB2312" w:cs="宋体"/>
          <w:b/>
          <w:bCs/>
          <w:color w:val="000000"/>
          <w:kern w:val="0"/>
          <w:sz w:val="32"/>
          <w:szCs w:val="32"/>
        </w:rPr>
      </w:pPr>
      <w:bookmarkStart w:id="30" w:name="_Toc112441241"/>
      <w:bookmarkStart w:id="31" w:name="_Hlk84845058"/>
      <w:r>
        <w:rPr>
          <w:rFonts w:hint="eastAsia" w:ascii="黑体" w:hAnsi="黑体" w:eastAsia="黑体" w:cs="宋体"/>
          <w:b/>
          <w:bCs/>
          <w:color w:val="000000"/>
          <w:kern w:val="0"/>
          <w:sz w:val="32"/>
          <w:szCs w:val="32"/>
        </w:rPr>
        <w:t>九、其他重要事项的情况说明</w:t>
      </w:r>
      <w:bookmarkEnd w:id="30"/>
      <w:bookmarkEnd w:id="31"/>
    </w:p>
    <w:p>
      <w:pPr>
        <w:ind w:firstLine="560" w:firstLineChars="200"/>
        <w:outlineLvl w:val="1"/>
        <w:rPr>
          <w:rFonts w:ascii="宋体" w:hAnsi="宋体" w:eastAsia="宋体"/>
          <w:color w:val="000000"/>
          <w:sz w:val="32"/>
          <w:szCs w:val="32"/>
        </w:rPr>
      </w:pPr>
      <w:bookmarkStart w:id="32" w:name="_Toc112441242"/>
      <w:r>
        <w:rPr>
          <w:rStyle w:val="9"/>
          <w:rFonts w:hint="eastAsia" w:ascii="宋体" w:hAnsi="宋体" w:eastAsia="宋体"/>
          <w:b w:val="0"/>
          <w:bCs w:val="0"/>
          <w:color w:val="000000"/>
          <w:sz w:val="28"/>
          <w:szCs w:val="28"/>
        </w:rPr>
        <w:t>（一）政府采购情况</w:t>
      </w:r>
      <w:r>
        <w:rPr>
          <w:rStyle w:val="9"/>
          <w:rFonts w:hint="eastAsia" w:ascii="宋体" w:hAnsi="宋体" w:eastAsia="宋体"/>
          <w:color w:val="000000"/>
          <w:sz w:val="28"/>
          <w:szCs w:val="28"/>
        </w:rPr>
        <w:t>。</w:t>
      </w:r>
      <w:bookmarkEnd w:id="32"/>
    </w:p>
    <w:p>
      <w:pPr>
        <w:ind w:firstLine="480" w:firstLineChars="200"/>
        <w:rPr>
          <w:rFonts w:ascii="宋体" w:hAnsi="宋体" w:eastAsia="宋体"/>
          <w:color w:val="000000"/>
          <w:sz w:val="24"/>
          <w:szCs w:val="24"/>
          <w:shd w:val="clear" w:color="auto" w:fill="FFFFFF"/>
        </w:rPr>
      </w:pP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年，没有安排政府采购预算。</w:t>
      </w:r>
    </w:p>
    <w:p>
      <w:pPr>
        <w:spacing w:line="360" w:lineRule="auto"/>
        <w:ind w:firstLine="560" w:firstLineChars="200"/>
        <w:outlineLvl w:val="1"/>
        <w:rPr>
          <w:rFonts w:ascii="仿宋_GB2312" w:hAnsi="宋体" w:eastAsia="仿宋_GB2312" w:cs="宋体"/>
          <w:b/>
          <w:bCs/>
          <w:color w:val="000000"/>
          <w:kern w:val="0"/>
          <w:sz w:val="32"/>
          <w:szCs w:val="32"/>
        </w:rPr>
      </w:pPr>
      <w:bookmarkStart w:id="33" w:name="_Toc112441243"/>
      <w:r>
        <w:rPr>
          <w:rFonts w:hint="eastAsia" w:ascii="宋体" w:hAnsi="宋体" w:eastAsia="宋体" w:cs="宋体"/>
          <w:color w:val="000000"/>
          <w:kern w:val="0"/>
          <w:sz w:val="28"/>
          <w:szCs w:val="28"/>
        </w:rPr>
        <w:t>（二）绩效目标设置情况</w:t>
      </w:r>
      <w:bookmarkEnd w:id="33"/>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年财政部门通用项目和专用项目均按要求实行绩效目标管理，涉及一般公共预算当年拨款</w:t>
      </w:r>
      <w:r>
        <w:rPr>
          <w:rFonts w:hint="eastAsia" w:ascii="宋体" w:hAnsi="宋体" w:eastAsia="宋体" w:cs="宋体"/>
          <w:color w:val="000000"/>
          <w:kern w:val="0"/>
          <w:sz w:val="24"/>
          <w:szCs w:val="24"/>
          <w:lang w:val="en-US" w:eastAsia="zh-CN"/>
        </w:rPr>
        <w:t>40.63</w:t>
      </w:r>
      <w:r>
        <w:rPr>
          <w:rFonts w:hint="eastAsia" w:ascii="宋体" w:hAnsi="宋体" w:eastAsia="宋体" w:cs="宋体"/>
          <w:color w:val="000000"/>
          <w:kern w:val="0"/>
          <w:sz w:val="24"/>
          <w:szCs w:val="24"/>
        </w:rPr>
        <w:t>万元。</w:t>
      </w:r>
      <w:bookmarkStart w:id="34" w:name="_Hlk84845107"/>
    </w:p>
    <w:p>
      <w:pPr>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附件： </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年部门预算公开报表</w:t>
      </w:r>
      <w:bookmarkEnd w:id="34"/>
      <w:bookmarkStart w:id="36" w:name="_GoBack"/>
      <w:bookmarkEnd w:id="36"/>
    </w:p>
    <w:p>
      <w:pPr>
        <w:spacing w:before="312" w:beforeLines="100" w:after="312" w:afterLines="100" w:line="360" w:lineRule="auto"/>
        <w:outlineLvl w:val="0"/>
        <w:rPr>
          <w:rStyle w:val="13"/>
          <w:rFonts w:ascii="黑体" w:hAnsi="黑体" w:eastAsia="黑体" w:cs="Times New Roman"/>
          <w:bCs/>
          <w:kern w:val="2"/>
          <w:sz w:val="28"/>
          <w:szCs w:val="28"/>
        </w:rPr>
      </w:pPr>
      <w:bookmarkStart w:id="35" w:name="_Toc112441244"/>
      <w:r>
        <w:rPr>
          <w:rStyle w:val="13"/>
          <w:rFonts w:hint="eastAsia" w:ascii="黑体" w:hAnsi="黑体" w:eastAsia="黑体" w:cs="Times New Roman"/>
          <w:b w:val="0"/>
          <w:sz w:val="28"/>
          <w:szCs w:val="28"/>
        </w:rPr>
        <w:t>十、</w:t>
      </w:r>
      <w:r>
        <w:rPr>
          <w:rStyle w:val="13"/>
          <w:rFonts w:ascii="黑体" w:hAnsi="黑体" w:eastAsia="黑体" w:cs="Times New Roman"/>
          <w:b w:val="0"/>
          <w:sz w:val="28"/>
          <w:szCs w:val="28"/>
        </w:rPr>
        <w:t>名词解释</w:t>
      </w:r>
      <w:bookmarkEnd w:id="35"/>
    </w:p>
    <w:p>
      <w:pPr>
        <w:spacing w:before="312" w:beforeLines="100" w:after="312" w:afterLines="100" w:line="360" w:lineRule="auto"/>
        <w:ind w:firstLine="480" w:firstLineChars="200"/>
        <w:jc w:val="left"/>
        <w:rPr>
          <w:rFonts w:ascii="宋体" w:hAnsi="宋体" w:eastAsia="宋体" w:cs="Times New Roman"/>
          <w:b/>
          <w:bCs/>
          <w:sz w:val="24"/>
          <w:szCs w:val="24"/>
        </w:rPr>
      </w:pPr>
      <w:r>
        <w:rPr>
          <w:rFonts w:hint="eastAsia" w:ascii="宋体" w:hAnsi="宋体" w:eastAsia="宋体" w:cs="宋体"/>
          <w:sz w:val="24"/>
          <w:szCs w:val="24"/>
        </w:rPr>
        <w:t>1、</w:t>
      </w:r>
      <w:r>
        <w:rPr>
          <w:rFonts w:ascii="宋体" w:hAnsi="宋体" w:eastAsia="宋体" w:cs="宋体"/>
          <w:sz w:val="24"/>
          <w:szCs w:val="24"/>
        </w:rPr>
        <w:t>财政拨款收入：指单位从同级财政部门取得的财政预算资金。</w:t>
      </w:r>
    </w:p>
    <w:p>
      <w:pPr>
        <w:spacing w:before="312" w:beforeLines="100" w:after="312" w:afterLines="100" w:line="360" w:lineRule="auto"/>
        <w:ind w:firstLine="480" w:firstLineChars="200"/>
        <w:jc w:val="left"/>
        <w:rPr>
          <w:rFonts w:ascii="宋体" w:hAnsi="宋体" w:eastAsia="宋体" w:cs="Times New Roman"/>
          <w:b/>
          <w:bCs/>
          <w:sz w:val="24"/>
          <w:szCs w:val="24"/>
        </w:rPr>
      </w:pPr>
      <w:r>
        <w:rPr>
          <w:rFonts w:hint="eastAsia" w:ascii="宋体" w:hAnsi="宋体" w:eastAsia="宋体" w:cs="宋体"/>
          <w:sz w:val="24"/>
          <w:szCs w:val="24"/>
        </w:rPr>
        <w:t>2、</w:t>
      </w:r>
      <w:r>
        <w:rPr>
          <w:rFonts w:ascii="宋体" w:hAnsi="宋体" w:eastAsia="宋体" w:cs="宋体"/>
          <w:sz w:val="24"/>
          <w:szCs w:val="24"/>
        </w:rPr>
        <w:t>事业收入：指事业单位开展专业业务活动及辅助活动取得的收入。</w:t>
      </w:r>
    </w:p>
    <w:p>
      <w:pPr>
        <w:pStyle w:val="14"/>
        <w:spacing w:line="360" w:lineRule="auto"/>
        <w:ind w:firstLine="480" w:firstLineChars="200"/>
        <w:rPr>
          <w:rFonts w:ascii="宋体" w:hAnsi="宋体" w:eastAsia="宋体" w:cs="宋体"/>
        </w:rPr>
      </w:pPr>
      <w:r>
        <w:rPr>
          <w:rFonts w:hint="eastAsia" w:ascii="宋体" w:hAnsi="宋体" w:eastAsia="宋体" w:cs="宋体"/>
        </w:rPr>
        <w:t>3、</w:t>
      </w:r>
      <w:r>
        <w:rPr>
          <w:rFonts w:ascii="宋体" w:hAnsi="宋体" w:eastAsia="宋体" w:cs="宋体"/>
        </w:rPr>
        <w:t>经营收入：指事业单位在专业业务活动及其辅助活动之外开展非独立核算经营活动取得的收入。</w:t>
      </w:r>
    </w:p>
    <w:p>
      <w:pPr>
        <w:pStyle w:val="14"/>
        <w:spacing w:line="360" w:lineRule="auto"/>
        <w:ind w:firstLine="480" w:firstLineChars="200"/>
        <w:rPr>
          <w:rFonts w:ascii="宋体" w:hAnsi="宋体" w:eastAsia="宋体" w:cs="宋体"/>
        </w:rPr>
      </w:pPr>
      <w:r>
        <w:rPr>
          <w:rFonts w:ascii="宋体" w:hAnsi="宋体" w:eastAsia="宋体" w:cs="宋体"/>
        </w:rPr>
        <w:t>4</w:t>
      </w:r>
      <w:r>
        <w:rPr>
          <w:rFonts w:hint="eastAsia" w:ascii="宋体" w:hAnsi="宋体" w:eastAsia="宋体" w:cs="宋体"/>
        </w:rPr>
        <w:t>、</w:t>
      </w:r>
      <w:r>
        <w:rPr>
          <w:rFonts w:ascii="宋体" w:hAnsi="宋体" w:eastAsia="宋体" w:cs="宋体"/>
        </w:rPr>
        <w:t>其他收入：指单位取得的除上述收入以外的各项收入。</w:t>
      </w:r>
    </w:p>
    <w:p>
      <w:pPr>
        <w:pStyle w:val="14"/>
        <w:spacing w:line="360" w:lineRule="auto"/>
        <w:ind w:firstLine="480" w:firstLineChars="200"/>
        <w:rPr>
          <w:rFonts w:ascii="宋体" w:hAnsi="宋体" w:eastAsia="宋体" w:cs="宋体"/>
        </w:rPr>
      </w:pPr>
      <w:r>
        <w:rPr>
          <w:rFonts w:ascii="宋体" w:hAnsi="宋体" w:eastAsia="宋体" w:cs="宋体"/>
        </w:rPr>
        <w:t>5</w:t>
      </w:r>
      <w:r>
        <w:rPr>
          <w:rFonts w:hint="eastAsia" w:ascii="宋体" w:hAnsi="宋体" w:eastAsia="宋体" w:cs="宋体"/>
        </w:rPr>
        <w:t>、</w:t>
      </w:r>
      <w:r>
        <w:rPr>
          <w:rFonts w:ascii="宋体" w:hAnsi="宋体" w:eastAsia="宋体" w:cs="宋体"/>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4"/>
        <w:spacing w:line="360" w:lineRule="auto"/>
        <w:ind w:firstLine="480" w:firstLineChars="200"/>
        <w:rPr>
          <w:rFonts w:ascii="宋体" w:hAnsi="宋体" w:eastAsia="宋体" w:cs="宋体"/>
        </w:rPr>
      </w:pPr>
      <w:r>
        <w:rPr>
          <w:rFonts w:ascii="宋体" w:hAnsi="宋体" w:eastAsia="宋体" w:cs="宋体"/>
        </w:rPr>
        <w:t>6</w:t>
      </w:r>
      <w:r>
        <w:rPr>
          <w:rFonts w:hint="eastAsia" w:ascii="宋体" w:hAnsi="宋体" w:eastAsia="宋体" w:cs="宋体"/>
        </w:rPr>
        <w:t>、</w:t>
      </w:r>
      <w:r>
        <w:rPr>
          <w:rFonts w:ascii="宋体" w:hAnsi="宋体" w:eastAsia="宋体" w:cs="宋体"/>
        </w:rPr>
        <w:t xml:space="preserve">年初结转和结余：指以前年度尚未完成、结转到本年按有关规定继续使用的资金。 </w:t>
      </w:r>
    </w:p>
    <w:p>
      <w:pPr>
        <w:pStyle w:val="14"/>
        <w:spacing w:line="360" w:lineRule="auto"/>
        <w:ind w:firstLine="480" w:firstLineChars="200"/>
        <w:rPr>
          <w:rFonts w:ascii="宋体" w:hAnsi="宋体" w:eastAsia="宋体" w:cs="宋体"/>
        </w:rPr>
      </w:pPr>
      <w:r>
        <w:rPr>
          <w:rFonts w:ascii="宋体" w:hAnsi="宋体" w:eastAsia="宋体" w:cs="宋体"/>
        </w:rPr>
        <w:t>7</w:t>
      </w:r>
      <w:r>
        <w:rPr>
          <w:rFonts w:hint="eastAsia" w:ascii="宋体" w:hAnsi="宋体" w:eastAsia="宋体" w:cs="宋体"/>
        </w:rPr>
        <w:t>、</w:t>
      </w:r>
      <w:r>
        <w:rPr>
          <w:rFonts w:ascii="宋体" w:hAnsi="宋体" w:eastAsia="宋体" w:cs="宋体"/>
        </w:rPr>
        <w:t>结余分配：指事业单位按照事业单位会计制度的规定从非财政补助结余中分配的事业基金和职工福利基金等。</w:t>
      </w:r>
    </w:p>
    <w:p>
      <w:pPr>
        <w:pStyle w:val="14"/>
        <w:spacing w:line="360" w:lineRule="auto"/>
        <w:ind w:firstLine="480" w:firstLineChars="200"/>
        <w:rPr>
          <w:rFonts w:ascii="宋体" w:hAnsi="宋体" w:eastAsia="宋体" w:cs="宋体"/>
        </w:rPr>
      </w:pPr>
      <w:r>
        <w:rPr>
          <w:rFonts w:ascii="宋体" w:hAnsi="宋体" w:eastAsia="宋体" w:cs="宋体"/>
        </w:rPr>
        <w:t>8</w:t>
      </w:r>
      <w:r>
        <w:rPr>
          <w:rFonts w:hint="eastAsia" w:ascii="宋体" w:hAnsi="宋体" w:eastAsia="宋体" w:cs="宋体"/>
        </w:rPr>
        <w:t>、</w:t>
      </w:r>
      <w:r>
        <w:rPr>
          <w:rFonts w:ascii="宋体" w:hAnsi="宋体" w:eastAsia="宋体" w:cs="宋体"/>
        </w:rPr>
        <w:t>年末结转和结余：指单位按有关规定结转到下年或以后年度继续使用的资金。</w:t>
      </w:r>
    </w:p>
    <w:p>
      <w:pPr>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9</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一般公共服务（类）</w:t>
      </w:r>
      <w:r>
        <w:rPr>
          <w:rFonts w:hint="eastAsia" w:ascii="宋体" w:hAnsi="宋体" w:eastAsia="宋体" w:cs="宋体"/>
          <w:color w:val="000000"/>
          <w:kern w:val="0"/>
          <w:sz w:val="24"/>
          <w:szCs w:val="24"/>
        </w:rPr>
        <w:t>其他一般公共服务支出</w:t>
      </w:r>
      <w:r>
        <w:rPr>
          <w:rFonts w:ascii="宋体" w:hAnsi="宋体" w:eastAsia="宋体" w:cs="宋体"/>
          <w:color w:val="000000"/>
          <w:kern w:val="0"/>
          <w:sz w:val="24"/>
          <w:szCs w:val="24"/>
        </w:rPr>
        <w:t>（款）</w:t>
      </w:r>
      <w:r>
        <w:rPr>
          <w:rFonts w:hint="eastAsia" w:ascii="宋体" w:hAnsi="宋体" w:eastAsia="宋体" w:cs="宋体"/>
          <w:color w:val="000000"/>
          <w:kern w:val="0"/>
          <w:sz w:val="24"/>
          <w:szCs w:val="24"/>
        </w:rPr>
        <w:t>其他一般公共服务支出</w:t>
      </w:r>
      <w:r>
        <w:rPr>
          <w:rFonts w:ascii="宋体" w:hAnsi="宋体" w:eastAsia="宋体" w:cs="宋体"/>
          <w:color w:val="000000"/>
          <w:kern w:val="0"/>
          <w:sz w:val="24"/>
          <w:szCs w:val="24"/>
        </w:rPr>
        <w:t>（项）: 指</w:t>
      </w:r>
      <w:r>
        <w:rPr>
          <w:rFonts w:hint="eastAsia" w:ascii="宋体" w:hAnsi="宋体" w:eastAsia="宋体" w:cs="宋体"/>
          <w:color w:val="000000"/>
          <w:kern w:val="0"/>
          <w:sz w:val="24"/>
          <w:szCs w:val="24"/>
        </w:rPr>
        <w:t>便民服务中心</w:t>
      </w:r>
      <w:r>
        <w:rPr>
          <w:rFonts w:ascii="宋体" w:hAnsi="宋体" w:eastAsia="宋体" w:cs="宋体"/>
          <w:color w:val="000000"/>
          <w:kern w:val="0"/>
          <w:sz w:val="24"/>
          <w:szCs w:val="24"/>
        </w:rPr>
        <w:t>正常运转的基本支出，包括基本工资、津贴补贴等人员经费以及办公费、印刷费、水电费等日常公用经费。</w:t>
      </w:r>
    </w:p>
    <w:p>
      <w:pPr>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社会保障和就业支出（类）行政事业单位离退休（款）机关事业单位基本养老保险缴费支出（项）:指实施养老保险制度后，部门按规定由单位缴纳的基本养老保险费支出。</w:t>
      </w:r>
    </w:p>
    <w:p>
      <w:p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卫生健康支出（类）行政事业单位医疗（款）行政单位医疗（项）:指机关及参公管理事业单位基本医疗保险缴费支出。</w:t>
      </w:r>
    </w:p>
    <w:p>
      <w:pPr>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w:t>
      </w:r>
      <w:r>
        <w:rPr>
          <w:rFonts w:hint="eastAsia" w:ascii="宋体" w:hAnsi="宋体" w:eastAsia="宋体" w:cs="宋体"/>
          <w:color w:val="000000"/>
          <w:kern w:val="0"/>
          <w:sz w:val="24"/>
          <w:szCs w:val="24"/>
        </w:rPr>
        <w:t>公务员</w:t>
      </w:r>
      <w:r>
        <w:rPr>
          <w:rFonts w:ascii="宋体" w:hAnsi="宋体" w:eastAsia="宋体" w:cs="宋体"/>
          <w:color w:val="000000"/>
          <w:kern w:val="0"/>
          <w:sz w:val="24"/>
          <w:szCs w:val="24"/>
        </w:rPr>
        <w:t>医疗</w:t>
      </w:r>
      <w:r>
        <w:rPr>
          <w:rFonts w:hint="eastAsia" w:ascii="宋体" w:hAnsi="宋体" w:eastAsia="宋体" w:cs="宋体"/>
          <w:color w:val="000000"/>
          <w:kern w:val="0"/>
          <w:sz w:val="24"/>
          <w:szCs w:val="24"/>
        </w:rPr>
        <w:t>补助</w:t>
      </w:r>
      <w:r>
        <w:rPr>
          <w:rFonts w:ascii="宋体" w:hAnsi="宋体" w:eastAsia="宋体" w:cs="宋体"/>
          <w:color w:val="000000"/>
          <w:kern w:val="0"/>
          <w:sz w:val="24"/>
          <w:szCs w:val="24"/>
        </w:rPr>
        <w:t>（项）:</w:t>
      </w:r>
      <w:r>
        <w:rPr>
          <w:rFonts w:hint="eastAsia" w:ascii="宋体" w:hAnsi="宋体" w:eastAsia="宋体" w:cs="宋体"/>
          <w:color w:val="000000"/>
          <w:kern w:val="0"/>
          <w:sz w:val="24"/>
          <w:szCs w:val="24"/>
        </w:rPr>
        <w:t>反映财政部门安排的公务员医疗补助经费</w:t>
      </w:r>
      <w:r>
        <w:rPr>
          <w:rFonts w:ascii="宋体" w:hAnsi="宋体" w:eastAsia="宋体" w:cs="宋体"/>
          <w:color w:val="000000"/>
          <w:kern w:val="0"/>
          <w:sz w:val="24"/>
          <w:szCs w:val="24"/>
        </w:rPr>
        <w:t>。</w:t>
      </w:r>
    </w:p>
    <w:p>
      <w:pPr>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住房保障（类）住房改革支出（款）住房公积金（项）:指部门按人力资源和社会保障部、财政部规定的基本工资和津贴补贴以及规定比例为职工缴纳的住房公积金支出。</w:t>
      </w:r>
    </w:p>
    <w:p>
      <w:p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基本支出：指为保障机构正常运转、完成日常工作任务而发生的人员支出和公用支出。</w:t>
      </w:r>
    </w:p>
    <w:p>
      <w:pPr>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项目支出：指在基本支出之外为完成特定行政任务和事业发展目标所发生的支出。 </w:t>
      </w:r>
    </w:p>
    <w:p>
      <w:pPr>
        <w:pStyle w:val="14"/>
        <w:spacing w:line="360" w:lineRule="auto"/>
        <w:ind w:firstLine="480" w:firstLineChars="200"/>
        <w:rPr>
          <w:rFonts w:ascii="仿宋_GB2312" w:hAnsi="宋体" w:eastAsia="仿宋_GB2312" w:cs="宋体"/>
          <w:sz w:val="32"/>
          <w:szCs w:val="32"/>
        </w:rPr>
      </w:pPr>
      <w:r>
        <w:rPr>
          <w:rFonts w:ascii="宋体" w:hAnsi="宋体" w:eastAsia="宋体" w:cs="宋体"/>
        </w:rPr>
        <w:t>16</w:t>
      </w:r>
      <w:r>
        <w:rPr>
          <w:rFonts w:hint="eastAsia" w:ascii="宋体" w:hAnsi="宋体" w:eastAsia="宋体" w:cs="宋体"/>
        </w:rPr>
        <w:t>、</w:t>
      </w:r>
      <w:r>
        <w:rPr>
          <w:rFonts w:ascii="宋体" w:hAnsi="宋体" w:eastAsia="宋体" w:cs="宋体"/>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仿宋_GB2312" w:hAnsi="宋体" w:eastAsia="仿宋_GB2312" w:cs="宋体"/>
          <w:sz w:val="32"/>
          <w:szCs w:val="32"/>
        </w:rPr>
        <w:t>。</w:t>
      </w:r>
    </w:p>
    <w:p>
      <w:pPr>
        <w:rPr>
          <w:rFonts w:ascii="仿宋_GB2312" w:hAnsi="宋体" w:eastAsia="仿宋_GB2312" w:cs="宋体"/>
          <w:color w:val="000000"/>
          <w:kern w:val="0"/>
          <w:sz w:val="32"/>
          <w:szCs w:val="32"/>
        </w:rPr>
      </w:pPr>
    </w:p>
    <w:p>
      <w:pPr>
        <w:widowControl/>
        <w:wordWrap w:val="0"/>
        <w:spacing w:line="480" w:lineRule="atLeast"/>
        <w:sectPr>
          <w:footerReference r:id="rId7" w:type="default"/>
          <w:pgSz w:w="11906" w:h="16838"/>
          <w:pgMar w:top="1440" w:right="1800" w:bottom="1440" w:left="1800" w:header="851" w:footer="992" w:gutter="0"/>
          <w:cols w:space="720" w:num="1"/>
          <w:docGrid w:type="lines" w:linePitch="312" w:charSpace="0"/>
        </w:sectPr>
      </w:pPr>
    </w:p>
    <w:p>
      <w:pPr>
        <w:widowControl/>
        <w:wordWrap w:val="0"/>
        <w:spacing w:line="480" w:lineRule="atLeast"/>
      </w:pPr>
    </w:p>
    <w:sectPr>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1">
                      <a:spAutoFit/>
                    </wps:bodyPr>
                  </wps:wsp>
                </a:graphicData>
              </a:graphic>
            </wp:anchor>
          </w:drawing>
        </mc:Choice>
        <mc:Fallback>
          <w:pict>
            <v:shape id="文本框4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vp8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18v&#10;c3v6ADVmPQTMS8OdH3BpZj+gM6seVLT5i3oIxrG552tz5ZCIyI/Wq/W6wpDA2HxBfPb4PERIb6W3&#10;JBsNjTi90lR+eg9pTJ1TcjXn77UxZYLG/eVAzOxhmfvIMVtp2A+ToL1vz6inx8E31OGeU2LeOexr&#10;3pHZiLOxn41jiPrQIbVl4QXh9piQROGWK4ywU2GcWFE3bVdeiT/vJevxj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v6+n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aUieMkBAACZAwAADgAAAGRycy9lMm9Eb2MueG1srVPNjtMwEL4j8Q6W&#10;79RpV6AqaroCVYuQECAtPIDr2I0l/8njNukLwBtw4sKd5+pzMHaSLiyXPXBxxjPjb75vZrK5Hawh&#10;JxlBe9fQ5aKiRDrhW+0ODf3y+e7FmhJI3LXceCcbepZAb7fPn236UMuV77xpZSQI4qDuQ0O7lELN&#10;GIhOWg4LH6TDoPLR8oTXeGBt5D2iW8NWVfWK9T62IXohAdC7G4N0QoxPAfRKaSF3XhytdGlEjdLw&#10;hJKg0wHotrBVSor0USmQiZiGotJUTiyC9j6fbLvh9SHy0GkxUeBPofBIk+XaYdEr1I4nTo5R/wNl&#10;tYgevEoL4S0bhZSOoIpl9ag39x0PsmjBVkO4Nh3+H6z4cPoUiW4bekOJ4xYHfvn+7fLj1+Xn15uX&#10;uT19gBqz7gPmpeGNH3BpZj+gM6seVLT5i3oIxrG552tz5ZCIyI/Wq/W6wpDA2HxBfPbwPERIb6W3&#10;JBsNjTi90lR+eg9pTJ1TcjXn77QxZYLG/eVAzOxhmfvIMVtp2A+ToL1vz6inx8E31OGeU2LeOexr&#10;3pHZiLOxn41jiPrQIbVl4QXh9TEhicItVxhhp8I4saJu2q68En/eS9bDH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9pSJ4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wrap="none" lIns="0" tIns="0" rIns="0" bIns="0" upright="1">
                      <a:spAutoFit/>
                    </wps:bodyPr>
                  </wps:wsp>
                </a:graphicData>
              </a:graphic>
            </wp:anchor>
          </w:drawing>
        </mc:Choice>
        <mc:Fallback>
          <w:pict>
            <v:shape id="文本框4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gCY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t2s&#10;cnv6ADVm3QfMS8NbP+DSzH5AZ1Y9qGjzF/UQjGNzz9fmyiERkR+tV+t1hSGBsfmC+OzheYiQ3klv&#10;STYaGnF6pan89AHSmDqn5GrO32ljygSN+8uBmNnDMveRY7bSsB8mQXvfnlFPj4NvqMM9p8S8d9jX&#10;vCOzEWdjPxvHEPWhQ2rLwgvCm2NCEoVbrjDCToVxYkXdtF15JR7fS9bDH7X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uAJg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efcpMkBAACZAwAADgAAAGRycy9lMm9Eb2MueG1srVNNrtMwEN4jcQfL&#10;e+q0CKiipk+g6iEkBEgPDuA6dmPJf/K4TXoBuAErNuw5V8/B2En64LF5CzbOeGb8zffNTDY3gzXk&#10;JCNo7xq6XFSUSCd8q92hoV8+3z5bUwKJu5Yb72RDzxLozfbpk00farnynTetjARBHNR9aGiXUqgZ&#10;A9FJy2Hhg3QYVD5anvAaD6yNvEd0a9iqql6y3sc2RC8kAHp3Y5BOiPExgF4pLeTOi6OVLo2oURqe&#10;UBJ0OgDdFrZKSZE+KgUyEdNQVJrKiUXQ3ueTbTe8PkQeOi0mCvwxFB5oslw7LHqF2vHEyTHqf6Cs&#10;FtGDV2khvGWjkNIRVLGsHvTmruNBFi3YagjXpsP/gxUfTp8i0W1DX1DiuMWBX75/u/z4dfn59fmr&#10;3J4+QI1ZdwHz0vDGD7g0sx/QmVUPKtr8RT0E49jc87W5ckhE5Efr1XpdYUhgbL4gPrt/HiKkt9Jb&#10;ko2GRpxeaSo/vYc0ps4puZrzt9qYMkHj/nIgZvawzH3kmK007IdJ0N63Z9TT4+Ab6nDPKTHvHPY1&#10;78hsxNnYz8YxRH3okNqy8ILw+piQROGWK4ywU2GcWFE3bVdeiT/vJev+j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Z59yk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09D8gBAACZ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BtKHLc48Mv3b5cfvy4/v5Jl&#10;bk8foMasx4B5abj3Ay7N7Ad0ZtWDijZ/UQ/BODb3fG2uHBIR+dF6tV5XGBIYmy+Iz56ehwjprfSW&#10;ZKOhEadXmspP7yGNqXNKrub8gzamTNC4vxyImT0scx85ZisN+2EStPftGfX0OPiGOtxzSsw7h33N&#10;OzIbcTb2s3EMUR86pLYsvCDcHROSKNxyhRF2KowTK+qm7cor8ee9ZD39U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2dPQ/IAQAAmQMAAA4AAAAAAAAAAQAgAAAAHgEAAGRycy9lMm9Eb2Mu&#10;eG1sUEsFBgAAAAAGAAYAWQEAAFg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D210D4"/>
    <w:rsid w:val="00026984"/>
    <w:rsid w:val="000711FE"/>
    <w:rsid w:val="0009576C"/>
    <w:rsid w:val="000B3274"/>
    <w:rsid w:val="000F7131"/>
    <w:rsid w:val="0011771E"/>
    <w:rsid w:val="00167FFD"/>
    <w:rsid w:val="00175619"/>
    <w:rsid w:val="002A3531"/>
    <w:rsid w:val="00336536"/>
    <w:rsid w:val="00363449"/>
    <w:rsid w:val="003A55EC"/>
    <w:rsid w:val="00405A65"/>
    <w:rsid w:val="00462139"/>
    <w:rsid w:val="00467BCF"/>
    <w:rsid w:val="0049122A"/>
    <w:rsid w:val="00627AA2"/>
    <w:rsid w:val="00642675"/>
    <w:rsid w:val="00642EDF"/>
    <w:rsid w:val="0069661C"/>
    <w:rsid w:val="00747790"/>
    <w:rsid w:val="00786ABE"/>
    <w:rsid w:val="007B06BB"/>
    <w:rsid w:val="007F1370"/>
    <w:rsid w:val="00810AD0"/>
    <w:rsid w:val="00886235"/>
    <w:rsid w:val="00A1053D"/>
    <w:rsid w:val="00A22212"/>
    <w:rsid w:val="00A2491A"/>
    <w:rsid w:val="00A3201E"/>
    <w:rsid w:val="00A84F30"/>
    <w:rsid w:val="00AC43FB"/>
    <w:rsid w:val="00AD2242"/>
    <w:rsid w:val="00B0205C"/>
    <w:rsid w:val="00C0613E"/>
    <w:rsid w:val="00C54946"/>
    <w:rsid w:val="00CF60C1"/>
    <w:rsid w:val="00D210D4"/>
    <w:rsid w:val="00E83FB0"/>
    <w:rsid w:val="01422176"/>
    <w:rsid w:val="02EB7263"/>
    <w:rsid w:val="03422AC6"/>
    <w:rsid w:val="03AF3126"/>
    <w:rsid w:val="174C4D95"/>
    <w:rsid w:val="1BB22DB7"/>
    <w:rsid w:val="25754019"/>
    <w:rsid w:val="2BF344C4"/>
    <w:rsid w:val="2EC641A7"/>
    <w:rsid w:val="38FF0BC1"/>
    <w:rsid w:val="3F226851"/>
    <w:rsid w:val="4819662E"/>
    <w:rsid w:val="4A4C3B14"/>
    <w:rsid w:val="5A872D41"/>
    <w:rsid w:val="5A9B4DC1"/>
    <w:rsid w:val="5DE03A1E"/>
    <w:rsid w:val="77AE1CAC"/>
    <w:rsid w:val="79E27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5">
    <w:name w:val="toc 1"/>
    <w:basedOn w:val="1"/>
    <w:next w:val="1"/>
    <w:unhideWhenUsed/>
    <w:qFormat/>
    <w:uiPriority w:val="39"/>
    <w:pPr>
      <w:tabs>
        <w:tab w:val="right" w:leader="dot" w:pos="8296"/>
      </w:tabs>
      <w:spacing w:before="93"/>
      <w:jc w:val="center"/>
    </w:pPr>
    <w:rPr>
      <w:rFonts w:ascii="仿宋" w:hAnsi="仿宋" w:eastAsia="仿宋" w:cs="Times New Roman"/>
      <w:sz w:val="28"/>
      <w:szCs w:val="28"/>
    </w:rPr>
  </w:style>
  <w:style w:type="paragraph" w:styleId="6">
    <w:name w:val="toc 2"/>
    <w:basedOn w:val="1"/>
    <w:next w:val="1"/>
    <w:unhideWhenUsed/>
    <w:qFormat/>
    <w:uiPriority w:val="39"/>
    <w:pPr>
      <w:tabs>
        <w:tab w:val="right" w:leader="dot" w:pos="8296"/>
      </w:tabs>
      <w:ind w:left="420" w:leftChars="200"/>
    </w:pPr>
    <w:rPr>
      <w:rFonts w:ascii="Times New Roman" w:hAnsi="Times New Roman" w:eastAsia="宋体" w:cs="Times New Roman"/>
      <w:szCs w:val="24"/>
    </w:rPr>
  </w:style>
  <w:style w:type="character" w:styleId="9">
    <w:name w:val="Strong"/>
    <w:qFormat/>
    <w:uiPriority w:val="22"/>
    <w:rPr>
      <w:b/>
      <w:bCs/>
    </w:rPr>
  </w:style>
  <w:style w:type="character" w:styleId="10">
    <w:name w:val="Hyperlink"/>
    <w:unhideWhenUsed/>
    <w:qFormat/>
    <w:uiPriority w:val="99"/>
    <w:rPr>
      <w:color w:val="0563C1"/>
      <w:u w:val="single"/>
    </w:rPr>
  </w:style>
  <w:style w:type="character" w:customStyle="1" w:styleId="11">
    <w:name w:val="页脚 字符"/>
    <w:link w:val="2"/>
    <w:qFormat/>
    <w:uiPriority w:val="99"/>
    <w:rPr>
      <w:rFonts w:ascii="等线" w:hAnsi="等线" w:eastAsia="等线" w:cs="黑体"/>
      <w:sz w:val="18"/>
      <w:szCs w:val="18"/>
    </w:rPr>
  </w:style>
  <w:style w:type="character" w:customStyle="1" w:styleId="12">
    <w:name w:val="页眉 字符"/>
    <w:link w:val="4"/>
    <w:qFormat/>
    <w:uiPriority w:val="99"/>
    <w:rPr>
      <w:rFonts w:ascii="Calibri" w:hAnsi="Calibri" w:eastAsia="宋体" w:cs="Times New Roman"/>
      <w:kern w:val="0"/>
      <w:sz w:val="18"/>
      <w:szCs w:val="18"/>
    </w:rPr>
  </w:style>
  <w:style w:type="character" w:customStyle="1" w:styleId="13">
    <w:name w:val="标题 1 Char"/>
    <w:qFormat/>
    <w:uiPriority w:val="0"/>
    <w:rPr>
      <w:b/>
      <w:kern w:val="44"/>
      <w:sz w:val="44"/>
    </w:rPr>
  </w:style>
  <w:style w:type="paragraph" w:customStyle="1" w:styleId="14">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5">
    <w:name w:val="标题 1 字符"/>
    <w:link w:val="3"/>
    <w:qFormat/>
    <w:uiPriority w:val="9"/>
    <w:rPr>
      <w:rFonts w:ascii="等线" w:hAnsi="等线" w:eastAsia="等线" w:cs="黑体"/>
      <w:b/>
      <w:bCs/>
      <w:kern w:val="44"/>
      <w:sz w:val="44"/>
      <w:szCs w:val="44"/>
    </w:rPr>
  </w:style>
  <w:style w:type="paragraph" w:customStyle="1" w:styleId="16">
    <w:name w:val="TOC Heading"/>
    <w:basedOn w:val="3"/>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2EF91F-7922-4052-B4CF-40E021056EC9}">
  <ds:schemaRefs/>
</ds:datastoreItem>
</file>

<file path=docProps/app.xml><?xml version="1.0" encoding="utf-8"?>
<Properties xmlns="http://schemas.openxmlformats.org/officeDocument/2006/extended-properties" xmlns:vt="http://schemas.openxmlformats.org/officeDocument/2006/docPropsVTypes">
  <Template>Normal</Template>
  <Pages>9</Pages>
  <Words>3161</Words>
  <Characters>3359</Characters>
  <Lines>34</Lines>
  <Paragraphs>9</Paragraphs>
  <TotalTime>38</TotalTime>
  <ScaleCrop>false</ScaleCrop>
  <LinksUpToDate>false</LinksUpToDate>
  <CharactersWithSpaces>3438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2021-10-11T03:32:00Z</dcterms:created>
  <dc:creator>Administrator</dc:creator>
  <cp:lastModifiedBy>Administrator</cp:lastModifiedBy>
  <dcterms:modified xsi:type="dcterms:W3CDTF">2024-05-22T02:59:44Z</dcterms:modified>
  <dc:title>2021年度</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68B9B1407E97408B8D2FF31169C11369_13</vt:lpwstr>
  </property>
</Properties>
</file>