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黑体" w:cs="Times New Roman"/>
          <w:color w:val="000000" w:themeColor="text1"/>
          <w:sz w:val="36"/>
          <w:szCs w:val="36"/>
          <w14:textFill>
            <w14:solidFill>
              <w14:schemeClr w14:val="tx1"/>
            </w14:solidFill>
          </w14:textFill>
        </w:rPr>
      </w:pPr>
      <w:bookmarkStart w:id="0" w:name="_Toc15396475"/>
      <w:bookmarkStart w:id="1" w:name="_Toc15377425"/>
      <w:bookmarkStart w:id="2" w:name="_Toc15377193"/>
      <w:bookmarkStart w:id="3" w:name="_Toc15396597"/>
      <w:bookmarkStart w:id="4" w:name="_Toc15378441"/>
    </w:p>
    <w:p>
      <w:pPr>
        <w:adjustRightInd w:val="0"/>
        <w:snapToGrid w:val="0"/>
        <w:spacing w:line="360" w:lineRule="auto"/>
        <w:jc w:val="center"/>
        <w:rPr>
          <w:rFonts w:ascii="Times New Roman" w:hAnsi="Times New Roman" w:eastAsia="黑体" w:cs="Times New Roman"/>
          <w:color w:val="000000" w:themeColor="text1"/>
          <w:sz w:val="36"/>
          <w:szCs w:val="36"/>
          <w14:textFill>
            <w14:solidFill>
              <w14:schemeClr w14:val="tx1"/>
            </w14:solidFill>
          </w14:textFill>
        </w:rPr>
      </w:pPr>
    </w:p>
    <w:p>
      <w:pPr>
        <w:adjustRightInd w:val="0"/>
        <w:snapToGrid w:val="0"/>
        <w:spacing w:line="360" w:lineRule="auto"/>
        <w:jc w:val="center"/>
        <w:rPr>
          <w:rFonts w:ascii="Times New Roman" w:hAnsi="Times New Roman" w:eastAsia="黑体" w:cs="Times New Roman"/>
          <w:color w:val="000000" w:themeColor="text1"/>
          <w:sz w:val="36"/>
          <w:szCs w:val="36"/>
          <w14:textFill>
            <w14:solidFill>
              <w14:schemeClr w14:val="tx1"/>
            </w14:solidFill>
          </w14:textFill>
        </w:rPr>
      </w:pPr>
    </w:p>
    <w:p>
      <w:pPr>
        <w:adjustRightInd w:val="0"/>
        <w:snapToGrid w:val="0"/>
        <w:spacing w:line="360" w:lineRule="auto"/>
        <w:jc w:val="center"/>
        <w:rPr>
          <w:rFonts w:ascii="Times New Roman" w:hAnsi="Times New Roman" w:eastAsia="黑体" w:cs="Times New Roman"/>
          <w:color w:val="000000" w:themeColor="text1"/>
          <w:sz w:val="36"/>
          <w:szCs w:val="36"/>
          <w14:textFill>
            <w14:solidFill>
              <w14:schemeClr w14:val="tx1"/>
            </w14:solidFill>
          </w14:textFill>
        </w:rPr>
      </w:pPr>
    </w:p>
    <w:p>
      <w:pPr>
        <w:adjustRightInd w:val="0"/>
        <w:snapToGrid w:val="0"/>
        <w:spacing w:line="360" w:lineRule="auto"/>
        <w:jc w:val="center"/>
        <w:rPr>
          <w:rFonts w:ascii="Times New Roman" w:hAnsi="Times New Roman" w:eastAsia="黑体" w:cs="Times New Roman"/>
          <w:color w:val="000000"/>
          <w:sz w:val="36"/>
          <w:szCs w:val="36"/>
        </w:rPr>
      </w:pPr>
      <w:r>
        <w:rPr>
          <w:rFonts w:hint="eastAsia" w:ascii="Times New Roman" w:hAnsi="Times New Roman" w:eastAsia="黑体" w:cs="Times New Roman"/>
          <w:color w:val="000000" w:themeColor="text1"/>
          <w:sz w:val="36"/>
          <w:szCs w:val="36"/>
          <w:lang w:eastAsia="zh-CN"/>
          <w14:textFill>
            <w14:solidFill>
              <w14:schemeClr w14:val="tx1"/>
            </w14:solidFill>
          </w14:textFill>
        </w:rPr>
        <w:t>2024年</w:t>
      </w:r>
      <w:r>
        <w:rPr>
          <w:rFonts w:ascii="Times New Roman" w:hAnsi="Times New Roman" w:eastAsia="黑体" w:cs="Times New Roman"/>
          <w:color w:val="000000"/>
          <w:sz w:val="36"/>
          <w:szCs w:val="36"/>
        </w:rPr>
        <w:t>度</w:t>
      </w:r>
      <w:bookmarkEnd w:id="0"/>
      <w:bookmarkEnd w:id="1"/>
      <w:bookmarkEnd w:id="2"/>
      <w:bookmarkEnd w:id="3"/>
      <w:bookmarkEnd w:id="4"/>
    </w:p>
    <w:p>
      <w:pPr>
        <w:adjustRightInd w:val="0"/>
        <w:snapToGrid w:val="0"/>
        <w:spacing w:line="360" w:lineRule="auto"/>
        <w:jc w:val="center"/>
        <w:rPr>
          <w:rFonts w:ascii="Times New Roman" w:hAnsi="Times New Roman" w:eastAsia="黑体" w:cs="Times New Roman"/>
          <w:color w:val="000000"/>
          <w:sz w:val="36"/>
          <w:szCs w:val="36"/>
        </w:rPr>
      </w:pPr>
      <w:bookmarkStart w:id="5" w:name="_Toc15377194"/>
      <w:bookmarkStart w:id="6" w:name="_Toc15377426"/>
      <w:bookmarkStart w:id="7" w:name="_Toc15378442"/>
      <w:bookmarkStart w:id="8" w:name="_Toc15396476"/>
      <w:bookmarkStart w:id="9" w:name="_Toc15396598"/>
      <w:r>
        <w:rPr>
          <w:rFonts w:ascii="Times New Roman" w:hAnsi="Times New Roman" w:eastAsia="黑体" w:cs="Times New Roman"/>
          <w:color w:val="000000"/>
          <w:sz w:val="36"/>
          <w:szCs w:val="36"/>
        </w:rPr>
        <w:t>四川省</w:t>
      </w:r>
      <w:bookmarkStart w:id="10" w:name="_Toc15306268"/>
      <w:r>
        <w:rPr>
          <w:rFonts w:ascii="Times New Roman" w:hAnsi="Times New Roman" w:eastAsia="黑体" w:cs="Times New Roman"/>
          <w:color w:val="000000"/>
          <w:sz w:val="36"/>
          <w:szCs w:val="36"/>
        </w:rPr>
        <w:t>巴中市巴州区</w:t>
      </w:r>
    </w:p>
    <w:p>
      <w:pPr>
        <w:adjustRightInd w:val="0"/>
        <w:snapToGrid w:val="0"/>
        <w:spacing w:line="360" w:lineRule="auto"/>
        <w:jc w:val="center"/>
        <w:rPr>
          <w:rFonts w:ascii="Times New Roman" w:hAnsi="Times New Roman" w:eastAsia="黑体" w:cs="Times New Roman"/>
          <w:color w:val="000000"/>
          <w:sz w:val="36"/>
          <w:szCs w:val="36"/>
        </w:rPr>
      </w:pPr>
      <w:r>
        <w:rPr>
          <w:rFonts w:hint="eastAsia" w:ascii="Times New Roman" w:hAnsi="Times New Roman" w:eastAsia="黑体" w:cs="Times New Roman"/>
          <w:color w:val="000000"/>
          <w:sz w:val="36"/>
          <w:szCs w:val="36"/>
          <w:lang w:val="en-US" w:eastAsia="zh-CN"/>
        </w:rPr>
        <w:t>大和乡</w:t>
      </w:r>
      <w:r>
        <w:rPr>
          <w:rFonts w:ascii="Times New Roman" w:hAnsi="Times New Roman" w:eastAsia="黑体" w:cs="Times New Roman"/>
          <w:color w:val="000000"/>
          <w:sz w:val="36"/>
          <w:szCs w:val="36"/>
        </w:rPr>
        <w:t>公共事务服务中心部门</w:t>
      </w:r>
      <w:bookmarkEnd w:id="5"/>
      <w:bookmarkEnd w:id="6"/>
      <w:bookmarkEnd w:id="7"/>
      <w:bookmarkEnd w:id="8"/>
      <w:bookmarkEnd w:id="9"/>
      <w:bookmarkEnd w:id="10"/>
      <w:r>
        <w:rPr>
          <w:rFonts w:ascii="Times New Roman" w:hAnsi="Times New Roman" w:eastAsia="黑体" w:cs="Times New Roman"/>
          <w:color w:val="000000"/>
          <w:sz w:val="36"/>
          <w:szCs w:val="36"/>
        </w:rPr>
        <w:t>预算编制说明</w:t>
      </w:r>
    </w:p>
    <w:p>
      <w:pPr>
        <w:adjustRightInd w:val="0"/>
        <w:snapToGrid w:val="0"/>
        <w:spacing w:line="360" w:lineRule="auto"/>
        <w:jc w:val="center"/>
        <w:outlineLvl w:val="0"/>
        <w:rPr>
          <w:rFonts w:ascii="Times New Roman" w:hAnsi="Times New Roman" w:eastAsia="方正小标宋简体" w:cs="Times New Roman"/>
          <w:color w:val="000000"/>
          <w:sz w:val="52"/>
          <w:szCs w:val="52"/>
        </w:rPr>
      </w:pPr>
    </w:p>
    <w:p>
      <w:pPr>
        <w:adjustRightInd w:val="0"/>
        <w:snapToGrid w:val="0"/>
        <w:spacing w:before="468" w:beforeLines="150" w:after="468" w:afterLines="150" w:line="560" w:lineRule="exact"/>
        <w:jc w:val="center"/>
        <w:rPr>
          <w:rFonts w:hint="default" w:ascii="新宋体" w:hAnsi="新宋体" w:eastAsia="新宋体" w:cs="新宋体"/>
          <w:b/>
          <w:bCs/>
          <w:color w:val="000000"/>
          <w:sz w:val="24"/>
          <w:szCs w:val="24"/>
          <w:lang w:val="en-US" w:eastAsia="zh-CN"/>
        </w:rPr>
      </w:pPr>
      <w:r>
        <w:rPr>
          <w:rFonts w:hint="eastAsia" w:ascii="新宋体" w:hAnsi="新宋体" w:eastAsia="新宋体" w:cs="新宋体"/>
          <w:b/>
          <w:bCs/>
          <w:color w:val="000000"/>
          <w:sz w:val="36"/>
          <w:szCs w:val="36"/>
          <w:lang w:val="en-US" w:eastAsia="zh-CN"/>
        </w:rPr>
        <w:t xml:space="preserve">  </w:t>
      </w:r>
      <w:r>
        <w:rPr>
          <w:rFonts w:hint="eastAsia" w:ascii="新宋体" w:hAnsi="新宋体" w:eastAsia="新宋体" w:cs="新宋体"/>
          <w:b/>
          <w:bCs/>
          <w:color w:val="000000"/>
          <w:sz w:val="24"/>
          <w:szCs w:val="24"/>
          <w:lang w:val="en-US" w:eastAsia="zh-CN"/>
        </w:rPr>
        <w:t>公示时间：2024年4月12日</w:t>
      </w:r>
    </w:p>
    <w:p>
      <w:pPr>
        <w:widowControl/>
        <w:rPr>
          <w:rFonts w:hint="eastAsia" w:ascii="Times New Roman" w:hAnsi="Times New Roman" w:eastAsia="黑体" w:cs="Times New Roman"/>
          <w:color w:val="000000"/>
          <w:sz w:val="48"/>
          <w:szCs w:val="48"/>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sdt>
      <w:sdtPr>
        <w:rPr>
          <w:rFonts w:ascii="Times New Roman" w:hAnsi="Times New Roman" w:cs="Times New Roman"/>
          <w:lang w:val="zh-CN"/>
        </w:rPr>
        <w:id w:val="-2005580462"/>
        <w:docPartObj>
          <w:docPartGallery w:val="Table of Contents"/>
          <w:docPartUnique/>
        </w:docPartObj>
      </w:sdtPr>
      <w:sdtEndPr>
        <w:rPr>
          <w:rFonts w:ascii="Times New Roman" w:hAnsi="Times New Roman" w:eastAsia="等线" w:cs="Times New Roman"/>
          <w:b/>
          <w:bCs/>
          <w:color w:val="auto"/>
          <w:kern w:val="2"/>
          <w:sz w:val="21"/>
          <w:szCs w:val="22"/>
          <w:lang w:val="zh-CN"/>
        </w:rPr>
      </w:sdtEndPr>
      <w:sdtContent>
        <w:p>
          <w:pPr>
            <w:pStyle w:val="17"/>
            <w:jc w:val="center"/>
            <w:rPr>
              <w:rFonts w:ascii="Times New Roman" w:hAnsi="Times New Roman" w:cs="Times New Roman"/>
              <w:color w:val="auto"/>
            </w:rPr>
          </w:pPr>
          <w:r>
            <w:rPr>
              <w:rFonts w:ascii="Times New Roman" w:hAnsi="Times New Roman" w:cs="Times New Roman"/>
              <w:color w:val="auto"/>
              <w:lang w:val="zh-CN"/>
            </w:rPr>
            <w:t>目</w:t>
          </w:r>
          <w:r>
            <w:rPr>
              <w:rFonts w:hint="eastAsia" w:ascii="Times New Roman" w:hAnsi="Times New Roman" w:cs="Times New Roman"/>
              <w:color w:val="auto"/>
              <w:lang w:val="zh-CN"/>
            </w:rPr>
            <w:t xml:space="preserve"> </w:t>
          </w:r>
          <w:r>
            <w:rPr>
              <w:rFonts w:ascii="Times New Roman" w:hAnsi="Times New Roman" w:cs="Times New Roman"/>
              <w:color w:val="auto"/>
              <w:lang w:val="zh-CN"/>
            </w:rPr>
            <w:t>录</w:t>
          </w:r>
        </w:p>
        <w:p>
          <w:pPr>
            <w:pStyle w:val="5"/>
            <w:tabs>
              <w:tab w:val="right" w:leader="dot" w:pos="8296"/>
            </w:tabs>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fldChar w:fldCharType="begin"/>
          </w:r>
          <w:r>
            <w:instrText xml:space="preserve"> HYPERLINK \l "_Toc112443694" </w:instrText>
          </w:r>
          <w:r>
            <w:fldChar w:fldCharType="separate"/>
          </w:r>
          <w:r>
            <w:rPr>
              <w:rStyle w:val="10"/>
              <w:rFonts w:ascii="Times New Roman" w:hAnsi="Times New Roman" w:eastAsia="黑体" w:cs="Times New Roman"/>
              <w:kern w:val="0"/>
            </w:rPr>
            <w:t>一、基本职能及主要工作</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_Toc112443694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"_Toc112443695" </w:instrText>
          </w:r>
          <w:r>
            <w:fldChar w:fldCharType="separate"/>
          </w:r>
          <w:r>
            <w:rPr>
              <w:rStyle w:val="10"/>
              <w:rFonts w:ascii="Times New Roman" w:hAnsi="Times New Roman" w:cs="Times New Roman"/>
              <w:kern w:val="0"/>
            </w:rPr>
            <w:t>（一）公共事务服务中心职能简介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_Toc112443695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"_Toc112443696" </w:instrText>
          </w:r>
          <w:r>
            <w:fldChar w:fldCharType="separate"/>
          </w:r>
          <w:r>
            <w:rPr>
              <w:rStyle w:val="10"/>
              <w:rFonts w:ascii="Times New Roman" w:hAnsi="Times New Roman" w:cs="Times New Roman"/>
              <w:kern w:val="0"/>
            </w:rPr>
            <w:t>（二）公共事务服务中心</w:t>
          </w:r>
          <w:r>
            <w:rPr>
              <w:rStyle w:val="10"/>
              <w:rFonts w:hint="eastAsia" w:ascii="Times New Roman" w:hAnsi="Times New Roman" w:cs="Times New Roman"/>
              <w:kern w:val="0"/>
              <w:lang w:eastAsia="zh-CN"/>
            </w:rPr>
            <w:t>2024年</w:t>
          </w:r>
          <w:r>
            <w:rPr>
              <w:rStyle w:val="10"/>
              <w:rFonts w:ascii="Times New Roman" w:hAnsi="Times New Roman" w:cs="Times New Roman"/>
              <w:kern w:val="0"/>
            </w:rPr>
            <w:t>重点工作</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_Toc112443696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"_Toc112443697" </w:instrText>
          </w:r>
          <w:r>
            <w:fldChar w:fldCharType="separate"/>
          </w:r>
          <w:r>
            <w:rPr>
              <w:rStyle w:val="10"/>
              <w:rFonts w:ascii="Times New Roman" w:hAnsi="Times New Roman" w:eastAsia="仿宋_GB2312" w:cs="Times New Roman"/>
              <w:b/>
              <w:bCs/>
              <w:kern w:val="0"/>
            </w:rPr>
            <w:t>二、部门预算单位构成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_Toc112443697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"_Toc112443698" </w:instrText>
          </w:r>
          <w:r>
            <w:fldChar w:fldCharType="separate"/>
          </w:r>
          <w:r>
            <w:rPr>
              <w:rStyle w:val="10"/>
              <w:rFonts w:ascii="Times New Roman" w:hAnsi="Times New Roman" w:eastAsia="仿宋_GB2312" w:cs="Times New Roman"/>
              <w:b/>
              <w:bCs/>
              <w:kern w:val="0"/>
            </w:rPr>
            <w:t>三、收支预算情况说明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_Toc112443698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"_Toc112443699" </w:instrText>
          </w:r>
          <w:r>
            <w:fldChar w:fldCharType="separate"/>
          </w:r>
          <w:r>
            <w:rPr>
              <w:rStyle w:val="10"/>
              <w:rFonts w:ascii="Times New Roman" w:hAnsi="Times New Roman" w:cs="Times New Roman"/>
              <w:kern w:val="0"/>
            </w:rPr>
            <w:t>（一）收入预算情况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_Toc112443699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"_Toc112443700" </w:instrText>
          </w:r>
          <w:r>
            <w:fldChar w:fldCharType="separate"/>
          </w:r>
          <w:r>
            <w:rPr>
              <w:rStyle w:val="10"/>
              <w:rFonts w:ascii="Times New Roman" w:hAnsi="Times New Roman" w:cs="Times New Roman"/>
            </w:rPr>
            <w:t>（二）支出预算情况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_Toc112443700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"_Toc112443701" </w:instrText>
          </w:r>
          <w:r>
            <w:fldChar w:fldCharType="separate"/>
          </w:r>
          <w:r>
            <w:rPr>
              <w:rStyle w:val="10"/>
              <w:rFonts w:ascii="Times New Roman" w:hAnsi="Times New Roman" w:eastAsia="黑体" w:cs="Times New Roman"/>
            </w:rPr>
            <w:t>四、财政拨款收支预算情况说明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_Toc112443701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"_Toc112443702" </w:instrText>
          </w:r>
          <w:r>
            <w:fldChar w:fldCharType="separate"/>
          </w:r>
          <w:r>
            <w:rPr>
              <w:rStyle w:val="10"/>
              <w:rFonts w:ascii="Times New Roman" w:hAnsi="Times New Roman" w:eastAsia="仿宋_GB2312" w:cs="Times New Roman"/>
              <w:b/>
              <w:bCs/>
              <w:kern w:val="0"/>
            </w:rPr>
            <w:t>五、一般公共预算当年拨款情况说明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_Toc112443702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"_Toc112443703" </w:instrText>
          </w:r>
          <w:r>
            <w:fldChar w:fldCharType="separate"/>
          </w:r>
          <w:r>
            <w:rPr>
              <w:rStyle w:val="10"/>
              <w:rFonts w:ascii="Times New Roman" w:hAnsi="Times New Roman" w:cs="Times New Roman"/>
              <w:kern w:val="0"/>
            </w:rPr>
            <w:t>（一）一般公共预算当年拨款规模变化情况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_Toc112443703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"_Toc112443704" </w:instrText>
          </w:r>
          <w:r>
            <w:fldChar w:fldCharType="separate"/>
          </w:r>
          <w:r>
            <w:rPr>
              <w:rStyle w:val="10"/>
              <w:rFonts w:ascii="Times New Roman" w:hAnsi="Times New Roman" w:cs="Times New Roman"/>
              <w:kern w:val="0"/>
            </w:rPr>
            <w:t>（二）一般公共预算当年拨款结构情况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_Toc112443704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"_Toc112443705" </w:instrText>
          </w:r>
          <w:r>
            <w:fldChar w:fldCharType="separate"/>
          </w:r>
          <w:r>
            <w:rPr>
              <w:rStyle w:val="10"/>
              <w:rFonts w:ascii="Times New Roman" w:hAnsi="Times New Roman" w:cs="Times New Roman"/>
              <w:kern w:val="0"/>
            </w:rPr>
            <w:t>（三）一般公共预算当年拨款具体使用情况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_Toc112443705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"_Toc112443706" </w:instrText>
          </w:r>
          <w:r>
            <w:fldChar w:fldCharType="separate"/>
          </w:r>
          <w:r>
            <w:rPr>
              <w:rStyle w:val="10"/>
              <w:rFonts w:ascii="Times New Roman" w:hAnsi="Times New Roman" w:eastAsia="黑体" w:cs="Times New Roman"/>
              <w:kern w:val="0"/>
            </w:rPr>
            <w:t>六、一般公共预算基本支出情况说明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_Toc112443706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"_Toc112443707" </w:instrText>
          </w:r>
          <w:r>
            <w:fldChar w:fldCharType="separate"/>
          </w:r>
          <w:r>
            <w:rPr>
              <w:rStyle w:val="10"/>
              <w:rFonts w:ascii="Times New Roman" w:hAnsi="Times New Roman" w:eastAsia="黑体" w:cs="Times New Roman"/>
              <w:kern w:val="0"/>
            </w:rPr>
            <w:t>七、“三公”经费财政拨款预算安排情况说明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_Toc112443707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"_Toc112443708" </w:instrText>
          </w:r>
          <w:r>
            <w:fldChar w:fldCharType="separate"/>
          </w:r>
          <w:r>
            <w:rPr>
              <w:rStyle w:val="10"/>
              <w:rFonts w:ascii="Times New Roman" w:hAnsi="Times New Roman" w:eastAsia="仿宋_GB2312" w:cs="Times New Roman"/>
              <w:b/>
              <w:bCs/>
            </w:rPr>
            <w:t>八、政府性基金预算支出情况说明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_Toc112443708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"_Toc112443709" </w:instrText>
          </w:r>
          <w:r>
            <w:fldChar w:fldCharType="separate"/>
          </w:r>
          <w:r>
            <w:rPr>
              <w:rStyle w:val="10"/>
              <w:rFonts w:ascii="Times New Roman" w:hAnsi="Times New Roman" w:eastAsia="仿宋_GB2312" w:cs="Times New Roman"/>
              <w:b/>
              <w:bCs/>
            </w:rPr>
            <w:t>九、其他重要事项的情况说明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_Toc112443709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"_Toc112443710" </w:instrText>
          </w:r>
          <w:r>
            <w:fldChar w:fldCharType="separate"/>
          </w:r>
          <w:r>
            <w:rPr>
              <w:rStyle w:val="10"/>
              <w:rFonts w:ascii="Times New Roman" w:hAnsi="Times New Roman" w:cs="Times New Roman"/>
            </w:rPr>
            <w:t>（一）政府采购情况。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_Toc112443710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"_Toc112443711" </w:instrText>
          </w:r>
          <w:r>
            <w:fldChar w:fldCharType="separate"/>
          </w:r>
          <w:r>
            <w:rPr>
              <w:rStyle w:val="10"/>
              <w:rFonts w:ascii="Times New Roman" w:hAnsi="Times New Roman" w:cs="Times New Roman"/>
            </w:rPr>
            <w:t>（二）绩效目标设置情况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_Toc112443711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"_Toc112443712" </w:instrText>
          </w:r>
          <w:r>
            <w:fldChar w:fldCharType="separate"/>
          </w:r>
          <w:r>
            <w:rPr>
              <w:rStyle w:val="10"/>
              <w:rFonts w:ascii="Times New Roman" w:hAnsi="Times New Roman" w:eastAsia="黑体" w:cs="Times New Roman"/>
              <w:bCs/>
              <w:kern w:val="44"/>
            </w:rPr>
            <w:t>十、名词解释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_Toc112443712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rPr>
              <w:rFonts w:ascii="Times New Roman" w:hAnsi="Times New Roman" w:cs="Times New Roman"/>
            </w:rPr>
          </w:pPr>
          <w:r>
            <w:rPr>
              <w:rFonts w:ascii="Times New Roman" w:hAnsi="Times New Roman" w:cs="Times New Roman"/>
              <w:b/>
              <w:bCs/>
              <w:lang w:val="zh-CN"/>
            </w:rPr>
            <w:fldChar w:fldCharType="end"/>
          </w:r>
        </w:p>
      </w:sdtContent>
    </w:sdt>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p>
    <w:p>
      <w:pPr>
        <w:tabs>
          <w:tab w:val="right" w:leader="dot" w:pos="8296"/>
        </w:tabs>
        <w:adjustRightInd w:val="0"/>
        <w:snapToGrid w:val="0"/>
        <w:spacing w:line="480" w:lineRule="auto"/>
        <w:ind w:left="420" w:leftChars="200"/>
        <w:jc w:val="left"/>
        <w:rPr>
          <w:rFonts w:ascii="Times New Roman" w:hAnsi="Times New Roman" w:eastAsia="仿宋_GB2312" w:cs="Times New Roman"/>
          <w:b/>
          <w:bCs/>
          <w:color w:val="000000"/>
          <w:kern w:val="0"/>
          <w:sz w:val="32"/>
          <w:szCs w:val="32"/>
        </w:rPr>
      </w:pPr>
    </w:p>
    <w:p>
      <w:pPr>
        <w:tabs>
          <w:tab w:val="right" w:leader="dot" w:pos="8296"/>
        </w:tabs>
        <w:adjustRightInd w:val="0"/>
        <w:snapToGrid w:val="0"/>
        <w:spacing w:line="480" w:lineRule="auto"/>
        <w:ind w:left="420" w:leftChars="200"/>
        <w:jc w:val="left"/>
        <w:rPr>
          <w:rFonts w:ascii="Times New Roman" w:hAnsi="Times New Roman" w:eastAsia="仿宋_GB2312" w:cs="Times New Roman"/>
          <w:b/>
          <w:bCs/>
          <w:color w:val="000000"/>
          <w:kern w:val="0"/>
          <w:sz w:val="32"/>
          <w:szCs w:val="32"/>
        </w:rPr>
      </w:pPr>
    </w:p>
    <w:p>
      <w:pPr>
        <w:tabs>
          <w:tab w:val="right" w:leader="dot" w:pos="8296"/>
        </w:tabs>
        <w:adjustRightInd w:val="0"/>
        <w:snapToGrid w:val="0"/>
        <w:spacing w:line="480" w:lineRule="auto"/>
        <w:ind w:left="420" w:leftChars="200"/>
        <w:jc w:val="left"/>
        <w:rPr>
          <w:rFonts w:ascii="Times New Roman" w:hAnsi="Times New Roman" w:eastAsia="仿宋_GB2312" w:cs="Times New Roman"/>
          <w:b/>
          <w:bCs/>
          <w:color w:val="000000"/>
          <w:kern w:val="0"/>
          <w:sz w:val="32"/>
          <w:szCs w:val="32"/>
        </w:rPr>
      </w:pPr>
    </w:p>
    <w:p>
      <w:pPr>
        <w:rPr>
          <w:rFonts w:ascii="Times New Roman" w:hAnsi="Times New Roman" w:eastAsia="仿宋_GB2312" w:cs="Times New Roman"/>
          <w:color w:val="000000"/>
          <w:kern w:val="0"/>
          <w:sz w:val="32"/>
          <w:szCs w:val="32"/>
        </w:rPr>
      </w:pPr>
    </w:p>
    <w:p>
      <w:pPr>
        <w:rPr>
          <w:rFonts w:ascii="Times New Roman" w:hAnsi="Times New Roman" w:eastAsia="仿宋_GB2312" w:cs="Times New Roman"/>
          <w:color w:val="000000"/>
          <w:kern w:val="0"/>
          <w:sz w:val="32"/>
          <w:szCs w:val="32"/>
        </w:rPr>
        <w:sectPr>
          <w:footerReference r:id="rId5" w:type="default"/>
          <w:pgSz w:w="11906" w:h="16838"/>
          <w:pgMar w:top="1440" w:right="1800" w:bottom="1440" w:left="1800" w:header="851" w:footer="992" w:gutter="0"/>
          <w:cols w:space="425" w:num="1"/>
          <w:docGrid w:type="lines" w:linePitch="312" w:charSpace="0"/>
        </w:sectPr>
      </w:pPr>
    </w:p>
    <w:p>
      <w:pPr>
        <w:rPr>
          <w:rFonts w:ascii="Times New Roman" w:hAnsi="Times New Roman" w:cs="Times New Roman"/>
        </w:rPr>
      </w:pPr>
      <w:r>
        <w:rPr>
          <w:rFonts w:ascii="Times New Roman" w:hAnsi="Times New Roman" w:eastAsia="仿宋_GB2312" w:cs="Times New Roman"/>
          <w:color w:val="000000"/>
          <w:kern w:val="0"/>
          <w:sz w:val="32"/>
          <w:szCs w:val="32"/>
        </w:rPr>
        <w:t xml:space="preserve">附件： </w:t>
      </w:r>
      <w:r>
        <w:rPr>
          <w:rFonts w:hint="eastAsia" w:ascii="Times New Roman" w:hAnsi="Times New Roman" w:eastAsia="仿宋_GB2312" w:cs="Times New Roman"/>
          <w:color w:val="000000"/>
          <w:kern w:val="0"/>
          <w:sz w:val="32"/>
          <w:szCs w:val="32"/>
          <w:lang w:eastAsia="zh-CN"/>
        </w:rPr>
        <w:t>2024年</w:t>
      </w:r>
      <w:r>
        <w:rPr>
          <w:rFonts w:ascii="Times New Roman" w:hAnsi="Times New Roman" w:eastAsia="仿宋_GB2312" w:cs="Times New Roman"/>
          <w:color w:val="000000"/>
          <w:kern w:val="0"/>
          <w:sz w:val="32"/>
          <w:szCs w:val="32"/>
        </w:rPr>
        <w:t>部门预算公开报表</w:t>
      </w:r>
    </w:p>
    <w:p>
      <w:pPr>
        <w:tabs>
          <w:tab w:val="right" w:leader="dot" w:pos="8296"/>
        </w:tabs>
        <w:adjustRightInd w:val="0"/>
        <w:snapToGrid w:val="0"/>
        <w:spacing w:line="480" w:lineRule="auto"/>
        <w:ind w:left="420" w:leftChars="200"/>
        <w:jc w:val="left"/>
        <w:rPr>
          <w:rFonts w:ascii="Times New Roman" w:hAnsi="Times New Roman" w:eastAsia="仿宋" w:cs="Times New Roman"/>
          <w:sz w:val="28"/>
          <w:szCs w:val="28"/>
        </w:rPr>
      </w:pPr>
      <w:r>
        <w:rPr>
          <w:rFonts w:ascii="Times New Roman" w:hAnsi="Times New Roman" w:eastAsia="宋体" w:cs="Times New Roman"/>
          <w:sz w:val="28"/>
          <w:szCs w:val="28"/>
        </w:rPr>
        <w:t xml:space="preserve">                                 </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一、</w:t>
      </w:r>
      <w:r>
        <w:rPr>
          <w:rFonts w:ascii="Times New Roman" w:hAnsi="Times New Roman" w:eastAsia="宋体" w:cs="Times New Roman"/>
          <w:sz w:val="28"/>
          <w:szCs w:val="28"/>
        </w:rPr>
        <w:t>部门收支总表</w:t>
      </w:r>
    </w:p>
    <w:p>
      <w:pPr>
        <w:tabs>
          <w:tab w:val="right" w:leader="dot" w:pos="8296"/>
        </w:tabs>
        <w:adjustRightInd w:val="0"/>
        <w:snapToGrid w:val="0"/>
        <w:spacing w:line="480" w:lineRule="auto"/>
        <w:ind w:left="420" w:leftChars="200" w:firstLine="280" w:firstLineChars="100"/>
        <w:jc w:val="left"/>
        <w:rPr>
          <w:rFonts w:ascii="Times New Roman" w:hAnsi="Times New Roman" w:eastAsia="仿宋" w:cs="Times New Roman"/>
          <w:sz w:val="28"/>
          <w:szCs w:val="28"/>
        </w:rPr>
      </w:pPr>
      <w:r>
        <w:rPr>
          <w:rFonts w:ascii="Times New Roman" w:hAnsi="Times New Roman" w:eastAsia="仿宋" w:cs="Times New Roman"/>
          <w:sz w:val="28"/>
          <w:szCs w:val="28"/>
        </w:rPr>
        <w:t>1-1、部门</w:t>
      </w:r>
      <w:r>
        <w:rPr>
          <w:rFonts w:ascii="Times New Roman" w:hAnsi="Times New Roman" w:eastAsia="宋体" w:cs="Times New Roman"/>
          <w:sz w:val="28"/>
          <w:szCs w:val="28"/>
        </w:rPr>
        <w:t>收入</w:t>
      </w:r>
      <w:r>
        <w:rPr>
          <w:rFonts w:ascii="Times New Roman" w:hAnsi="Times New Roman" w:eastAsia="仿宋" w:cs="Times New Roman"/>
          <w:sz w:val="28"/>
          <w:szCs w:val="28"/>
        </w:rPr>
        <w:t>总</w:t>
      </w:r>
      <w:r>
        <w:rPr>
          <w:rFonts w:ascii="Times New Roman" w:hAnsi="Times New Roman" w:eastAsia="宋体" w:cs="Times New Roman"/>
          <w:sz w:val="28"/>
          <w:szCs w:val="28"/>
        </w:rPr>
        <w:t>表</w:t>
      </w:r>
    </w:p>
    <w:p>
      <w:pPr>
        <w:tabs>
          <w:tab w:val="right" w:leader="dot" w:pos="8296"/>
        </w:tabs>
        <w:adjustRightInd w:val="0"/>
        <w:snapToGrid w:val="0"/>
        <w:spacing w:line="480" w:lineRule="auto"/>
        <w:ind w:left="420" w:firstLine="280" w:firstLineChars="100"/>
        <w:jc w:val="left"/>
        <w:rPr>
          <w:rFonts w:ascii="Times New Roman" w:hAnsi="Times New Roman" w:eastAsia="仿宋" w:cs="Times New Roman"/>
          <w:sz w:val="28"/>
          <w:szCs w:val="28"/>
        </w:rPr>
      </w:pPr>
      <w:r>
        <w:rPr>
          <w:rFonts w:ascii="Times New Roman" w:hAnsi="Times New Roman" w:eastAsia="仿宋" w:cs="Times New Roman"/>
          <w:sz w:val="28"/>
          <w:szCs w:val="28"/>
        </w:rPr>
        <w:t>1-2、部门</w:t>
      </w:r>
      <w:r>
        <w:rPr>
          <w:rFonts w:ascii="Times New Roman" w:hAnsi="Times New Roman" w:eastAsia="宋体" w:cs="Times New Roman"/>
          <w:sz w:val="28"/>
          <w:szCs w:val="28"/>
        </w:rPr>
        <w:t>支出</w:t>
      </w:r>
      <w:r>
        <w:rPr>
          <w:rFonts w:ascii="Times New Roman" w:hAnsi="Times New Roman" w:eastAsia="仿宋" w:cs="Times New Roman"/>
          <w:sz w:val="28"/>
          <w:szCs w:val="28"/>
        </w:rPr>
        <w:t>总</w:t>
      </w:r>
      <w:r>
        <w:rPr>
          <w:rFonts w:ascii="Times New Roman" w:hAnsi="Times New Roman" w:eastAsia="宋体" w:cs="Times New Roman"/>
          <w:sz w:val="28"/>
          <w:szCs w:val="28"/>
        </w:rPr>
        <w:t>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二、</w:t>
      </w:r>
      <w:r>
        <w:rPr>
          <w:rFonts w:ascii="Times New Roman" w:hAnsi="Times New Roman" w:eastAsia="宋体" w:cs="Times New Roman"/>
          <w:sz w:val="28"/>
          <w:szCs w:val="28"/>
        </w:rPr>
        <w:t>财政拨款收支预算总表</w:t>
      </w:r>
    </w:p>
    <w:p>
      <w:pPr>
        <w:tabs>
          <w:tab w:val="right" w:leader="dot" w:pos="8296"/>
        </w:tabs>
        <w:adjustRightInd w:val="0"/>
        <w:snapToGrid w:val="0"/>
        <w:spacing w:line="480" w:lineRule="auto"/>
        <w:ind w:left="420" w:leftChars="200"/>
        <w:jc w:val="left"/>
        <w:rPr>
          <w:rFonts w:ascii="Times New Roman" w:hAnsi="Times New Roman" w:eastAsia="仿宋" w:cs="Times New Roman"/>
          <w:sz w:val="28"/>
          <w:szCs w:val="28"/>
        </w:rPr>
      </w:pPr>
      <w:r>
        <w:rPr>
          <w:rFonts w:ascii="Times New Roman" w:hAnsi="Times New Roman" w:eastAsia="仿宋" w:cs="Times New Roman"/>
          <w:sz w:val="28"/>
          <w:szCs w:val="28"/>
        </w:rPr>
        <w:t>三、一般公共预算支出预算表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 xml:space="preserve">  3-1、一</w:t>
      </w:r>
      <w:r>
        <w:rPr>
          <w:rFonts w:ascii="Times New Roman" w:hAnsi="Times New Roman" w:eastAsia="宋体" w:cs="Times New Roman"/>
          <w:sz w:val="28"/>
          <w:szCs w:val="28"/>
        </w:rPr>
        <w:t>般公共预算基本支出预算表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3-2、一般公共预算项目支出预算表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3-3、一般公共预算“三公”经费支出预算表</w:t>
      </w:r>
    </w:p>
    <w:p>
      <w:pPr>
        <w:tabs>
          <w:tab w:val="right" w:leader="dot" w:pos="8296"/>
        </w:tabs>
        <w:adjustRightInd w:val="0"/>
        <w:snapToGrid w:val="0"/>
        <w:spacing w:line="480" w:lineRule="auto"/>
        <w:ind w:left="420" w:leftChars="200"/>
        <w:jc w:val="left"/>
        <w:rPr>
          <w:rFonts w:ascii="Times New Roman" w:hAnsi="Times New Roman" w:eastAsia="仿宋" w:cs="Times New Roman"/>
          <w:sz w:val="28"/>
          <w:szCs w:val="28"/>
        </w:rPr>
      </w:pPr>
      <w:r>
        <w:rPr>
          <w:rFonts w:ascii="Times New Roman" w:hAnsi="Times New Roman" w:eastAsia="仿宋" w:cs="Times New Roman"/>
          <w:sz w:val="28"/>
          <w:szCs w:val="28"/>
        </w:rPr>
        <w:t>四、政府性基金支出预算表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4-1、政府性基金预算“三公”经费支出预算表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五、</w:t>
      </w:r>
      <w:r>
        <w:rPr>
          <w:rFonts w:ascii="Times New Roman" w:hAnsi="Times New Roman" w:eastAsia="宋体" w:cs="Times New Roman"/>
          <w:sz w:val="28"/>
          <w:szCs w:val="28"/>
        </w:rPr>
        <w:t>国有资本经营预算支出预算表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六、</w:t>
      </w:r>
      <w:r>
        <w:rPr>
          <w:rFonts w:ascii="Times New Roman" w:hAnsi="Times New Roman" w:eastAsia="宋体" w:cs="Times New Roman"/>
          <w:sz w:val="28"/>
          <w:szCs w:val="28"/>
        </w:rPr>
        <w:t>202</w:t>
      </w:r>
      <w:r>
        <w:rPr>
          <w:rFonts w:hint="eastAsia" w:ascii="Times New Roman" w:hAnsi="Times New Roman" w:eastAsia="宋体" w:cs="Times New Roman"/>
          <w:sz w:val="28"/>
          <w:szCs w:val="28"/>
          <w:lang w:val="en-US" w:eastAsia="zh-CN"/>
        </w:rPr>
        <w:t>3</w:t>
      </w:r>
      <w:r>
        <w:rPr>
          <w:rFonts w:ascii="Times New Roman" w:hAnsi="Times New Roman" w:eastAsia="宋体" w:cs="Times New Roman"/>
          <w:sz w:val="28"/>
          <w:szCs w:val="28"/>
        </w:rPr>
        <w:t>年部门（单位）整体支出绩效目标申报表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七、</w:t>
      </w:r>
      <w:r>
        <w:rPr>
          <w:rFonts w:ascii="Times New Roman" w:hAnsi="Times New Roman" w:eastAsia="宋体" w:cs="Times New Roman"/>
          <w:sz w:val="28"/>
          <w:szCs w:val="28"/>
        </w:rPr>
        <w:t>项目支出绩效预算目标表</w:t>
      </w:r>
    </w:p>
    <w:p>
      <w:pPr>
        <w:spacing w:line="560" w:lineRule="exact"/>
        <w:rPr>
          <w:rFonts w:ascii="Times New Roman" w:hAnsi="Times New Roman" w:eastAsia="黑体" w:cs="Times New Roman"/>
          <w:b/>
          <w:bCs/>
          <w:color w:val="000000"/>
          <w:kern w:val="0"/>
          <w:sz w:val="32"/>
          <w:szCs w:val="32"/>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spacing w:line="560" w:lineRule="exact"/>
        <w:ind w:firstLine="321" w:firstLineChars="100"/>
        <w:rPr>
          <w:rFonts w:ascii="Times New Roman" w:hAnsi="Times New Roman" w:eastAsia="黑体" w:cs="Times New Roman"/>
          <w:b/>
          <w:bCs/>
          <w:color w:val="000000"/>
          <w:kern w:val="0"/>
          <w:sz w:val="32"/>
          <w:szCs w:val="32"/>
        </w:rPr>
      </w:pPr>
    </w:p>
    <w:p>
      <w:pPr>
        <w:spacing w:line="560" w:lineRule="exact"/>
        <w:ind w:firstLine="560" w:firstLineChars="200"/>
        <w:rPr>
          <w:rFonts w:ascii="Times New Roman" w:hAnsi="Times New Roman" w:eastAsia="黑体" w:cs="Times New Roman"/>
          <w:color w:val="000000"/>
          <w:kern w:val="0"/>
          <w:sz w:val="28"/>
          <w:szCs w:val="28"/>
        </w:rPr>
        <w:sectPr>
          <w:footerReference r:id="rId6" w:type="default"/>
          <w:pgSz w:w="11906" w:h="16838"/>
          <w:pgMar w:top="1440" w:right="1800" w:bottom="1440" w:left="1800" w:header="851" w:footer="992" w:gutter="0"/>
          <w:cols w:space="425" w:num="1"/>
          <w:docGrid w:type="lines" w:linePitch="312" w:charSpace="0"/>
        </w:sectPr>
      </w:pPr>
    </w:p>
    <w:p>
      <w:pPr>
        <w:spacing w:before="100" w:after="100" w:line="360" w:lineRule="auto"/>
        <w:jc w:val="left"/>
        <w:outlineLvl w:val="0"/>
        <w:rPr>
          <w:rFonts w:ascii="Times New Roman" w:hAnsi="Times New Roman" w:eastAsia="黑体" w:cs="Times New Roman"/>
          <w:color w:val="000000"/>
          <w:kern w:val="0"/>
          <w:sz w:val="32"/>
          <w:szCs w:val="32"/>
        </w:rPr>
      </w:pPr>
      <w:bookmarkStart w:id="11" w:name="_Toc112443694"/>
      <w:r>
        <w:rPr>
          <w:rFonts w:ascii="Times New Roman" w:hAnsi="Times New Roman" w:eastAsia="黑体" w:cs="Times New Roman"/>
          <w:color w:val="000000"/>
          <w:kern w:val="0"/>
          <w:sz w:val="32"/>
          <w:szCs w:val="32"/>
        </w:rPr>
        <w:t>一、基本职能及主要工作</w:t>
      </w:r>
      <w:bookmarkEnd w:id="11"/>
    </w:p>
    <w:p>
      <w:pPr>
        <w:spacing w:line="560" w:lineRule="exact"/>
        <w:ind w:firstLine="560" w:firstLineChars="200"/>
        <w:outlineLvl w:val="1"/>
        <w:rPr>
          <w:rFonts w:ascii="Times New Roman" w:hAnsi="Times New Roman" w:cs="Times New Roman" w:eastAsiaTheme="minorEastAsia"/>
          <w:color w:val="000000"/>
          <w:kern w:val="0"/>
          <w:sz w:val="28"/>
          <w:szCs w:val="28"/>
        </w:rPr>
      </w:pPr>
      <w:bookmarkStart w:id="12" w:name="_Toc112443695"/>
      <w:r>
        <w:rPr>
          <w:rFonts w:ascii="Times New Roman" w:hAnsi="Times New Roman" w:cs="Times New Roman" w:eastAsiaTheme="minorEastAsia"/>
          <w:color w:val="000000"/>
          <w:kern w:val="0"/>
          <w:sz w:val="28"/>
          <w:szCs w:val="28"/>
        </w:rPr>
        <w:t>（一）公共事务服务中心职能简介</w:t>
      </w:r>
      <w:bookmarkEnd w:id="12"/>
    </w:p>
    <w:p>
      <w:pPr>
        <w:spacing w:line="560" w:lineRule="exact"/>
        <w:ind w:firstLine="488" w:firstLineChars="200"/>
        <w:rPr>
          <w:rFonts w:ascii="Times New Roman" w:hAnsi="Times New Roman" w:cs="Times New Roman" w:eastAsiaTheme="minorEastAsia"/>
          <w:sz w:val="24"/>
          <w:szCs w:val="24"/>
        </w:rPr>
      </w:pPr>
      <w:r>
        <w:rPr>
          <w:rFonts w:ascii="Times New Roman" w:hAnsi="Times New Roman" w:cs="Times New Roman" w:eastAsiaTheme="minorEastAsia"/>
          <w:bCs/>
          <w:spacing w:val="2"/>
          <w:sz w:val="24"/>
          <w:szCs w:val="24"/>
        </w:rPr>
        <w:t>（1）民政服务岗：</w:t>
      </w:r>
      <w:r>
        <w:rPr>
          <w:rFonts w:ascii="Times New Roman" w:hAnsi="Times New Roman" w:cs="Times New Roman" w:eastAsiaTheme="minorEastAsia"/>
          <w:sz w:val="24"/>
          <w:szCs w:val="24"/>
        </w:rPr>
        <w:t>负责城乡居民最低生活保障、特困人员救助、临时救助、留守儿童和困境儿童救助工作；负责指导城乡社区治理体系、服务体系和治理能力建设，推动基层民主政治建设工作；负责全镇行政区划设立、命名、撤销、变更，负责地名管理工作；负责婚姻登记服务、殡葬管理服务、残疾人权益保护等工作；负责党委政府安排的其他临时工作。</w:t>
      </w:r>
    </w:p>
    <w:p>
      <w:pPr>
        <w:spacing w:line="560" w:lineRule="exact"/>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2）统计服务岗：负责对行政区域内的国民经济和社会经济发展情况进行统计调查，开展统计分析，实施统计监督，管理、提供各类统计数据等工作；负责协助和配合固定资产投资核定与上报工作；负责党委政府安排的其他临时工作。</w:t>
      </w:r>
    </w:p>
    <w:p>
      <w:pPr>
        <w:spacing w:line="560" w:lineRule="exact"/>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3）招商引资服务岗：负责非扶贫项目的储备、申报、立项、审批、比选（招投标）、验收和数据上报工作；负责固定资产投资、核定与上报工作；负责以工代赈项目的申报与实施工作；负责招商引资保障服务和上下衔接沟通工作；负责外出招商与试点镇推介工作；负责党委政府安排的其他临时工作。</w:t>
      </w:r>
    </w:p>
    <w:p>
      <w:pPr>
        <w:spacing w:line="560" w:lineRule="exact"/>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4）文旅服务岗：负责加强文化基础设施建设和业余文化队伍建设，组织开展群众性文化活动；负责协助有关部门加强文化市场、旅游区、景点管理服务工作;负责协助有关部门做好文物保护及旅游资源的开发工作;负责做好广播电视“村村响”“户户通”规划、覆盖、维修、维护与管理工作；负责图书馆免费开放及信息共享等公共服务管理工作；负责党委政府安排的其他临时工作。</w:t>
      </w:r>
    </w:p>
    <w:p>
      <w:pPr>
        <w:spacing w:line="560" w:lineRule="exact"/>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（5）市场监管服务岗：</w:t>
      </w:r>
      <w:r>
        <w:rPr>
          <w:rFonts w:ascii="Times New Roman" w:hAnsi="Times New Roman" w:cs="Times New Roman" w:eastAsiaTheme="minorEastAsia"/>
          <w:bCs/>
          <w:sz w:val="24"/>
          <w:szCs w:val="24"/>
        </w:rPr>
        <w:t>负责辖区产品质量、食品药品安全预案及安全突发事件的初查和处置，投诉举报接诉、受理、调查处置等工作；负责辖区内重大活动食品安全保障，辖区食品药品生产经营(使用)单位从业人员的年度教育培训，协助上级部门开展从业人员健康检查工作；负责餐饮行业食品安全管理工作；负责餐厨剩余物的规范处置监管等工作</w:t>
      </w:r>
      <w:r>
        <w:rPr>
          <w:rFonts w:ascii="Times New Roman" w:hAnsi="Times New Roman" w:cs="Times New Roman" w:eastAsiaTheme="minorEastAsia"/>
          <w:sz w:val="24"/>
          <w:szCs w:val="24"/>
        </w:rPr>
        <w:t>；负责党委政府安排的其他临时工作。</w:t>
      </w:r>
    </w:p>
    <w:p>
      <w:pPr>
        <w:spacing w:line="560" w:lineRule="exact"/>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6）退役军人服务岗：负责辖区退役军人组织关系、行政关系、供给关系转接和档案移交,退役军人党员摸排登记工作，协助基层党组织做好退役军人党员教育管理服务工作；负责组织实施退役军人适应性培训和职业教育、技能培训；负责对退役军人开展精准帮扶援助、化解矛盾和思想稳定工作，落实退役军人信访事项首办责任，协助做好信访化解工作；负责村（社区）退役军人服务站业务指导和管理；负责党委政府安排的其他临时工作。</w:t>
      </w:r>
    </w:p>
    <w:p>
      <w:pPr>
        <w:ind w:firstLine="200"/>
        <w:outlineLvl w:val="1"/>
        <w:rPr>
          <w:rFonts w:ascii="Times New Roman" w:hAnsi="Times New Roman" w:cs="Times New Roman" w:eastAsiaTheme="minorEastAsia"/>
          <w:color w:val="000000" w:themeColor="text1"/>
          <w:kern w:val="0"/>
          <w:sz w:val="28"/>
          <w:szCs w:val="28"/>
          <w14:textFill>
            <w14:solidFill>
              <w14:schemeClr w14:val="tx1"/>
            </w14:solidFill>
          </w14:textFill>
        </w:rPr>
      </w:pPr>
      <w:bookmarkStart w:id="13" w:name="_Toc112443696"/>
      <w:r>
        <w:rPr>
          <w:rFonts w:ascii="Times New Roman" w:hAnsi="Times New Roman" w:cs="Times New Roman" w:eastAsiaTheme="minorEastAsia"/>
          <w:color w:val="000000" w:themeColor="text1"/>
          <w:kern w:val="0"/>
          <w:sz w:val="28"/>
          <w:szCs w:val="28"/>
          <w14:textFill>
            <w14:solidFill>
              <w14:schemeClr w14:val="tx1"/>
            </w14:solidFill>
          </w14:textFill>
        </w:rPr>
        <w:t>（二）公共事务服务中心</w:t>
      </w:r>
      <w:r>
        <w:rPr>
          <w:rFonts w:hint="eastAsia" w:ascii="Times New Roman" w:hAnsi="Times New Roman" w:cs="Times New Roman" w:eastAsiaTheme="minorEastAsia"/>
          <w:color w:val="000000" w:themeColor="text1"/>
          <w:kern w:val="0"/>
          <w:sz w:val="28"/>
          <w:szCs w:val="28"/>
          <w:lang w:eastAsia="zh-CN"/>
          <w14:textFill>
            <w14:solidFill>
              <w14:schemeClr w14:val="tx1"/>
            </w14:solidFill>
          </w14:textFill>
        </w:rPr>
        <w:t>2024年</w:t>
      </w:r>
      <w:r>
        <w:rPr>
          <w:rFonts w:ascii="Times New Roman" w:hAnsi="Times New Roman" w:cs="Times New Roman" w:eastAsiaTheme="minorEastAsia"/>
          <w:color w:val="000000" w:themeColor="text1"/>
          <w:kern w:val="0"/>
          <w:sz w:val="28"/>
          <w:szCs w:val="28"/>
          <w14:textFill>
            <w14:solidFill>
              <w14:schemeClr w14:val="tx1"/>
            </w14:solidFill>
          </w14:textFill>
        </w:rPr>
        <w:t>重点工作</w:t>
      </w:r>
      <w:bookmarkEnd w:id="13"/>
    </w:p>
    <w:p>
      <w:pPr>
        <w:spacing w:line="560" w:lineRule="exact"/>
        <w:ind w:firstLine="480" w:firstLineChars="200"/>
        <w:rPr>
          <w:rFonts w:hint="eastAsia" w:ascii="Times New Roman" w:hAnsi="Times New Roman" w:cs="Times New Roman" w:eastAsiaTheme="minorEastAsia"/>
          <w:sz w:val="24"/>
          <w:szCs w:val="24"/>
          <w:lang w:val="en-US" w:eastAsia="zh-CN"/>
        </w:rPr>
      </w:pPr>
      <w:bookmarkStart w:id="14" w:name="_Toc112443697"/>
      <w:r>
        <w:rPr>
          <w:rFonts w:hint="eastAsia" w:ascii="Times New Roman" w:hAnsi="Times New Roman" w:cs="Times New Roman" w:eastAsiaTheme="minorEastAsia"/>
          <w:sz w:val="24"/>
          <w:szCs w:val="24"/>
          <w:lang w:val="en-US" w:eastAsia="zh-CN"/>
        </w:rPr>
        <w:t>1.民政：继续扎实开展两项改革“后半篇”文章工作；抓实未成年人保护工作，继续争创未成年人保护示范区；积极推动我镇慈善事业发展；</w:t>
      </w:r>
    </w:p>
    <w:p>
      <w:pPr>
        <w:spacing w:line="560" w:lineRule="exact"/>
        <w:ind w:firstLine="480" w:firstLineChars="20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救助工作提质扩面，适度扩展基本生活救助覆盖范围；规范救助资金的监管；做好流浪乞讨救助工作，加大巡查力度；优化养老服务体系；实施居家养老服务项目，力争4月开始为居家老人上门服务；协调推进适老化改造项目；持续推进基层治理和社工人才建设，以文明乡风引领移风易俗；做好社工人才、社区工作者、社区志愿者的培育力度，推动基层治理，做实兜底保障，探索农村互助养老等方面的新举措；持续推进殡葬改革，优化殡葬管理，深化殡葬领域突出问题整治；做好清泉村农村公益性墓地建设；做好鼎山百寿康养护中心的建设。</w:t>
      </w:r>
    </w:p>
    <w:p>
      <w:pPr>
        <w:spacing w:line="560" w:lineRule="exact"/>
        <w:ind w:firstLine="480" w:firstLineChars="20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2.退役军人：退役军人及其他优抚对象建档立卡和优待证办理；切实做好建档立卡、优持证办理扫尾工作；做好优抚对象资金发放管理工作，及时准确掌握优抚对象自然减员；八一建军节和春节期间广泛开展走访慰问活动；及时发放现役军人家属优待金、大学生入伍奖励、立功受奖资金；继续核实光荣牌悬挂情况，为新应征入伍的家庭悬挂光荣牌。加大对不稳定因素的排查，并关注涉军群体稳定情况，防止上访及突发极端事件，对辖区内的重点人群进行稳控；红九军纪念园管理维护。</w:t>
      </w:r>
    </w:p>
    <w:p>
      <w:pPr>
        <w:spacing w:line="560" w:lineRule="exact"/>
        <w:ind w:firstLine="480" w:firstLineChars="200"/>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3.招商引资：</w:t>
      </w:r>
      <w:r>
        <w:rPr>
          <w:rFonts w:hint="default" w:ascii="Times New Roman" w:hAnsi="Times New Roman" w:cs="Times New Roman" w:eastAsiaTheme="minorEastAsia"/>
          <w:sz w:val="24"/>
          <w:szCs w:val="24"/>
          <w:lang w:val="en-US" w:eastAsia="zh-CN"/>
        </w:rPr>
        <w:t>做好国定资产投资申报；项目储备和项目转化开工相关资料；配合党委政府做好招商引资相关资料。</w:t>
      </w:r>
    </w:p>
    <w:p>
      <w:pPr>
        <w:spacing w:line="560" w:lineRule="exact"/>
        <w:ind w:firstLine="480" w:firstLineChars="20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4.文广旅：群众文化培训、指导工作；送文化下乡、年度内开展5次以上文艺演出活动；指导村文化室日常管理及开放工作；村村响日常维护工作；户户通设备日常维护、维修工作；文物管理工作；辖区内文化市场监管工作；对辖区内的KTV、歌舞厅、网吧、酒店、书店、打字复印等营业场所做好日常检查工作，加大重要时间节点、重大节假日检查力度；乡村旅游工作；非遗收集、整理工作；农家书屋免费开放指导及日常检查工作；图书室、文化活动室、信息资源共享室、新时代文明实践所免费开放；全力配合镇党委、政府做好第七届全国文明城市创建工作。</w:t>
      </w:r>
    </w:p>
    <w:p>
      <w:pPr>
        <w:spacing w:line="560" w:lineRule="exact"/>
        <w:ind w:firstLine="480" w:firstLineChars="20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5.人口与计生：政策宣传；人口信息统计报送；办理《生育服务证》；</w:t>
      </w:r>
    </w:p>
    <w:p>
      <w:pPr>
        <w:spacing w:line="560" w:lineRule="exact"/>
        <w:ind w:firstLine="480" w:firstLineChars="200"/>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val="en-US" w:eastAsia="zh-CN"/>
        </w:rPr>
        <w:t>网上申报“两奖一扶”。组织落实免费孕前优生健康检查；为流动人口核发婚育证明；对申请计划生育并发症鉴定和计划生育技术服务人员调查核实完善上报；按时按质完成镇党委、政府和区卫生健康局安排的其他工作。</w:t>
      </w:r>
    </w:p>
    <w:p>
      <w:pPr>
        <w:spacing w:line="560" w:lineRule="exact"/>
        <w:ind w:firstLine="480" w:firstLineChars="20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6.统计：指导做好寸垭村住户调查工作；1%年度抽样准备工作；按时按质完成全国第五次经济普查；农民人均纯收入、可支配收入的调查测算；进一步完善统计报表和统计信息网；加强思想道德建设；加强统计人员队伍建设；进一步扎实做好名录库、乡村振兴统计监测系统、统计联网直报劳动工资季报的上报和维护工作；完成2022年农村社会经济综合年报工作；协助项目办做好固定资产投资工作；推进统计规范化建设；扎实推进依法治统工作；配合区局开展统计执法检查；完成镇党委政府交办的其他工作。</w:t>
      </w:r>
    </w:p>
    <w:p>
      <w:pPr>
        <w:spacing w:line="560" w:lineRule="exact"/>
        <w:ind w:firstLine="480" w:firstLineChars="20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7.市场监管：常态化开展监督检查重点环节、重点区域、重点品种工作；规范农村药品市场秩序；规范药品流通秩序；规范药品使用秩序；“三小”办证；完成镇党委政府交办的其他工作。</w:t>
      </w:r>
    </w:p>
    <w:p>
      <w:pPr>
        <w:spacing w:line="560" w:lineRule="exact"/>
        <w:rPr>
          <w:rFonts w:hint="default"/>
          <w:b/>
          <w:bCs/>
          <w:sz w:val="28"/>
          <w:szCs w:val="28"/>
          <w:lang w:val="en-US" w:eastAsia="zh-CN"/>
        </w:rPr>
      </w:pPr>
    </w:p>
    <w:p>
      <w:pPr>
        <w:widowControl/>
        <w:spacing w:before="100" w:after="100" w:line="360" w:lineRule="auto"/>
        <w:jc w:val="left"/>
        <w:outlineLvl w:val="0"/>
        <w:rPr>
          <w:rFonts w:ascii="Times New Roman" w:hAnsi="Times New Roman" w:eastAsia="仿宋_GB2312" w:cs="Times New Roman"/>
          <w:b/>
          <w:bCs/>
          <w:color w:val="000000"/>
          <w:kern w:val="0"/>
          <w:sz w:val="32"/>
          <w:szCs w:val="32"/>
        </w:rPr>
      </w:pPr>
      <w:r>
        <w:rPr>
          <w:rFonts w:ascii="Times New Roman" w:hAnsi="Times New Roman" w:eastAsia="仿宋_GB2312" w:cs="Times New Roman"/>
          <w:b/>
          <w:bCs/>
          <w:color w:val="000000"/>
          <w:kern w:val="0"/>
          <w:sz w:val="32"/>
          <w:szCs w:val="32"/>
        </w:rPr>
        <w:t>二、部门预算单位构成</w:t>
      </w:r>
      <w:bookmarkEnd w:id="14"/>
    </w:p>
    <w:p>
      <w:pPr>
        <w:widowControl/>
        <w:wordWrap w:val="0"/>
        <w:spacing w:line="560" w:lineRule="exact"/>
        <w:ind w:firstLine="480" w:firstLineChars="200"/>
        <w:rPr>
          <w:rFonts w:ascii="Times New Roman" w:hAnsi="Times New Roman" w:cs="Times New Roman" w:eastAsiaTheme="minorEastAsia"/>
          <w:color w:val="000000"/>
          <w:kern w:val="0"/>
          <w:sz w:val="24"/>
          <w:szCs w:val="24"/>
        </w:rPr>
      </w:pPr>
      <w:r>
        <w:rPr>
          <w:rFonts w:ascii="Times New Roman" w:hAnsi="Times New Roman" w:cs="Times New Roman" w:eastAsiaTheme="minorEastAsia"/>
          <w:color w:val="000000"/>
          <w:kern w:val="0"/>
          <w:sz w:val="24"/>
          <w:szCs w:val="24"/>
        </w:rPr>
        <w:t>公共事务服务中心是事业单位，属于二级预算单位。</w:t>
      </w:r>
    </w:p>
    <w:p>
      <w:pPr>
        <w:widowControl/>
        <w:spacing w:before="100" w:after="100" w:line="360" w:lineRule="auto"/>
        <w:jc w:val="left"/>
        <w:outlineLvl w:val="0"/>
        <w:rPr>
          <w:rFonts w:ascii="Times New Roman" w:hAnsi="Times New Roman" w:eastAsia="仿宋_GB2312" w:cs="Times New Roman"/>
          <w:color w:val="000000"/>
          <w:kern w:val="0"/>
          <w:sz w:val="32"/>
          <w:szCs w:val="32"/>
        </w:rPr>
      </w:pPr>
      <w:bookmarkStart w:id="15" w:name="_Toc112443698"/>
      <w:r>
        <w:rPr>
          <w:rFonts w:ascii="Times New Roman" w:hAnsi="Times New Roman" w:eastAsia="仿宋_GB2312" w:cs="Times New Roman"/>
          <w:b/>
          <w:bCs/>
          <w:color w:val="000000"/>
          <w:kern w:val="0"/>
          <w:sz w:val="32"/>
          <w:szCs w:val="32"/>
        </w:rPr>
        <w:t>三、收支预算情况说明</w:t>
      </w:r>
      <w:bookmarkEnd w:id="15"/>
    </w:p>
    <w:p>
      <w:pPr>
        <w:widowControl/>
        <w:spacing w:line="360" w:lineRule="auto"/>
        <w:ind w:firstLine="480" w:firstLineChars="200"/>
        <w:jc w:val="left"/>
        <w:rPr>
          <w:rFonts w:ascii="Times New Roman" w:hAnsi="Times New Roman" w:eastAsia="仿宋_GB2312" w:cs="Times New Roman"/>
          <w:color w:val="000000"/>
          <w:kern w:val="0"/>
          <w:sz w:val="32"/>
          <w:szCs w:val="32"/>
        </w:rPr>
      </w:pPr>
      <w:r>
        <w:rPr>
          <w:rFonts w:ascii="Times New Roman" w:hAnsi="Times New Roman" w:cs="Times New Roman" w:eastAsiaTheme="minorEastAsia"/>
          <w:color w:val="000000"/>
          <w:kern w:val="0"/>
          <w:sz w:val="24"/>
          <w:szCs w:val="24"/>
        </w:rPr>
        <w:t>按照综合预算的原则，公共事务服务中心所有收入和支出均纳入部门预算管理。收入包括：一般公共预算拨款收入、上级补助收入；支出包括：一般公共服务支出、文化体育和传媒支出、社会保障和就业支出、</w:t>
      </w:r>
      <w:r>
        <w:rPr>
          <w:rFonts w:hint="eastAsia" w:ascii="Times New Roman" w:hAnsi="Times New Roman" w:cs="Times New Roman" w:eastAsiaTheme="minorEastAsia"/>
          <w:color w:val="000000"/>
          <w:kern w:val="0"/>
          <w:sz w:val="24"/>
          <w:szCs w:val="24"/>
          <w:lang w:val="en-US" w:eastAsia="zh-CN"/>
        </w:rPr>
        <w:t>卫生健康</w:t>
      </w:r>
      <w:r>
        <w:rPr>
          <w:rFonts w:ascii="Times New Roman" w:hAnsi="Times New Roman" w:cs="Times New Roman" w:eastAsiaTheme="minorEastAsia"/>
          <w:color w:val="000000"/>
          <w:kern w:val="0"/>
          <w:sz w:val="24"/>
          <w:szCs w:val="24"/>
        </w:rPr>
        <w:t>支出、资源勘探信息等支出、住房保障支出。公共事务服务中心</w:t>
      </w:r>
      <w:r>
        <w:rPr>
          <w:rFonts w:hint="eastAsia" w:ascii="Times New Roman" w:hAnsi="Times New Roman" w:cs="Times New Roman" w:eastAsiaTheme="minorEastAsia"/>
          <w:color w:val="000000"/>
          <w:kern w:val="0"/>
          <w:sz w:val="24"/>
          <w:szCs w:val="24"/>
          <w:lang w:eastAsia="zh-CN"/>
        </w:rPr>
        <w:t>2024年</w:t>
      </w:r>
      <w:r>
        <w:rPr>
          <w:rFonts w:ascii="Times New Roman" w:hAnsi="Times New Roman" w:cs="Times New Roman" w:eastAsiaTheme="minorEastAsia"/>
          <w:color w:val="000000"/>
          <w:kern w:val="0"/>
          <w:sz w:val="24"/>
          <w:szCs w:val="24"/>
        </w:rPr>
        <w:t>收支总预算</w:t>
      </w:r>
      <w:r>
        <w:rPr>
          <w:rFonts w:hint="eastAsia" w:ascii="Times New Roman" w:hAnsi="Times New Roman" w:cs="Times New Roman" w:eastAsiaTheme="minorEastAsia"/>
          <w:color w:val="000000"/>
          <w:kern w:val="0"/>
          <w:sz w:val="24"/>
          <w:szCs w:val="24"/>
          <w:lang w:val="en-US" w:eastAsia="zh-CN"/>
        </w:rPr>
        <w:t>121.30</w:t>
      </w:r>
      <w:r>
        <w:rPr>
          <w:rFonts w:ascii="Times New Roman" w:hAnsi="Times New Roman" w:cs="Times New Roman" w:eastAsiaTheme="minorEastAsia"/>
          <w:color w:val="000000"/>
          <w:kern w:val="0"/>
          <w:sz w:val="24"/>
          <w:szCs w:val="24"/>
        </w:rPr>
        <w:t>万元。</w:t>
      </w:r>
    </w:p>
    <w:p>
      <w:pPr>
        <w:widowControl/>
        <w:spacing w:line="360" w:lineRule="auto"/>
        <w:ind w:firstLine="560" w:firstLineChars="200"/>
        <w:jc w:val="left"/>
        <w:outlineLvl w:val="1"/>
        <w:rPr>
          <w:rFonts w:ascii="Times New Roman" w:hAnsi="Times New Roman" w:cs="Times New Roman" w:eastAsiaTheme="minorEastAsia"/>
          <w:color w:val="000000"/>
          <w:kern w:val="0"/>
          <w:sz w:val="28"/>
          <w:szCs w:val="28"/>
        </w:rPr>
      </w:pPr>
      <w:bookmarkStart w:id="16" w:name="_Toc112443699"/>
      <w:r>
        <w:rPr>
          <w:rFonts w:ascii="Times New Roman" w:hAnsi="Times New Roman" w:cs="Times New Roman" w:eastAsiaTheme="minorEastAsia"/>
          <w:color w:val="000000"/>
          <w:kern w:val="0"/>
          <w:sz w:val="28"/>
          <w:szCs w:val="28"/>
        </w:rPr>
        <w:t>（一）收入预算情况</w:t>
      </w:r>
      <w:bookmarkEnd w:id="16"/>
    </w:p>
    <w:p>
      <w:pPr>
        <w:ind w:firstLine="420" w:firstLineChars="200"/>
        <w:rPr>
          <w:rFonts w:ascii="Times New Roman" w:hAnsi="Times New Roman" w:cs="Times New Roman" w:eastAsiaTheme="minorEastAsia"/>
        </w:rPr>
      </w:pPr>
      <w:r>
        <w:rPr>
          <w:rFonts w:ascii="Times New Roman" w:hAnsi="Times New Roman" w:cs="Times New Roman" w:eastAsiaTheme="minorEastAsia"/>
        </w:rPr>
        <w:t>公共事务服务中心</w:t>
      </w:r>
      <w:r>
        <w:rPr>
          <w:rFonts w:hint="eastAsia" w:ascii="Times New Roman" w:hAnsi="Times New Roman" w:cs="Times New Roman" w:eastAsiaTheme="minorEastAsia"/>
          <w:lang w:eastAsia="zh-CN"/>
        </w:rPr>
        <w:t>2024年</w:t>
      </w:r>
      <w:r>
        <w:rPr>
          <w:rFonts w:ascii="Times New Roman" w:hAnsi="Times New Roman" w:cs="Times New Roman" w:eastAsiaTheme="minorEastAsia"/>
        </w:rPr>
        <w:t>收入预算</w:t>
      </w:r>
      <w:r>
        <w:rPr>
          <w:rFonts w:hint="eastAsia" w:ascii="Times New Roman" w:hAnsi="Times New Roman" w:cs="Times New Roman" w:eastAsiaTheme="minorEastAsia"/>
          <w:lang w:val="en-US" w:eastAsia="zh-CN"/>
        </w:rPr>
        <w:t>121.30</w:t>
      </w:r>
      <w:r>
        <w:rPr>
          <w:rFonts w:ascii="Times New Roman" w:hAnsi="Times New Roman" w:cs="Times New Roman" w:eastAsiaTheme="minorEastAsia"/>
        </w:rPr>
        <w:t>万元，其中：上级补助收入0万元，占0%；一般公共预算拨款收入</w:t>
      </w:r>
      <w:r>
        <w:rPr>
          <w:rFonts w:hint="eastAsia" w:ascii="Times New Roman" w:hAnsi="Times New Roman" w:cs="Times New Roman" w:eastAsiaTheme="minorEastAsia"/>
          <w:lang w:val="en-US" w:eastAsia="zh-CN"/>
        </w:rPr>
        <w:t>121.30</w:t>
      </w:r>
      <w:r>
        <w:rPr>
          <w:rFonts w:ascii="Times New Roman" w:hAnsi="Times New Roman" w:cs="Times New Roman" w:eastAsiaTheme="minorEastAsia"/>
        </w:rPr>
        <w:t>万元，占100 %。</w:t>
      </w:r>
    </w:p>
    <w:p>
      <w:pPr>
        <w:ind w:firstLine="560" w:firstLineChars="200"/>
        <w:jc w:val="left"/>
        <w:outlineLvl w:val="1"/>
        <w:rPr>
          <w:rFonts w:ascii="Times New Roman" w:hAnsi="Times New Roman" w:cs="Times New Roman"/>
          <w:sz w:val="28"/>
          <w:szCs w:val="28"/>
        </w:rPr>
      </w:pPr>
      <w:bookmarkStart w:id="17" w:name="_Toc112443700"/>
      <w:r>
        <w:rPr>
          <w:rFonts w:ascii="Times New Roman" w:hAnsi="Times New Roman" w:cs="Times New Roman"/>
          <w:sz w:val="28"/>
          <w:szCs w:val="28"/>
        </w:rPr>
        <w:t>（</w:t>
      </w:r>
      <w:r>
        <w:rPr>
          <w:rFonts w:ascii="Times New Roman" w:hAnsi="Times New Roman" w:cs="Times New Roman" w:eastAsiaTheme="minorEastAsia"/>
          <w:sz w:val="28"/>
          <w:szCs w:val="28"/>
        </w:rPr>
        <w:t>二）支出预算情况</w:t>
      </w:r>
      <w:bookmarkEnd w:id="17"/>
    </w:p>
    <w:p>
      <w:pPr>
        <w:ind w:firstLine="420" w:firstLineChars="200"/>
        <w:rPr>
          <w:rFonts w:ascii="Times New Roman" w:hAnsi="Times New Roman" w:cs="Times New Roman" w:eastAsiaTheme="minorEastAsia"/>
        </w:rPr>
      </w:pPr>
      <w:r>
        <w:rPr>
          <w:rFonts w:ascii="Times New Roman" w:hAnsi="Times New Roman" w:cs="Times New Roman" w:eastAsiaTheme="minorEastAsia"/>
        </w:rPr>
        <w:t>公共事务服务中心</w:t>
      </w:r>
      <w:r>
        <w:rPr>
          <w:rFonts w:hint="eastAsia" w:ascii="Times New Roman" w:hAnsi="Times New Roman" w:cs="Times New Roman" w:eastAsiaTheme="minorEastAsia"/>
          <w:lang w:eastAsia="zh-CN"/>
        </w:rPr>
        <w:t>2024年</w:t>
      </w:r>
      <w:r>
        <w:rPr>
          <w:rFonts w:ascii="Times New Roman" w:hAnsi="Times New Roman" w:cs="Times New Roman" w:eastAsiaTheme="minorEastAsia"/>
        </w:rPr>
        <w:t>支出预算</w:t>
      </w:r>
      <w:r>
        <w:rPr>
          <w:rFonts w:hint="eastAsia" w:ascii="Times New Roman" w:hAnsi="Times New Roman" w:cs="Times New Roman" w:eastAsiaTheme="minorEastAsia"/>
          <w:lang w:val="en-US" w:eastAsia="zh-CN"/>
        </w:rPr>
        <w:t>121.30</w:t>
      </w:r>
      <w:r>
        <w:rPr>
          <w:rFonts w:ascii="Times New Roman" w:hAnsi="Times New Roman" w:cs="Times New Roman" w:eastAsiaTheme="minorEastAsia"/>
        </w:rPr>
        <w:t xml:space="preserve"> 万元，其中：基本支出</w:t>
      </w:r>
      <w:r>
        <w:rPr>
          <w:rFonts w:hint="eastAsia" w:ascii="Times New Roman" w:hAnsi="Times New Roman" w:cs="Times New Roman" w:eastAsiaTheme="minorEastAsia"/>
          <w:lang w:val="en-US" w:eastAsia="zh-CN"/>
        </w:rPr>
        <w:t>121.30</w:t>
      </w:r>
      <w:r>
        <w:rPr>
          <w:rFonts w:ascii="Times New Roman" w:hAnsi="Times New Roman" w:cs="Times New Roman" w:eastAsiaTheme="minorEastAsia"/>
        </w:rPr>
        <w:t>万元，占0%；项目支出0万元，占0%。</w:t>
      </w:r>
    </w:p>
    <w:p>
      <w:pPr>
        <w:spacing w:before="312" w:beforeLines="100" w:after="312" w:afterLines="100"/>
        <w:outlineLvl w:val="0"/>
        <w:rPr>
          <w:rFonts w:ascii="Times New Roman" w:hAnsi="Times New Roman" w:eastAsia="黑体" w:cs="Times New Roman"/>
        </w:rPr>
      </w:pPr>
      <w:bookmarkStart w:id="18" w:name="_Toc112443701"/>
      <w:r>
        <w:rPr>
          <w:rFonts w:ascii="Times New Roman" w:hAnsi="Times New Roman" w:eastAsia="黑体" w:cs="Times New Roman"/>
          <w:sz w:val="32"/>
          <w:szCs w:val="32"/>
        </w:rPr>
        <w:t>四、财政拨款收支预算情况说明</w:t>
      </w:r>
      <w:bookmarkEnd w:id="18"/>
    </w:p>
    <w:p>
      <w:pPr>
        <w:widowControl/>
        <w:wordWrap w:val="0"/>
        <w:spacing w:line="480" w:lineRule="atLeast"/>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公共事务服务中心</w:t>
      </w:r>
      <w:r>
        <w:rPr>
          <w:rFonts w:hint="eastAsia" w:ascii="Times New Roman" w:hAnsi="Times New Roman" w:eastAsia="宋体" w:cs="Times New Roman"/>
          <w:color w:val="000000"/>
          <w:kern w:val="0"/>
          <w:sz w:val="24"/>
          <w:szCs w:val="24"/>
          <w:lang w:eastAsia="zh-CN"/>
        </w:rPr>
        <w:t>2024年</w:t>
      </w:r>
      <w:r>
        <w:rPr>
          <w:rFonts w:ascii="Times New Roman" w:hAnsi="Times New Roman" w:eastAsia="宋体" w:cs="Times New Roman"/>
          <w:color w:val="000000"/>
          <w:kern w:val="0"/>
          <w:sz w:val="24"/>
          <w:szCs w:val="24"/>
        </w:rPr>
        <w:t>财政拨款收支总预算</w:t>
      </w:r>
      <w:r>
        <w:rPr>
          <w:rFonts w:hint="eastAsia" w:ascii="Times New Roman" w:hAnsi="Times New Roman" w:eastAsia="宋体" w:cs="Times New Roman"/>
          <w:color w:val="000000"/>
          <w:kern w:val="0"/>
          <w:sz w:val="24"/>
          <w:szCs w:val="24"/>
          <w:lang w:val="en-US" w:eastAsia="zh-CN"/>
        </w:rPr>
        <w:t>121.30</w:t>
      </w:r>
      <w:r>
        <w:rPr>
          <w:rFonts w:ascii="Times New Roman" w:hAnsi="Times New Roman" w:eastAsia="宋体" w:cs="Times New Roman"/>
          <w:color w:val="000000"/>
          <w:kern w:val="0"/>
          <w:sz w:val="24"/>
          <w:szCs w:val="24"/>
        </w:rPr>
        <w:t>万元。收入包括：本年一般公共预算拨款收入</w:t>
      </w:r>
      <w:r>
        <w:rPr>
          <w:rFonts w:hint="eastAsia" w:ascii="Times New Roman" w:hAnsi="Times New Roman" w:eastAsia="宋体" w:cs="Times New Roman"/>
          <w:color w:val="000000"/>
          <w:kern w:val="0"/>
          <w:sz w:val="24"/>
          <w:szCs w:val="24"/>
          <w:lang w:val="en-US" w:eastAsia="zh-CN"/>
        </w:rPr>
        <w:t>121.30</w:t>
      </w:r>
      <w:r>
        <w:rPr>
          <w:rFonts w:ascii="Times New Roman" w:hAnsi="Times New Roman" w:eastAsia="宋体" w:cs="Times New Roman"/>
          <w:color w:val="000000"/>
          <w:kern w:val="0"/>
          <w:sz w:val="24"/>
          <w:szCs w:val="24"/>
        </w:rPr>
        <w:t>万元；支出包括：社会保障和就业支出</w:t>
      </w:r>
      <w:r>
        <w:rPr>
          <w:rFonts w:hint="eastAsia" w:ascii="Times New Roman" w:hAnsi="Times New Roman" w:eastAsia="宋体" w:cs="Times New Roman"/>
          <w:color w:val="000000"/>
          <w:kern w:val="0"/>
          <w:sz w:val="24"/>
          <w:szCs w:val="24"/>
          <w:lang w:val="en-US" w:eastAsia="zh-CN"/>
        </w:rPr>
        <w:t>105.94</w:t>
      </w:r>
      <w:r>
        <w:rPr>
          <w:rFonts w:ascii="Times New Roman" w:hAnsi="Times New Roman" w:eastAsia="宋体" w:cs="Times New Roman"/>
          <w:color w:val="000000"/>
          <w:kern w:val="0"/>
          <w:sz w:val="24"/>
          <w:szCs w:val="24"/>
        </w:rPr>
        <w:t>万元、卫生</w:t>
      </w:r>
      <w:r>
        <w:rPr>
          <w:rFonts w:hint="eastAsia" w:ascii="Times New Roman" w:hAnsi="Times New Roman" w:eastAsia="宋体" w:cs="Times New Roman"/>
          <w:color w:val="000000"/>
          <w:kern w:val="0"/>
          <w:sz w:val="24"/>
          <w:szCs w:val="24"/>
          <w:lang w:val="en-US" w:eastAsia="zh-CN"/>
        </w:rPr>
        <w:t>健康</w:t>
      </w:r>
      <w:r>
        <w:rPr>
          <w:rFonts w:ascii="Times New Roman" w:hAnsi="Times New Roman" w:eastAsia="宋体" w:cs="Times New Roman"/>
          <w:color w:val="000000"/>
          <w:kern w:val="0"/>
          <w:sz w:val="24"/>
          <w:szCs w:val="24"/>
        </w:rPr>
        <w:t>支出</w:t>
      </w:r>
      <w:r>
        <w:rPr>
          <w:rFonts w:hint="eastAsia" w:ascii="Times New Roman" w:hAnsi="Times New Roman" w:eastAsia="宋体" w:cs="Times New Roman"/>
          <w:color w:val="000000"/>
          <w:kern w:val="0"/>
          <w:sz w:val="24"/>
          <w:szCs w:val="24"/>
          <w:lang w:val="en-US" w:eastAsia="zh-CN"/>
        </w:rPr>
        <w:t>5.21</w:t>
      </w:r>
      <w:r>
        <w:rPr>
          <w:rFonts w:ascii="Times New Roman" w:hAnsi="Times New Roman" w:eastAsia="宋体" w:cs="Times New Roman"/>
          <w:color w:val="000000"/>
          <w:kern w:val="0"/>
          <w:sz w:val="24"/>
          <w:szCs w:val="24"/>
        </w:rPr>
        <w:t>万元、住房保障支出</w:t>
      </w:r>
      <w:r>
        <w:rPr>
          <w:rFonts w:hint="eastAsia" w:ascii="Times New Roman" w:hAnsi="Times New Roman" w:eastAsia="宋体" w:cs="Times New Roman"/>
          <w:color w:val="000000"/>
          <w:kern w:val="0"/>
          <w:sz w:val="24"/>
          <w:szCs w:val="24"/>
          <w:lang w:val="en-US" w:eastAsia="zh-CN"/>
        </w:rPr>
        <w:t>10.15</w:t>
      </w:r>
      <w:r>
        <w:rPr>
          <w:rFonts w:ascii="Times New Roman" w:hAnsi="Times New Roman" w:eastAsia="宋体" w:cs="Times New Roman"/>
          <w:color w:val="000000"/>
          <w:kern w:val="0"/>
          <w:sz w:val="24"/>
          <w:szCs w:val="24"/>
        </w:rPr>
        <w:t>万元。</w:t>
      </w:r>
    </w:p>
    <w:p>
      <w:pPr>
        <w:widowControl/>
        <w:spacing w:before="100" w:after="100" w:line="360" w:lineRule="auto"/>
        <w:jc w:val="left"/>
        <w:outlineLvl w:val="0"/>
        <w:rPr>
          <w:rFonts w:ascii="Times New Roman" w:hAnsi="Times New Roman" w:eastAsia="仿宋_GB2312" w:cs="Times New Roman"/>
          <w:b/>
          <w:bCs/>
          <w:color w:val="000000"/>
          <w:kern w:val="0"/>
          <w:sz w:val="32"/>
          <w:szCs w:val="32"/>
        </w:rPr>
      </w:pPr>
      <w:bookmarkStart w:id="19" w:name="_Toc112443702"/>
      <w:r>
        <w:rPr>
          <w:rFonts w:ascii="Times New Roman" w:hAnsi="Times New Roman" w:eastAsia="仿宋_GB2312" w:cs="Times New Roman"/>
          <w:b/>
          <w:bCs/>
          <w:color w:val="000000"/>
          <w:kern w:val="0"/>
          <w:sz w:val="32"/>
          <w:szCs w:val="32"/>
        </w:rPr>
        <w:t>五、一般公共预算当年拨款情况说明</w:t>
      </w:r>
      <w:bookmarkEnd w:id="19"/>
    </w:p>
    <w:p>
      <w:pPr>
        <w:widowControl/>
        <w:wordWrap w:val="0"/>
        <w:spacing w:line="480" w:lineRule="atLeast"/>
        <w:ind w:firstLine="480" w:firstLineChars="200"/>
        <w:outlineLvl w:val="1"/>
        <w:rPr>
          <w:rFonts w:ascii="Times New Roman" w:hAnsi="Times New Roman" w:cs="Times New Roman" w:eastAsiaTheme="minorEastAsia"/>
          <w:color w:val="000000"/>
          <w:kern w:val="0"/>
          <w:sz w:val="24"/>
          <w:szCs w:val="24"/>
        </w:rPr>
      </w:pPr>
      <w:bookmarkStart w:id="20" w:name="_Toc112443703"/>
      <w:r>
        <w:rPr>
          <w:rFonts w:ascii="Times New Roman" w:hAnsi="Times New Roman" w:cs="Times New Roman" w:eastAsiaTheme="minorEastAsia"/>
          <w:color w:val="000000"/>
          <w:kern w:val="0"/>
          <w:sz w:val="24"/>
          <w:szCs w:val="24"/>
        </w:rPr>
        <w:t>（一）一般公共预算当年拨款规模变化情况</w:t>
      </w:r>
      <w:bookmarkEnd w:id="20"/>
    </w:p>
    <w:p>
      <w:pPr>
        <w:widowControl/>
        <w:wordWrap w:val="0"/>
        <w:spacing w:line="480" w:lineRule="atLeast"/>
        <w:ind w:firstLine="480" w:firstLineChars="200"/>
        <w:jc w:val="left"/>
        <w:rPr>
          <w:rFonts w:ascii="Times New Roman" w:hAnsi="Times New Roman" w:cs="Times New Roman" w:eastAsiaTheme="minorEastAsia"/>
          <w:color w:val="000000"/>
          <w:kern w:val="0"/>
          <w:sz w:val="24"/>
          <w:szCs w:val="24"/>
        </w:rPr>
      </w:pPr>
      <w:r>
        <w:rPr>
          <w:rFonts w:ascii="Times New Roman" w:hAnsi="Times New Roman" w:cs="Times New Roman" w:eastAsiaTheme="minorEastAsia"/>
          <w:color w:val="000000"/>
          <w:kern w:val="0"/>
          <w:sz w:val="24"/>
          <w:szCs w:val="24"/>
        </w:rPr>
        <w:t>公共事务服务中心</w:t>
      </w:r>
      <w:r>
        <w:rPr>
          <w:rFonts w:hint="eastAsia" w:ascii="Times New Roman" w:hAnsi="Times New Roman" w:cs="Times New Roman" w:eastAsiaTheme="minorEastAsia"/>
          <w:color w:val="000000"/>
          <w:kern w:val="0"/>
          <w:sz w:val="24"/>
          <w:szCs w:val="24"/>
          <w:lang w:eastAsia="zh-CN"/>
        </w:rPr>
        <w:t>2024年</w:t>
      </w:r>
      <w:r>
        <w:rPr>
          <w:rFonts w:ascii="Times New Roman" w:hAnsi="Times New Roman" w:cs="Times New Roman" w:eastAsiaTheme="minorEastAsia"/>
          <w:color w:val="000000"/>
          <w:kern w:val="0"/>
          <w:sz w:val="24"/>
          <w:szCs w:val="24"/>
        </w:rPr>
        <w:t>一般公共预算当年拨款</w:t>
      </w:r>
      <w:r>
        <w:rPr>
          <w:rFonts w:hint="eastAsia" w:ascii="Times New Roman" w:hAnsi="Times New Roman" w:cs="Times New Roman" w:eastAsiaTheme="minorEastAsia"/>
          <w:color w:val="000000"/>
          <w:kern w:val="0"/>
          <w:sz w:val="24"/>
          <w:szCs w:val="24"/>
          <w:lang w:val="en-US" w:eastAsia="zh-CN"/>
        </w:rPr>
        <w:t>121.30</w:t>
      </w:r>
      <w:r>
        <w:rPr>
          <w:rFonts w:ascii="Times New Roman" w:hAnsi="Times New Roman" w:cs="Times New Roman" w:eastAsiaTheme="minorEastAsia"/>
          <w:color w:val="000000"/>
          <w:kern w:val="0"/>
          <w:sz w:val="24"/>
          <w:szCs w:val="24"/>
        </w:rPr>
        <w:t>万元，主要是</w:t>
      </w:r>
      <w:r>
        <w:rPr>
          <w:rFonts w:hint="eastAsia" w:ascii="Times New Roman" w:hAnsi="Times New Roman" w:cs="Times New Roman" w:eastAsiaTheme="minorEastAsia"/>
          <w:color w:val="000000"/>
          <w:kern w:val="0"/>
          <w:sz w:val="24"/>
          <w:szCs w:val="24"/>
          <w:lang w:val="en-US" w:eastAsia="zh-CN"/>
        </w:rPr>
        <w:t>在职人员调离和退休</w:t>
      </w:r>
      <w:r>
        <w:rPr>
          <w:rFonts w:ascii="Times New Roman" w:hAnsi="Times New Roman" w:cs="Times New Roman" w:eastAsiaTheme="minorEastAsia"/>
          <w:color w:val="000000"/>
          <w:kern w:val="0"/>
          <w:sz w:val="24"/>
          <w:szCs w:val="24"/>
        </w:rPr>
        <w:t>。</w:t>
      </w:r>
    </w:p>
    <w:p>
      <w:pPr>
        <w:widowControl/>
        <w:wordWrap w:val="0"/>
        <w:spacing w:line="480" w:lineRule="atLeast"/>
        <w:ind w:firstLine="480" w:firstLineChars="200"/>
        <w:outlineLvl w:val="1"/>
        <w:rPr>
          <w:rFonts w:ascii="Times New Roman" w:hAnsi="Times New Roman" w:cs="Times New Roman" w:eastAsiaTheme="minorEastAsia"/>
          <w:color w:val="000000"/>
          <w:kern w:val="0"/>
          <w:sz w:val="24"/>
          <w:szCs w:val="24"/>
        </w:rPr>
      </w:pPr>
      <w:bookmarkStart w:id="21" w:name="_Toc112443704"/>
      <w:r>
        <w:rPr>
          <w:rFonts w:ascii="Times New Roman" w:hAnsi="Times New Roman" w:cs="Times New Roman" w:eastAsiaTheme="minorEastAsia"/>
          <w:color w:val="000000"/>
          <w:kern w:val="0"/>
          <w:sz w:val="24"/>
          <w:szCs w:val="24"/>
        </w:rPr>
        <w:t>（二）一般公共预算当年拨款结构情况</w:t>
      </w:r>
      <w:bookmarkEnd w:id="21"/>
    </w:p>
    <w:p>
      <w:pPr>
        <w:widowControl/>
        <w:wordWrap w:val="0"/>
        <w:spacing w:line="480" w:lineRule="atLeast"/>
        <w:ind w:firstLine="480" w:firstLineChars="200"/>
        <w:jc w:val="left"/>
        <w:rPr>
          <w:rFonts w:ascii="Times New Roman" w:hAnsi="Times New Roman" w:cs="Times New Roman" w:eastAsiaTheme="minorEastAsia"/>
          <w:color w:val="000000"/>
          <w:kern w:val="0"/>
          <w:sz w:val="24"/>
          <w:szCs w:val="24"/>
        </w:rPr>
      </w:pPr>
      <w:r>
        <w:rPr>
          <w:rFonts w:ascii="Times New Roman" w:hAnsi="Times New Roman" w:cs="Times New Roman" w:eastAsiaTheme="minorEastAsia"/>
          <w:color w:val="000000"/>
          <w:kern w:val="0"/>
          <w:sz w:val="24"/>
          <w:szCs w:val="24"/>
        </w:rPr>
        <w:t>社会保障和就业支出</w:t>
      </w:r>
      <w:r>
        <w:rPr>
          <w:rFonts w:hint="eastAsia" w:ascii="Times New Roman" w:hAnsi="Times New Roman" w:cs="Times New Roman" w:eastAsiaTheme="minorEastAsia"/>
          <w:color w:val="000000"/>
          <w:kern w:val="0"/>
          <w:sz w:val="24"/>
          <w:szCs w:val="24"/>
          <w:lang w:val="en-US" w:eastAsia="zh-CN"/>
        </w:rPr>
        <w:t>105.94</w:t>
      </w:r>
      <w:r>
        <w:rPr>
          <w:rFonts w:ascii="Times New Roman" w:hAnsi="Times New Roman" w:cs="Times New Roman" w:eastAsiaTheme="minorEastAsia"/>
          <w:color w:val="000000"/>
          <w:kern w:val="0"/>
          <w:sz w:val="24"/>
          <w:szCs w:val="24"/>
        </w:rPr>
        <w:t>万元</w:t>
      </w:r>
      <w:r>
        <w:rPr>
          <w:rFonts w:ascii="Times New Roman" w:hAnsi="Times New Roman" w:eastAsia="宋体" w:cs="Times New Roman"/>
          <w:color w:val="000000"/>
          <w:kern w:val="0"/>
          <w:sz w:val="24"/>
          <w:szCs w:val="24"/>
        </w:rPr>
        <w:t>、卫生</w:t>
      </w:r>
      <w:r>
        <w:rPr>
          <w:rFonts w:hint="eastAsia" w:ascii="Times New Roman" w:hAnsi="Times New Roman" w:eastAsia="宋体" w:cs="Times New Roman"/>
          <w:color w:val="000000"/>
          <w:kern w:val="0"/>
          <w:sz w:val="24"/>
          <w:szCs w:val="24"/>
          <w:lang w:val="en-US" w:eastAsia="zh-CN"/>
        </w:rPr>
        <w:t>健康</w:t>
      </w:r>
      <w:r>
        <w:rPr>
          <w:rFonts w:ascii="Times New Roman" w:hAnsi="Times New Roman" w:eastAsia="宋体" w:cs="Times New Roman"/>
          <w:color w:val="000000"/>
          <w:kern w:val="0"/>
          <w:sz w:val="24"/>
          <w:szCs w:val="24"/>
        </w:rPr>
        <w:t>支出</w:t>
      </w:r>
      <w:r>
        <w:rPr>
          <w:rFonts w:hint="eastAsia" w:ascii="Times New Roman" w:hAnsi="Times New Roman" w:eastAsia="宋体" w:cs="Times New Roman"/>
          <w:color w:val="000000"/>
          <w:kern w:val="0"/>
          <w:sz w:val="24"/>
          <w:szCs w:val="24"/>
          <w:lang w:val="en-US" w:eastAsia="zh-CN"/>
        </w:rPr>
        <w:t>5.21</w:t>
      </w:r>
      <w:r>
        <w:rPr>
          <w:rFonts w:ascii="Times New Roman" w:hAnsi="Times New Roman" w:cs="Times New Roman" w:eastAsiaTheme="minorEastAsia"/>
          <w:color w:val="000000"/>
          <w:kern w:val="0"/>
          <w:sz w:val="24"/>
          <w:szCs w:val="24"/>
        </w:rPr>
        <w:t>万元、住房保障支出</w:t>
      </w:r>
      <w:r>
        <w:rPr>
          <w:rFonts w:hint="eastAsia" w:ascii="Times New Roman" w:hAnsi="Times New Roman" w:cs="Times New Roman" w:eastAsiaTheme="minorEastAsia"/>
          <w:color w:val="000000"/>
          <w:kern w:val="0"/>
          <w:sz w:val="24"/>
          <w:szCs w:val="24"/>
          <w:lang w:val="en-US" w:eastAsia="zh-CN"/>
        </w:rPr>
        <w:t>10.15</w:t>
      </w:r>
      <w:r>
        <w:rPr>
          <w:rFonts w:ascii="Times New Roman" w:hAnsi="Times New Roman" w:cs="Times New Roman" w:eastAsiaTheme="minorEastAsia"/>
          <w:color w:val="000000"/>
          <w:kern w:val="0"/>
          <w:sz w:val="24"/>
          <w:szCs w:val="24"/>
        </w:rPr>
        <w:t>万元。　　</w:t>
      </w:r>
    </w:p>
    <w:p>
      <w:pPr>
        <w:widowControl/>
        <w:wordWrap w:val="0"/>
        <w:spacing w:line="480" w:lineRule="atLeast"/>
        <w:ind w:firstLine="560" w:firstLineChars="200"/>
        <w:outlineLvl w:val="1"/>
        <w:rPr>
          <w:rFonts w:ascii="Times New Roman" w:hAnsi="Times New Roman" w:cs="Times New Roman" w:eastAsiaTheme="minorEastAsia"/>
          <w:color w:val="000000"/>
          <w:kern w:val="0"/>
          <w:sz w:val="28"/>
          <w:szCs w:val="28"/>
        </w:rPr>
      </w:pPr>
      <w:bookmarkStart w:id="22" w:name="_Toc112443705"/>
      <w:r>
        <w:rPr>
          <w:rFonts w:ascii="Times New Roman" w:hAnsi="Times New Roman" w:cs="Times New Roman" w:eastAsiaTheme="minorEastAsia"/>
          <w:color w:val="000000"/>
          <w:kern w:val="0"/>
          <w:sz w:val="28"/>
          <w:szCs w:val="28"/>
        </w:rPr>
        <w:t>（三）一般公共预算当年拨款具体使用情况</w:t>
      </w:r>
      <w:bookmarkEnd w:id="22"/>
    </w:p>
    <w:p>
      <w:pPr>
        <w:widowControl/>
        <w:spacing w:line="360" w:lineRule="auto"/>
        <w:ind w:firstLine="480" w:firstLineChars="200"/>
        <w:jc w:val="left"/>
        <w:rPr>
          <w:rFonts w:ascii="Times New Roman" w:hAnsi="Times New Roman" w:cs="Times New Roman" w:eastAsiaTheme="minorEastAsia"/>
          <w:color w:val="000000"/>
          <w:sz w:val="24"/>
          <w:szCs w:val="24"/>
          <w:shd w:val="clear" w:color="auto" w:fill="FFFFFF"/>
        </w:rPr>
      </w:pPr>
      <w:r>
        <w:rPr>
          <w:rFonts w:ascii="Times New Roman" w:hAnsi="Times New Roman" w:cs="Times New Roman" w:eastAsiaTheme="minorEastAsia"/>
          <w:color w:val="000000"/>
          <w:kern w:val="0"/>
          <w:sz w:val="24"/>
          <w:szCs w:val="24"/>
        </w:rPr>
        <w:t>1</w:t>
      </w:r>
      <w:r>
        <w:rPr>
          <w:rFonts w:ascii="Times New Roman" w:hAnsi="Times New Roman" w:cs="Times New Roman" w:eastAsiaTheme="minorEastAsia"/>
          <w:color w:val="000000"/>
          <w:sz w:val="24"/>
          <w:szCs w:val="24"/>
        </w:rPr>
        <w:t>、</w:t>
      </w:r>
      <w:r>
        <w:rPr>
          <w:rFonts w:ascii="Times New Roman" w:hAnsi="Times New Roman" w:cs="Times New Roman" w:eastAsiaTheme="minorEastAsia"/>
          <w:color w:val="000000"/>
          <w:sz w:val="24"/>
          <w:szCs w:val="24"/>
          <w:shd w:val="clear" w:color="auto" w:fill="FFFFFF"/>
        </w:rPr>
        <w:t>社会保障和就业支出(类)退役军人管理事务(款)事业运行(项)</w:t>
      </w:r>
      <w:r>
        <w:rPr>
          <w:rFonts w:hint="eastAsia" w:ascii="Times New Roman" w:hAnsi="Times New Roman" w:cs="Times New Roman" w:eastAsiaTheme="minorEastAsia"/>
          <w:color w:val="000000"/>
          <w:sz w:val="24"/>
          <w:szCs w:val="24"/>
          <w:shd w:val="clear" w:color="auto" w:fill="FFFFFF"/>
          <w:lang w:eastAsia="zh-CN"/>
        </w:rPr>
        <w:t>2024年</w:t>
      </w:r>
      <w:r>
        <w:rPr>
          <w:rFonts w:ascii="Times New Roman" w:hAnsi="Times New Roman" w:cs="Times New Roman" w:eastAsiaTheme="minorEastAsia"/>
          <w:color w:val="000000"/>
          <w:sz w:val="24"/>
          <w:szCs w:val="24"/>
          <w:shd w:val="clear" w:color="auto" w:fill="FFFFFF"/>
        </w:rPr>
        <w:t>预算数为</w:t>
      </w:r>
      <w:r>
        <w:rPr>
          <w:rFonts w:hint="eastAsia" w:ascii="Times New Roman" w:hAnsi="Times New Roman" w:cs="Times New Roman" w:eastAsiaTheme="minorEastAsia"/>
          <w:color w:val="000000"/>
          <w:sz w:val="24"/>
          <w:szCs w:val="24"/>
          <w:shd w:val="clear" w:color="auto" w:fill="FFFFFF"/>
          <w:lang w:val="en-US" w:eastAsia="zh-CN"/>
        </w:rPr>
        <w:t>121.30</w:t>
      </w:r>
      <w:r>
        <w:rPr>
          <w:rFonts w:ascii="Times New Roman" w:hAnsi="Times New Roman" w:cs="Times New Roman" w:eastAsiaTheme="minorEastAsia"/>
          <w:color w:val="000000"/>
          <w:sz w:val="24"/>
          <w:szCs w:val="24"/>
          <w:shd w:val="clear" w:color="auto" w:fill="FFFFFF"/>
        </w:rPr>
        <w:t>万元，主要用于公共事务服务中心退役军人管理岗位正常运转的基本支出,包括基本工资、津贴补贴等人员经费以及办公费、水电及差旅费等日常公用经费。</w:t>
      </w:r>
    </w:p>
    <w:p>
      <w:pPr>
        <w:spacing w:line="360" w:lineRule="auto"/>
        <w:ind w:firstLine="480" w:firstLineChars="200"/>
        <w:jc w:val="left"/>
        <w:rPr>
          <w:rFonts w:ascii="Times New Roman" w:hAnsi="Times New Roman" w:cs="Times New Roman" w:eastAsiaTheme="minorEastAsia"/>
          <w:color w:val="000000"/>
          <w:sz w:val="24"/>
          <w:szCs w:val="24"/>
          <w:shd w:val="clear" w:color="auto" w:fill="FFFFFF"/>
        </w:rPr>
      </w:pPr>
      <w:r>
        <w:rPr>
          <w:rFonts w:hint="eastAsia" w:ascii="Times New Roman" w:hAnsi="Times New Roman" w:cs="Times New Roman" w:eastAsiaTheme="minorEastAsia"/>
          <w:color w:val="000000"/>
          <w:kern w:val="0"/>
          <w:sz w:val="24"/>
          <w:szCs w:val="24"/>
          <w:lang w:val="en-US" w:eastAsia="zh-CN"/>
        </w:rPr>
        <w:t>2、</w:t>
      </w:r>
      <w:r>
        <w:rPr>
          <w:rFonts w:ascii="Times New Roman" w:hAnsi="Times New Roman" w:cs="Times New Roman" w:eastAsiaTheme="minorEastAsia"/>
          <w:color w:val="000000"/>
          <w:kern w:val="0"/>
          <w:sz w:val="24"/>
          <w:szCs w:val="24"/>
        </w:rPr>
        <w:t>卫生健康支出（类）计划生育事务（款）计划生育机构（项）</w:t>
      </w:r>
      <w:r>
        <w:rPr>
          <w:rFonts w:hint="eastAsia" w:ascii="Times New Roman" w:hAnsi="Times New Roman" w:cs="Times New Roman" w:eastAsiaTheme="minorEastAsia"/>
          <w:color w:val="000000"/>
          <w:sz w:val="24"/>
          <w:szCs w:val="24"/>
          <w:shd w:val="clear" w:color="auto" w:fill="FFFFFF"/>
          <w:lang w:eastAsia="zh-CN"/>
        </w:rPr>
        <w:t>2024年</w:t>
      </w:r>
      <w:r>
        <w:rPr>
          <w:rFonts w:ascii="Times New Roman" w:hAnsi="Times New Roman" w:cs="Times New Roman" w:eastAsiaTheme="minorEastAsia"/>
          <w:color w:val="000000"/>
          <w:sz w:val="24"/>
          <w:szCs w:val="24"/>
          <w:shd w:val="clear" w:color="auto" w:fill="FFFFFF"/>
        </w:rPr>
        <w:t>预算数为</w:t>
      </w:r>
      <w:r>
        <w:rPr>
          <w:rFonts w:hint="eastAsia" w:ascii="Times New Roman" w:hAnsi="Times New Roman" w:cs="Times New Roman" w:eastAsiaTheme="minorEastAsia"/>
          <w:color w:val="000000"/>
          <w:sz w:val="24"/>
          <w:szCs w:val="24"/>
          <w:shd w:val="clear" w:color="auto" w:fill="FFFFFF"/>
          <w:lang w:val="en-US" w:eastAsia="zh-CN"/>
        </w:rPr>
        <w:t>5.21</w:t>
      </w:r>
      <w:r>
        <w:rPr>
          <w:rFonts w:ascii="Times New Roman" w:hAnsi="Times New Roman" w:cs="Times New Roman" w:eastAsiaTheme="minorEastAsia"/>
          <w:color w:val="000000"/>
          <w:sz w:val="24"/>
          <w:szCs w:val="24"/>
          <w:shd w:val="clear" w:color="auto" w:fill="FFFFFF"/>
        </w:rPr>
        <w:t>万元，主要用于公共事务服务中心卫计岗位正常运转的基本支出,包括基本工资、津贴补贴等人员经费以及办公费、水电及差旅费等日常公用经费</w:t>
      </w:r>
      <w:r>
        <w:rPr>
          <w:rFonts w:hint="eastAsia" w:ascii="Times New Roman" w:hAnsi="Times New Roman" w:cs="Times New Roman" w:eastAsiaTheme="minorEastAsia"/>
          <w:color w:val="000000"/>
          <w:sz w:val="24"/>
          <w:szCs w:val="24"/>
          <w:shd w:val="clear" w:color="auto" w:fill="FFFFFF"/>
          <w:lang w:eastAsia="zh-CN"/>
        </w:rPr>
        <w:t>，</w:t>
      </w:r>
      <w:r>
        <w:rPr>
          <w:rFonts w:ascii="Times New Roman" w:hAnsi="Times New Roman" w:cs="Times New Roman" w:eastAsiaTheme="minorEastAsia"/>
          <w:color w:val="000000"/>
          <w:kern w:val="0"/>
          <w:sz w:val="24"/>
          <w:szCs w:val="24"/>
        </w:rPr>
        <w:t>部门下属事业单位基本医疗保险缴费支出。</w:t>
      </w:r>
      <w:r>
        <w:rPr>
          <w:rFonts w:ascii="Times New Roman" w:hAnsi="Times New Roman" w:cs="Times New Roman" w:eastAsiaTheme="minorEastAsia"/>
          <w:color w:val="000000"/>
          <w:sz w:val="24"/>
          <w:szCs w:val="24"/>
          <w:shd w:val="clear" w:color="auto" w:fill="FFFFFF"/>
        </w:rPr>
        <w:t xml:space="preserve"> </w:t>
      </w:r>
    </w:p>
    <w:p>
      <w:pPr>
        <w:pStyle w:val="3"/>
        <w:spacing w:line="360" w:lineRule="auto"/>
        <w:ind w:firstLine="480" w:firstLineChars="200"/>
        <w:rPr>
          <w:rFonts w:ascii="Times New Roman" w:hAnsi="Times New Roman" w:eastAsia="仿宋_GB2312" w:cs="Times New Roman"/>
          <w:color w:val="000000"/>
          <w:kern w:val="0"/>
          <w:sz w:val="32"/>
          <w:szCs w:val="32"/>
        </w:rPr>
      </w:pPr>
      <w:r>
        <w:rPr>
          <w:rFonts w:hint="eastAsia" w:ascii="Times New Roman" w:hAnsi="Times New Roman" w:cs="Times New Roman" w:eastAsiaTheme="minorEastAsia"/>
          <w:color w:val="000000"/>
          <w:kern w:val="0"/>
          <w:sz w:val="24"/>
          <w:szCs w:val="24"/>
          <w:lang w:val="en-US" w:eastAsia="zh-CN"/>
        </w:rPr>
        <w:t>3</w:t>
      </w:r>
      <w:r>
        <w:rPr>
          <w:rFonts w:ascii="Times New Roman" w:hAnsi="Times New Roman" w:cs="Times New Roman" w:eastAsiaTheme="minorEastAsia"/>
          <w:color w:val="000000"/>
          <w:kern w:val="0"/>
          <w:sz w:val="24"/>
          <w:szCs w:val="24"/>
        </w:rPr>
        <w:t>、住房保障支出（类）住房改革支出（款）住房公积金（项）:</w:t>
      </w:r>
      <w:r>
        <w:rPr>
          <w:rFonts w:hint="eastAsia" w:ascii="Times New Roman" w:hAnsi="Times New Roman" w:cs="Times New Roman" w:eastAsiaTheme="minorEastAsia"/>
          <w:color w:val="000000"/>
          <w:kern w:val="0"/>
          <w:sz w:val="24"/>
          <w:szCs w:val="24"/>
          <w:lang w:eastAsia="zh-CN"/>
        </w:rPr>
        <w:t>2024年</w:t>
      </w:r>
      <w:r>
        <w:rPr>
          <w:rFonts w:ascii="Times New Roman" w:hAnsi="Times New Roman" w:cs="Times New Roman" w:eastAsiaTheme="minorEastAsia"/>
          <w:color w:val="000000"/>
          <w:kern w:val="0"/>
          <w:sz w:val="24"/>
          <w:szCs w:val="24"/>
        </w:rPr>
        <w:t>预算数为</w:t>
      </w:r>
      <w:r>
        <w:rPr>
          <w:rFonts w:hint="eastAsia" w:ascii="Times New Roman" w:hAnsi="Times New Roman" w:cs="Times New Roman" w:eastAsiaTheme="minorEastAsia"/>
          <w:color w:val="000000"/>
          <w:kern w:val="0"/>
          <w:sz w:val="24"/>
          <w:szCs w:val="24"/>
          <w:lang w:val="en-US" w:eastAsia="zh-CN"/>
        </w:rPr>
        <w:t>10.15</w:t>
      </w:r>
      <w:r>
        <w:rPr>
          <w:rFonts w:ascii="Times New Roman" w:hAnsi="Times New Roman" w:cs="Times New Roman" w:eastAsiaTheme="minorEastAsia"/>
          <w:color w:val="000000"/>
          <w:kern w:val="0"/>
          <w:sz w:val="24"/>
          <w:szCs w:val="24"/>
        </w:rPr>
        <w:t>万元，主要用于：部门按人力资源和社会保障部、财政部规定的基本工资和津贴补贴以及规定比例为职工缴纳的住房公积金支出。</w:t>
      </w:r>
    </w:p>
    <w:p>
      <w:pPr>
        <w:pStyle w:val="3"/>
        <w:spacing w:before="312" w:beforeLines="100" w:after="312" w:afterLines="100" w:line="360" w:lineRule="auto"/>
        <w:outlineLvl w:val="0"/>
        <w:rPr>
          <w:rFonts w:ascii="Times New Roman" w:hAnsi="Times New Roman" w:eastAsia="黑体" w:cs="Times New Roman"/>
          <w:color w:val="000000"/>
          <w:kern w:val="0"/>
          <w:sz w:val="32"/>
          <w:szCs w:val="32"/>
        </w:rPr>
      </w:pPr>
      <w:bookmarkStart w:id="23" w:name="_Toc112443706"/>
      <w:r>
        <w:rPr>
          <w:rFonts w:ascii="Times New Roman" w:hAnsi="Times New Roman" w:eastAsia="黑体" w:cs="Times New Roman"/>
          <w:color w:val="000000"/>
          <w:kern w:val="0"/>
          <w:sz w:val="32"/>
          <w:szCs w:val="32"/>
        </w:rPr>
        <w:t>六、一般公共预算基本支出情况说明</w:t>
      </w:r>
      <w:bookmarkEnd w:id="23"/>
    </w:p>
    <w:p>
      <w:pPr>
        <w:pStyle w:val="3"/>
        <w:spacing w:line="360" w:lineRule="auto"/>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公共事务服务中心</w:t>
      </w:r>
      <w:r>
        <w:rPr>
          <w:rFonts w:hint="eastAsia" w:ascii="Times New Roman" w:hAnsi="Times New Roman" w:eastAsia="宋体" w:cs="Times New Roman"/>
          <w:color w:val="000000"/>
          <w:kern w:val="0"/>
          <w:sz w:val="24"/>
          <w:szCs w:val="24"/>
          <w:lang w:eastAsia="zh-CN"/>
        </w:rPr>
        <w:t>2024年</w:t>
      </w:r>
      <w:r>
        <w:rPr>
          <w:rFonts w:ascii="Times New Roman" w:hAnsi="Times New Roman" w:eastAsia="宋体" w:cs="Times New Roman"/>
          <w:color w:val="000000"/>
          <w:kern w:val="0"/>
          <w:sz w:val="24"/>
          <w:szCs w:val="24"/>
        </w:rPr>
        <w:t>一般公共预算基本支出</w:t>
      </w:r>
      <w:r>
        <w:rPr>
          <w:rFonts w:hint="eastAsia" w:ascii="Times New Roman" w:hAnsi="Times New Roman" w:eastAsia="宋体" w:cs="Times New Roman"/>
          <w:color w:val="000000"/>
          <w:kern w:val="0"/>
          <w:sz w:val="24"/>
          <w:szCs w:val="24"/>
          <w:lang w:val="en-US" w:eastAsia="zh-CN"/>
        </w:rPr>
        <w:t>121.30</w:t>
      </w:r>
      <w:r>
        <w:rPr>
          <w:rFonts w:ascii="Times New Roman" w:hAnsi="Times New Roman" w:eastAsia="宋体" w:cs="Times New Roman"/>
          <w:color w:val="000000"/>
          <w:kern w:val="0"/>
          <w:sz w:val="24"/>
          <w:szCs w:val="24"/>
        </w:rPr>
        <w:t>万元，其中：</w:t>
      </w:r>
    </w:p>
    <w:p>
      <w:pPr>
        <w:pStyle w:val="3"/>
        <w:spacing w:line="360" w:lineRule="auto"/>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人员经费</w:t>
      </w:r>
      <w:r>
        <w:rPr>
          <w:rFonts w:hint="eastAsia" w:ascii="Times New Roman" w:hAnsi="Times New Roman" w:eastAsia="宋体" w:cs="Times New Roman"/>
          <w:color w:val="000000"/>
          <w:kern w:val="0"/>
          <w:sz w:val="24"/>
          <w:szCs w:val="24"/>
          <w:lang w:val="en-US" w:eastAsia="zh-CN"/>
        </w:rPr>
        <w:t>112.26</w:t>
      </w:r>
      <w:r>
        <w:rPr>
          <w:rFonts w:ascii="Times New Roman" w:hAnsi="Times New Roman" w:eastAsia="宋体" w:cs="Times New Roman"/>
          <w:color w:val="000000"/>
          <w:kern w:val="0"/>
          <w:sz w:val="24"/>
          <w:szCs w:val="24"/>
        </w:rPr>
        <w:t xml:space="preserve"> 万元，主要包括：基本工资、津贴补贴、奖金、社会保险缴费、绩效工资、机关事业单位基本养老保险缴费、住房公积金、奖励金。</w:t>
      </w:r>
    </w:p>
    <w:p>
      <w:pPr>
        <w:pStyle w:val="3"/>
        <w:spacing w:line="360" w:lineRule="auto"/>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公用经费</w:t>
      </w:r>
      <w:r>
        <w:rPr>
          <w:rFonts w:hint="eastAsia" w:ascii="Times New Roman" w:hAnsi="Times New Roman" w:eastAsia="宋体" w:cs="Times New Roman"/>
          <w:color w:val="000000"/>
          <w:kern w:val="0"/>
          <w:sz w:val="24"/>
          <w:szCs w:val="24"/>
          <w:lang w:val="en-US" w:eastAsia="zh-CN"/>
        </w:rPr>
        <w:t>9.04</w:t>
      </w:r>
      <w:r>
        <w:rPr>
          <w:rFonts w:ascii="Times New Roman" w:hAnsi="Times New Roman" w:eastAsia="宋体" w:cs="Times New Roman"/>
          <w:color w:val="000000"/>
          <w:kern w:val="0"/>
          <w:sz w:val="24"/>
          <w:szCs w:val="24"/>
        </w:rPr>
        <w:t>万元，主要包括：办公费、印刷费、水费、电费、邮电费、差旅费、培训费、劳务费、工会经费。</w:t>
      </w:r>
    </w:p>
    <w:p>
      <w:pPr>
        <w:pStyle w:val="3"/>
        <w:spacing w:before="312" w:beforeLines="100" w:after="312" w:afterLines="100" w:line="360" w:lineRule="auto"/>
        <w:outlineLvl w:val="0"/>
        <w:rPr>
          <w:rFonts w:ascii="Times New Roman" w:hAnsi="Times New Roman" w:eastAsia="黑体" w:cs="Times New Roman"/>
          <w:color w:val="000000"/>
          <w:kern w:val="0"/>
          <w:sz w:val="32"/>
          <w:szCs w:val="32"/>
        </w:rPr>
      </w:pPr>
      <w:bookmarkStart w:id="24" w:name="_Toc112443707"/>
      <w:r>
        <w:rPr>
          <w:rFonts w:ascii="Times New Roman" w:hAnsi="Times New Roman" w:eastAsia="黑体" w:cs="Times New Roman"/>
          <w:color w:val="000000"/>
          <w:kern w:val="0"/>
          <w:sz w:val="32"/>
          <w:szCs w:val="32"/>
        </w:rPr>
        <w:t>七、“三公”经费财政拨款预算安排情况说明</w:t>
      </w:r>
      <w:bookmarkEnd w:id="24"/>
    </w:p>
    <w:p>
      <w:pPr>
        <w:pStyle w:val="3"/>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color w:val="000000"/>
          <w:kern w:val="0"/>
          <w:sz w:val="24"/>
          <w:szCs w:val="24"/>
        </w:rPr>
        <w:t>公共事务</w:t>
      </w:r>
      <w:r>
        <w:rPr>
          <w:rFonts w:ascii="Times New Roman" w:hAnsi="Times New Roman" w:cs="Times New Roman" w:eastAsiaTheme="minorEastAsia"/>
          <w:sz w:val="24"/>
          <w:szCs w:val="24"/>
        </w:rPr>
        <w:t>服务中心</w:t>
      </w:r>
      <w:r>
        <w:rPr>
          <w:rFonts w:hint="eastAsia" w:ascii="Times New Roman" w:hAnsi="Times New Roman" w:cs="Times New Roman" w:eastAsiaTheme="minorEastAsia"/>
          <w:sz w:val="24"/>
          <w:szCs w:val="24"/>
          <w:lang w:eastAsia="zh-CN"/>
        </w:rPr>
        <w:t>2024年</w:t>
      </w:r>
      <w:r>
        <w:rPr>
          <w:rFonts w:ascii="Times New Roman" w:hAnsi="Times New Roman" w:cs="Times New Roman" w:eastAsiaTheme="minorEastAsia"/>
          <w:sz w:val="24"/>
          <w:szCs w:val="24"/>
        </w:rPr>
        <w:t>“三公”经费财政拨款预算数 0万元，其中：因公出国（境）经费 0万元，公务接待费 0万元，公务用车购置及运行维护费 0万元。</w:t>
      </w:r>
    </w:p>
    <w:p>
      <w:pPr>
        <w:pStyle w:val="3"/>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（一）202</w:t>
      </w:r>
      <w:r>
        <w:rPr>
          <w:rFonts w:hint="eastAsia" w:ascii="Times New Roman" w:hAnsi="Times New Roman" w:cs="Times New Roman" w:eastAsiaTheme="minorEastAsia"/>
          <w:sz w:val="24"/>
          <w:szCs w:val="24"/>
          <w:lang w:val="en-US" w:eastAsia="zh-CN"/>
        </w:rPr>
        <w:t>3</w:t>
      </w:r>
      <w:r>
        <w:rPr>
          <w:rFonts w:ascii="Times New Roman" w:hAnsi="Times New Roman" w:cs="Times New Roman" w:eastAsiaTheme="minorEastAsia"/>
          <w:sz w:val="24"/>
          <w:szCs w:val="24"/>
        </w:rPr>
        <w:t>公共事务服务中心无因公出国（境）经费。</w:t>
      </w:r>
    </w:p>
    <w:p>
      <w:pPr>
        <w:pStyle w:val="3"/>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（二）</w:t>
      </w:r>
      <w:r>
        <w:rPr>
          <w:rFonts w:hint="eastAsia" w:ascii="Times New Roman" w:hAnsi="Times New Roman" w:cs="Times New Roman" w:eastAsiaTheme="minorEastAsia"/>
          <w:sz w:val="24"/>
          <w:szCs w:val="24"/>
          <w:lang w:eastAsia="zh-CN"/>
        </w:rPr>
        <w:t>2024年</w:t>
      </w:r>
      <w:r>
        <w:rPr>
          <w:rFonts w:ascii="Times New Roman" w:hAnsi="Times New Roman" w:cs="Times New Roman" w:eastAsiaTheme="minorEastAsia"/>
          <w:sz w:val="24"/>
          <w:szCs w:val="24"/>
        </w:rPr>
        <w:t>公共事务服务中心没预算公务接待费。</w:t>
      </w:r>
    </w:p>
    <w:p>
      <w:pPr>
        <w:pStyle w:val="3"/>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（三）</w:t>
      </w:r>
      <w:r>
        <w:rPr>
          <w:rFonts w:hint="eastAsia" w:ascii="Times New Roman" w:hAnsi="Times New Roman" w:cs="Times New Roman" w:eastAsiaTheme="minorEastAsia"/>
          <w:sz w:val="24"/>
          <w:szCs w:val="24"/>
          <w:lang w:eastAsia="zh-CN"/>
        </w:rPr>
        <w:t>2024年</w:t>
      </w:r>
      <w:r>
        <w:rPr>
          <w:rFonts w:ascii="Times New Roman" w:hAnsi="Times New Roman" w:cs="Times New Roman" w:eastAsiaTheme="minorEastAsia"/>
          <w:sz w:val="24"/>
          <w:szCs w:val="24"/>
        </w:rPr>
        <w:t>公共事务服务中心无公务用车购置及运行维护费。</w:t>
      </w:r>
    </w:p>
    <w:p>
      <w:pPr>
        <w:pStyle w:val="3"/>
        <w:spacing w:before="100" w:after="100" w:line="360" w:lineRule="auto"/>
        <w:outlineLvl w:val="0"/>
        <w:rPr>
          <w:rFonts w:ascii="Times New Roman" w:hAnsi="Times New Roman" w:eastAsia="仿宋_GB2312" w:cs="Times New Roman"/>
          <w:b/>
          <w:bCs/>
          <w:sz w:val="32"/>
          <w:szCs w:val="32"/>
        </w:rPr>
      </w:pPr>
      <w:bookmarkStart w:id="25" w:name="_Toc112443708"/>
      <w:r>
        <w:rPr>
          <w:rFonts w:ascii="Times New Roman" w:hAnsi="Times New Roman" w:eastAsia="仿宋_GB2312" w:cs="Times New Roman"/>
          <w:b/>
          <w:bCs/>
          <w:sz w:val="32"/>
          <w:szCs w:val="32"/>
        </w:rPr>
        <w:t>八、政府性基金预算支出情况说明</w:t>
      </w:r>
      <w:bookmarkEnd w:id="25"/>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公共事务服务中心</w:t>
      </w:r>
      <w:r>
        <w:rPr>
          <w:rFonts w:hint="eastAsia" w:ascii="Times New Roman" w:hAnsi="Times New Roman" w:eastAsia="宋体" w:cs="Times New Roman"/>
          <w:sz w:val="24"/>
          <w:szCs w:val="24"/>
          <w:lang w:eastAsia="zh-CN"/>
        </w:rPr>
        <w:t>2024年</w:t>
      </w:r>
      <w:r>
        <w:rPr>
          <w:rFonts w:ascii="Times New Roman" w:hAnsi="Times New Roman" w:eastAsia="宋体" w:cs="Times New Roman"/>
          <w:sz w:val="24"/>
          <w:szCs w:val="24"/>
        </w:rPr>
        <w:t>没有使用政府性基金预算拨款安排的支出。</w:t>
      </w:r>
    </w:p>
    <w:p>
      <w:pPr>
        <w:pStyle w:val="3"/>
        <w:spacing w:before="100" w:after="100" w:line="360" w:lineRule="auto"/>
        <w:outlineLvl w:val="0"/>
        <w:rPr>
          <w:rFonts w:ascii="Times New Roman" w:hAnsi="Times New Roman" w:eastAsia="仿宋_GB2312" w:cs="Times New Roman"/>
          <w:b/>
          <w:bCs/>
          <w:sz w:val="32"/>
          <w:szCs w:val="32"/>
        </w:rPr>
      </w:pPr>
      <w:bookmarkStart w:id="26" w:name="_Toc112443709"/>
      <w:r>
        <w:rPr>
          <w:rFonts w:ascii="Times New Roman" w:hAnsi="Times New Roman" w:eastAsia="仿宋_GB2312" w:cs="Times New Roman"/>
          <w:b/>
          <w:bCs/>
          <w:sz w:val="32"/>
          <w:szCs w:val="32"/>
        </w:rPr>
        <w:t>九、其他重要事项的情况说明</w:t>
      </w:r>
      <w:bookmarkEnd w:id="26"/>
    </w:p>
    <w:p>
      <w:pPr>
        <w:pStyle w:val="3"/>
        <w:spacing w:line="360" w:lineRule="auto"/>
        <w:ind w:firstLine="372" w:firstLineChars="133"/>
        <w:outlineLvl w:val="1"/>
        <w:rPr>
          <w:rFonts w:ascii="Times New Roman" w:hAnsi="Times New Roman" w:cs="Times New Roman" w:eastAsiaTheme="minorEastAsia"/>
          <w:sz w:val="28"/>
          <w:szCs w:val="28"/>
        </w:rPr>
      </w:pPr>
      <w:bookmarkStart w:id="27" w:name="_Toc112443710"/>
      <w:r>
        <w:rPr>
          <w:rFonts w:ascii="Times New Roman" w:hAnsi="Times New Roman" w:cs="Times New Roman" w:eastAsiaTheme="minorEastAsia"/>
          <w:sz w:val="28"/>
          <w:szCs w:val="28"/>
        </w:rPr>
        <w:t>（一）政府采购情况。</w:t>
      </w:r>
      <w:bookmarkEnd w:id="27"/>
    </w:p>
    <w:p>
      <w:pPr>
        <w:pStyle w:val="3"/>
        <w:spacing w:line="560" w:lineRule="exact"/>
        <w:ind w:firstLine="480" w:firstLineChars="200"/>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eastAsia="zh-CN"/>
        </w:rPr>
        <w:t>2024年</w:t>
      </w:r>
      <w:r>
        <w:rPr>
          <w:rFonts w:ascii="Times New Roman" w:hAnsi="Times New Roman" w:cs="Times New Roman" w:eastAsiaTheme="minorEastAsia"/>
          <w:sz w:val="24"/>
          <w:szCs w:val="24"/>
        </w:rPr>
        <w:t>，没有安排政府采购预算</w:t>
      </w:r>
      <w:r>
        <w:rPr>
          <w:rFonts w:hint="eastAsia" w:ascii="Times New Roman" w:hAnsi="Times New Roman" w:cs="Times New Roman" w:eastAsiaTheme="minorEastAsia"/>
          <w:sz w:val="24"/>
          <w:szCs w:val="24"/>
          <w:lang w:eastAsia="zh-CN"/>
        </w:rPr>
        <w:t>，</w:t>
      </w:r>
      <w:r>
        <w:rPr>
          <w:rFonts w:hint="eastAsia" w:ascii="Times New Roman" w:hAnsi="Times New Roman" w:cs="Times New Roman" w:eastAsiaTheme="minorEastAsia"/>
          <w:sz w:val="24"/>
          <w:szCs w:val="24"/>
          <w:lang w:val="en-US" w:eastAsia="zh-CN"/>
        </w:rPr>
        <w:t>若需采购，在年中进行采购预算调剂。</w:t>
      </w:r>
    </w:p>
    <w:p>
      <w:pPr>
        <w:spacing w:line="360" w:lineRule="auto"/>
        <w:ind w:firstLine="372" w:firstLineChars="133"/>
        <w:jc w:val="left"/>
        <w:outlineLvl w:val="1"/>
        <w:rPr>
          <w:rFonts w:ascii="Times New Roman" w:hAnsi="Times New Roman" w:eastAsia="仿宋_GB2312" w:cs="Times New Roman"/>
          <w:sz w:val="28"/>
          <w:szCs w:val="28"/>
        </w:rPr>
      </w:pPr>
      <w:bookmarkStart w:id="28" w:name="_Toc112443711"/>
      <w:r>
        <w:rPr>
          <w:rFonts w:ascii="Times New Roman" w:hAnsi="Times New Roman" w:cs="Times New Roman" w:eastAsiaTheme="minorEastAsia"/>
          <w:sz w:val="28"/>
          <w:szCs w:val="28"/>
        </w:rPr>
        <w:t>（二）绩效目标设置情况</w:t>
      </w:r>
      <w:bookmarkEnd w:id="28"/>
      <w:r>
        <w:rPr>
          <w:rFonts w:ascii="Times New Roman" w:hAnsi="Times New Roman" w:eastAsia="仿宋_GB2312" w:cs="Times New Roman"/>
          <w:sz w:val="28"/>
          <w:szCs w:val="28"/>
        </w:rPr>
        <w:t xml:space="preserve"> </w:t>
      </w:r>
    </w:p>
    <w:p>
      <w:pPr>
        <w:spacing w:line="360" w:lineRule="auto"/>
        <w:ind w:firstLine="480" w:firstLineChars="200"/>
        <w:rPr>
          <w:rFonts w:ascii="Times New Roman" w:hAnsi="Times New Roman" w:cs="Times New Roman" w:eastAsiaTheme="minorEastAsia"/>
          <w:color w:val="000000"/>
          <w:kern w:val="0"/>
          <w:sz w:val="24"/>
          <w:szCs w:val="24"/>
        </w:rPr>
      </w:pPr>
      <w:r>
        <w:rPr>
          <w:rFonts w:hint="eastAsia" w:ascii="Times New Roman" w:hAnsi="Times New Roman" w:cs="Times New Roman" w:eastAsiaTheme="minorEastAsia"/>
          <w:sz w:val="24"/>
          <w:szCs w:val="24"/>
          <w:lang w:eastAsia="zh-CN"/>
        </w:rPr>
        <w:t>2024年</w:t>
      </w:r>
      <w:r>
        <w:rPr>
          <w:rFonts w:ascii="Times New Roman" w:hAnsi="Times New Roman" w:cs="Times New Roman" w:eastAsiaTheme="minorEastAsia"/>
          <w:sz w:val="24"/>
          <w:szCs w:val="24"/>
        </w:rPr>
        <w:t>财政部门通用项目和专用项目均按要求实行绩效目标管理，涉及一般公共预算当年拨款</w:t>
      </w:r>
      <w:r>
        <w:rPr>
          <w:rFonts w:hint="eastAsia" w:ascii="Times New Roman" w:hAnsi="Times New Roman" w:cs="Times New Roman" w:eastAsiaTheme="minorEastAsia"/>
          <w:sz w:val="24"/>
          <w:szCs w:val="24"/>
          <w:lang w:val="en-US" w:eastAsia="zh-CN"/>
        </w:rPr>
        <w:t>121.3</w:t>
      </w:r>
      <w:r>
        <w:rPr>
          <w:rFonts w:ascii="Times New Roman" w:hAnsi="Times New Roman" w:cs="Times New Roman" w:eastAsiaTheme="minorEastAsia"/>
          <w:sz w:val="24"/>
          <w:szCs w:val="24"/>
        </w:rPr>
        <w:t>万元。</w:t>
      </w:r>
    </w:p>
    <w:p>
      <w:pPr>
        <w:spacing w:line="360" w:lineRule="auto"/>
        <w:ind w:firstLine="480" w:firstLineChars="200"/>
        <w:rPr>
          <w:rFonts w:ascii="Times New Roman" w:hAnsi="Times New Roman" w:cs="Times New Roman" w:eastAsiaTheme="minorEastAsia"/>
          <w:color w:val="000000"/>
          <w:kern w:val="0"/>
          <w:sz w:val="24"/>
          <w:szCs w:val="24"/>
        </w:rPr>
      </w:pPr>
      <w:r>
        <w:rPr>
          <w:rFonts w:ascii="Times New Roman" w:hAnsi="Times New Roman" w:cs="Times New Roman" w:eastAsiaTheme="minorEastAsia"/>
          <w:color w:val="000000"/>
          <w:kern w:val="0"/>
          <w:sz w:val="24"/>
          <w:szCs w:val="24"/>
        </w:rPr>
        <w:t xml:space="preserve">附件： </w:t>
      </w:r>
      <w:r>
        <w:rPr>
          <w:rFonts w:hint="eastAsia" w:ascii="Times New Roman" w:hAnsi="Times New Roman" w:cs="Times New Roman" w:eastAsiaTheme="minorEastAsia"/>
          <w:color w:val="000000"/>
          <w:kern w:val="0"/>
          <w:sz w:val="24"/>
          <w:szCs w:val="24"/>
          <w:lang w:eastAsia="zh-CN"/>
        </w:rPr>
        <w:t>2024年</w:t>
      </w:r>
      <w:r>
        <w:rPr>
          <w:rFonts w:ascii="Times New Roman" w:hAnsi="Times New Roman" w:cs="Times New Roman" w:eastAsiaTheme="minorEastAsia"/>
          <w:color w:val="000000"/>
          <w:kern w:val="0"/>
          <w:sz w:val="24"/>
          <w:szCs w:val="24"/>
        </w:rPr>
        <w:t>部门预算公开报表</w:t>
      </w:r>
    </w:p>
    <w:p>
      <w:pPr>
        <w:spacing w:line="360" w:lineRule="auto"/>
        <w:ind w:firstLine="480" w:firstLineChars="200"/>
        <w:rPr>
          <w:rFonts w:ascii="Times New Roman" w:hAnsi="Times New Roman" w:cs="Times New Roman" w:eastAsiaTheme="minorEastAsia"/>
          <w:color w:val="000000"/>
          <w:kern w:val="0"/>
          <w:sz w:val="24"/>
          <w:szCs w:val="24"/>
        </w:rPr>
      </w:pPr>
    </w:p>
    <w:p>
      <w:pPr>
        <w:spacing w:line="360" w:lineRule="auto"/>
        <w:ind w:firstLine="480" w:firstLineChars="200"/>
        <w:rPr>
          <w:rFonts w:ascii="Times New Roman" w:hAnsi="Times New Roman" w:cs="Times New Roman" w:eastAsiaTheme="minorEastAsia"/>
          <w:color w:val="000000"/>
          <w:kern w:val="0"/>
          <w:sz w:val="24"/>
          <w:szCs w:val="24"/>
        </w:rPr>
      </w:pPr>
    </w:p>
    <w:p>
      <w:pPr>
        <w:spacing w:before="312" w:beforeLines="100" w:after="312" w:afterLines="100" w:line="360" w:lineRule="auto"/>
        <w:jc w:val="left"/>
        <w:outlineLvl w:val="0"/>
        <w:rPr>
          <w:rFonts w:ascii="Times New Roman" w:hAnsi="Times New Roman" w:eastAsia="黑体" w:cs="Times New Roman"/>
          <w:b/>
          <w:bCs/>
          <w:sz w:val="28"/>
          <w:szCs w:val="28"/>
        </w:rPr>
      </w:pPr>
      <w:bookmarkStart w:id="29" w:name="_Toc112443712"/>
      <w:r>
        <w:rPr>
          <w:rStyle w:val="13"/>
          <w:rFonts w:ascii="Times New Roman" w:hAnsi="Times New Roman" w:eastAsia="黑体" w:cs="Times New Roman"/>
          <w:b w:val="0"/>
          <w:bCs/>
          <w:sz w:val="28"/>
          <w:szCs w:val="28"/>
        </w:rPr>
        <w:t>十、名词解释</w:t>
      </w:r>
      <w:bookmarkEnd w:id="29"/>
      <w:bookmarkStart w:id="34" w:name="_GoBack"/>
      <w:bookmarkEnd w:id="34"/>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1、财政拨款收入：指单位从同级财政部门取得的财政预算资金。</w:t>
      </w:r>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2、事业收入：指事业单位开展专业业务活动及辅助活动取得的收入。如…（二级预算单位事业收入情况）等。</w:t>
      </w:r>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3、经营收入：指事业单位在专业业务活动及其辅助活动之外开展非独立核算经营活动取得的收入。如…（二级预算单位经营收入情况）等。</w:t>
      </w:r>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 xml:space="preserve">4、其他收入：指单位取得的除上述收入以外的各项收入。主要是…（收入类型）等。 </w:t>
      </w:r>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 xml:space="preserve">6、年初结转和结余：指以前年度尚未完成、结转到本年按有关规定继续使用的资金。 </w:t>
      </w:r>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7、结余分配：指事业单位按照事业单位会计制度的规定从非财政补助结余中分配的事业基金和职工福利基金等。</w:t>
      </w:r>
    </w:p>
    <w:p>
      <w:pPr>
        <w:spacing w:line="360" w:lineRule="auto"/>
        <w:ind w:firstLine="480" w:firstLineChars="200"/>
        <w:jc w:val="left"/>
        <w:rPr>
          <w:rFonts w:ascii="Times New Roman" w:hAnsi="Times New Roman" w:cs="Times New Roman" w:eastAsiaTheme="minorEastAsia"/>
          <w:sz w:val="24"/>
          <w:szCs w:val="24"/>
        </w:rPr>
      </w:pPr>
      <w:r>
        <w:rPr>
          <w:rFonts w:ascii="Times New Roman" w:hAnsi="Times New Roman" w:cs="Times New Roman" w:eastAsiaTheme="minorEastAsia"/>
          <w:sz w:val="24"/>
          <w:szCs w:val="24"/>
        </w:rPr>
        <w:t>8、年末结转和结余：指单位按有关规定结转到下年或以后年度继续使用的资金。</w:t>
      </w:r>
    </w:p>
    <w:p>
      <w:pPr>
        <w:spacing w:line="360" w:lineRule="auto"/>
        <w:ind w:firstLine="480" w:firstLineChars="200"/>
        <w:jc w:val="left"/>
        <w:rPr>
          <w:rStyle w:val="9"/>
          <w:rFonts w:ascii="Times New Roman" w:hAnsi="Times New Roman" w:cs="Times New Roman" w:eastAsiaTheme="minorEastAsia"/>
          <w:b w:val="0"/>
          <w:color w:val="000000"/>
          <w:sz w:val="24"/>
          <w:szCs w:val="24"/>
        </w:rPr>
      </w:pPr>
      <w:bookmarkStart w:id="30" w:name="_Hlk83538423"/>
      <w:r>
        <w:rPr>
          <w:rStyle w:val="9"/>
          <w:rFonts w:ascii="Times New Roman" w:hAnsi="Times New Roman" w:cs="Times New Roman" w:eastAsiaTheme="minorEastAsia"/>
          <w:b w:val="0"/>
          <w:color w:val="000000"/>
          <w:sz w:val="24"/>
          <w:szCs w:val="24"/>
        </w:rPr>
        <w:t>9、一般公共服务（类）统计信息事务（款）事业运行（项）：</w:t>
      </w:r>
      <w:bookmarkStart w:id="31" w:name="_Hlk83538489"/>
      <w:r>
        <w:rPr>
          <w:rStyle w:val="9"/>
          <w:rFonts w:ascii="Times New Roman" w:hAnsi="Times New Roman" w:cs="Times New Roman" w:eastAsiaTheme="minorEastAsia"/>
          <w:b w:val="0"/>
          <w:color w:val="000000"/>
          <w:sz w:val="24"/>
          <w:szCs w:val="24"/>
        </w:rPr>
        <w:t>指事业单位的基本支出。</w:t>
      </w:r>
    </w:p>
    <w:bookmarkEnd w:id="31"/>
    <w:p>
      <w:pPr>
        <w:spacing w:line="360" w:lineRule="auto"/>
        <w:ind w:firstLine="480" w:firstLineChars="200"/>
        <w:jc w:val="left"/>
        <w:rPr>
          <w:rStyle w:val="9"/>
          <w:rFonts w:ascii="Times New Roman" w:hAnsi="Times New Roman" w:cs="Times New Roman" w:eastAsiaTheme="minorEastAsia"/>
          <w:b w:val="0"/>
          <w:color w:val="000000"/>
          <w:sz w:val="24"/>
          <w:szCs w:val="24"/>
        </w:rPr>
      </w:pPr>
      <w:r>
        <w:rPr>
          <w:rStyle w:val="9"/>
          <w:rFonts w:ascii="Times New Roman" w:hAnsi="Times New Roman" w:cs="Times New Roman" w:eastAsiaTheme="minorEastAsia"/>
          <w:b w:val="0"/>
          <w:color w:val="000000"/>
          <w:sz w:val="24"/>
          <w:szCs w:val="24"/>
        </w:rPr>
        <w:t>10、一般公共服务（类）市场监督管理事务（款）事业运行（项）</w:t>
      </w:r>
      <w:bookmarkStart w:id="32" w:name="_Hlk83538512"/>
      <w:r>
        <w:rPr>
          <w:rStyle w:val="9"/>
          <w:rFonts w:ascii="Times New Roman" w:hAnsi="Times New Roman" w:cs="Times New Roman" w:eastAsiaTheme="minorEastAsia"/>
          <w:b w:val="0"/>
          <w:color w:val="000000"/>
          <w:sz w:val="24"/>
          <w:szCs w:val="24"/>
        </w:rPr>
        <w:t>指事业单位的基本支出。</w:t>
      </w:r>
      <w:bookmarkEnd w:id="32"/>
    </w:p>
    <w:p>
      <w:pPr>
        <w:spacing w:line="360" w:lineRule="auto"/>
        <w:ind w:firstLine="480" w:firstLineChars="200"/>
        <w:jc w:val="left"/>
        <w:rPr>
          <w:rStyle w:val="9"/>
          <w:rFonts w:ascii="Times New Roman" w:hAnsi="Times New Roman" w:cs="Times New Roman" w:eastAsiaTheme="minorEastAsia"/>
          <w:b w:val="0"/>
          <w:color w:val="000000"/>
          <w:sz w:val="24"/>
          <w:szCs w:val="24"/>
        </w:rPr>
      </w:pPr>
      <w:r>
        <w:rPr>
          <w:rStyle w:val="9"/>
          <w:rFonts w:ascii="Times New Roman" w:hAnsi="Times New Roman" w:cs="Times New Roman" w:eastAsiaTheme="minorEastAsia"/>
          <w:b w:val="0"/>
          <w:color w:val="000000"/>
          <w:sz w:val="24"/>
          <w:szCs w:val="24"/>
        </w:rPr>
        <w:t>11、文化旅游体育与传媒（类）文化和旅游（款）群众文化（项）:</w:t>
      </w:r>
      <w:bookmarkEnd w:id="30"/>
      <w:r>
        <w:rPr>
          <w:rStyle w:val="9"/>
          <w:rFonts w:ascii="Times New Roman" w:hAnsi="Times New Roman" w:cs="Times New Roman" w:eastAsiaTheme="minorEastAsia"/>
          <w:b w:val="0"/>
          <w:color w:val="000000"/>
          <w:sz w:val="24"/>
          <w:szCs w:val="24"/>
        </w:rPr>
        <w:t xml:space="preserve"> 指事业单位的基本支出。</w:t>
      </w:r>
    </w:p>
    <w:p>
      <w:pPr>
        <w:spacing w:line="360" w:lineRule="auto"/>
        <w:ind w:firstLine="480" w:firstLineChars="200"/>
        <w:jc w:val="left"/>
        <w:rPr>
          <w:rStyle w:val="9"/>
          <w:rFonts w:ascii="Times New Roman" w:hAnsi="Times New Roman" w:cs="Times New Roman" w:eastAsiaTheme="minorEastAsia"/>
          <w:b w:val="0"/>
          <w:color w:val="000000"/>
          <w:sz w:val="24"/>
          <w:szCs w:val="24"/>
        </w:rPr>
      </w:pPr>
      <w:r>
        <w:rPr>
          <w:rStyle w:val="9"/>
          <w:rFonts w:ascii="Times New Roman" w:hAnsi="Times New Roman" w:cs="Times New Roman" w:eastAsiaTheme="minorEastAsia"/>
          <w:b w:val="0"/>
          <w:color w:val="000000"/>
          <w:sz w:val="24"/>
          <w:szCs w:val="24"/>
        </w:rPr>
        <w:t>12、社会保障和就业（类）民政管理事务支出（款）其他民政管理事务支出（项）: 指事业单位的基本支出。</w:t>
      </w:r>
    </w:p>
    <w:p>
      <w:pPr>
        <w:spacing w:line="360" w:lineRule="auto"/>
        <w:ind w:firstLine="480" w:firstLineChars="200"/>
        <w:jc w:val="left"/>
        <w:rPr>
          <w:rStyle w:val="9"/>
          <w:rFonts w:ascii="Times New Roman" w:hAnsi="Times New Roman" w:cs="Times New Roman" w:eastAsiaTheme="minorEastAsia"/>
          <w:b w:val="0"/>
          <w:color w:val="000000"/>
          <w:sz w:val="24"/>
          <w:szCs w:val="24"/>
        </w:rPr>
      </w:pPr>
      <w:bookmarkStart w:id="33" w:name="_Hlk83538608"/>
      <w:r>
        <w:rPr>
          <w:rStyle w:val="9"/>
          <w:rFonts w:ascii="Times New Roman" w:hAnsi="Times New Roman" w:cs="Times New Roman" w:eastAsiaTheme="minorEastAsia"/>
          <w:b w:val="0"/>
          <w:color w:val="000000"/>
          <w:sz w:val="24"/>
          <w:szCs w:val="24"/>
        </w:rPr>
        <w:t>13、社会保障和就业（类）退役军人管理事务（款）其他退役军人事务管理支出（项）: 指用于其他退役军人事务管理方面的支出。</w:t>
      </w:r>
      <w:bookmarkEnd w:id="33"/>
    </w:p>
    <w:p>
      <w:pPr>
        <w:spacing w:line="360" w:lineRule="auto"/>
        <w:ind w:firstLine="480" w:firstLineChars="200"/>
        <w:jc w:val="left"/>
        <w:rPr>
          <w:rStyle w:val="9"/>
          <w:rFonts w:ascii="Times New Roman" w:hAnsi="Times New Roman" w:cs="Times New Roman" w:eastAsiaTheme="minorEastAsia"/>
          <w:b w:val="0"/>
          <w:color w:val="000000"/>
          <w:sz w:val="24"/>
          <w:szCs w:val="24"/>
        </w:rPr>
      </w:pPr>
      <w:r>
        <w:rPr>
          <w:rStyle w:val="9"/>
          <w:rFonts w:ascii="Times New Roman" w:hAnsi="Times New Roman" w:cs="Times New Roman" w:eastAsiaTheme="minorEastAsia"/>
          <w:b w:val="0"/>
          <w:color w:val="000000"/>
          <w:sz w:val="24"/>
          <w:szCs w:val="24"/>
        </w:rPr>
        <w:t>14、社会保障和就业（类）行政事业单位离退休（款）机关事业单位基本养老保险缴费支出（项）: 指机关事业单位实施养老保险制度由单位缴纳的基本养老保险费支出。</w:t>
      </w:r>
    </w:p>
    <w:p>
      <w:pPr>
        <w:spacing w:line="360" w:lineRule="auto"/>
        <w:ind w:firstLine="480" w:firstLineChars="200"/>
        <w:jc w:val="left"/>
        <w:rPr>
          <w:rStyle w:val="9"/>
          <w:rFonts w:ascii="Times New Roman" w:hAnsi="Times New Roman" w:cs="Times New Roman" w:eastAsiaTheme="minorEastAsia"/>
          <w:b w:val="0"/>
          <w:color w:val="000000"/>
          <w:sz w:val="24"/>
          <w:szCs w:val="24"/>
        </w:rPr>
      </w:pPr>
      <w:r>
        <w:rPr>
          <w:rFonts w:ascii="Times New Roman" w:hAnsi="Times New Roman" w:cs="Times New Roman" w:eastAsiaTheme="minorEastAsia"/>
          <w:color w:val="000000"/>
          <w:sz w:val="24"/>
          <w:szCs w:val="24"/>
        </w:rPr>
        <w:t>15、卫生健康</w:t>
      </w:r>
      <w:r>
        <w:rPr>
          <w:rStyle w:val="9"/>
          <w:rFonts w:ascii="Times New Roman" w:hAnsi="Times New Roman" w:cs="Times New Roman" w:eastAsiaTheme="minorEastAsia"/>
          <w:b w:val="0"/>
          <w:color w:val="000000"/>
          <w:sz w:val="24"/>
          <w:szCs w:val="24"/>
        </w:rPr>
        <w:t>（类）行政事业单位医疗（款）事业单位医疗（项）:反映财政部门安排的事业单位基本医疗保险缴费经费。</w:t>
      </w:r>
    </w:p>
    <w:p>
      <w:pPr>
        <w:spacing w:line="360" w:lineRule="auto"/>
        <w:ind w:firstLine="480" w:firstLineChars="200"/>
        <w:jc w:val="left"/>
        <w:rPr>
          <w:rStyle w:val="9"/>
          <w:rFonts w:ascii="Times New Roman" w:hAnsi="Times New Roman" w:cs="Times New Roman" w:eastAsiaTheme="minorEastAsia"/>
          <w:b w:val="0"/>
          <w:color w:val="000000"/>
          <w:sz w:val="24"/>
          <w:szCs w:val="24"/>
        </w:rPr>
      </w:pPr>
      <w:r>
        <w:rPr>
          <w:rFonts w:ascii="Times New Roman" w:hAnsi="Times New Roman" w:cs="Times New Roman" w:eastAsiaTheme="minorEastAsia"/>
          <w:color w:val="000000"/>
          <w:sz w:val="24"/>
          <w:szCs w:val="24"/>
        </w:rPr>
        <w:t>16、卫生健康</w:t>
      </w:r>
      <w:r>
        <w:rPr>
          <w:rStyle w:val="9"/>
          <w:rFonts w:ascii="Times New Roman" w:hAnsi="Times New Roman" w:cs="Times New Roman" w:eastAsiaTheme="minorEastAsia"/>
          <w:b w:val="0"/>
          <w:color w:val="000000"/>
          <w:sz w:val="24"/>
          <w:szCs w:val="24"/>
        </w:rPr>
        <w:t>（类）计划生育事务（款）计划生育机构（项）:反映指计划生育机构方面的支出。</w:t>
      </w:r>
    </w:p>
    <w:p>
      <w:pPr>
        <w:spacing w:line="360" w:lineRule="auto"/>
        <w:ind w:firstLine="480" w:firstLineChars="200"/>
        <w:jc w:val="left"/>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17</w:t>
      </w:r>
      <w:r>
        <w:rPr>
          <w:rFonts w:ascii="Times New Roman" w:hAnsi="Times New Roman" w:cs="Times New Roman" w:eastAsiaTheme="minorEastAsia"/>
          <w:b/>
          <w:bCs/>
          <w:color w:val="000000"/>
          <w:sz w:val="24"/>
          <w:szCs w:val="24"/>
        </w:rPr>
        <w:t>、</w:t>
      </w:r>
      <w:r>
        <w:rPr>
          <w:rFonts w:ascii="Times New Roman" w:hAnsi="Times New Roman" w:cs="Times New Roman" w:eastAsiaTheme="minorEastAsia"/>
          <w:color w:val="000000"/>
          <w:sz w:val="24"/>
          <w:szCs w:val="24"/>
        </w:rPr>
        <w:t>资源勘探信息支出（类）支持中小企业发展和管理支出（款）其他支持中小企业发展和管理支出（项）</w:t>
      </w:r>
      <w:r>
        <w:rPr>
          <w:rStyle w:val="9"/>
          <w:rFonts w:ascii="Times New Roman" w:hAnsi="Times New Roman" w:cs="Times New Roman" w:eastAsiaTheme="minorEastAsia"/>
          <w:b w:val="0"/>
          <w:color w:val="000000"/>
          <w:sz w:val="24"/>
          <w:szCs w:val="24"/>
        </w:rPr>
        <w:t>指用于事业单位基本支出。</w:t>
      </w:r>
    </w:p>
    <w:p>
      <w:pPr>
        <w:spacing w:line="360" w:lineRule="auto"/>
        <w:ind w:firstLine="480" w:firstLineChars="200"/>
        <w:jc w:val="left"/>
        <w:rPr>
          <w:rFonts w:ascii="Times New Roman" w:hAnsi="Times New Roman" w:cs="Times New Roman" w:eastAsiaTheme="minorEastAsia"/>
          <w:color w:val="000000"/>
          <w:sz w:val="24"/>
          <w:szCs w:val="24"/>
        </w:rPr>
      </w:pPr>
      <w:r>
        <w:rPr>
          <w:rStyle w:val="9"/>
          <w:rFonts w:ascii="Times New Roman" w:hAnsi="Times New Roman" w:cs="Times New Roman" w:eastAsiaTheme="minorEastAsia"/>
          <w:b w:val="0"/>
          <w:color w:val="000000"/>
          <w:sz w:val="24"/>
          <w:szCs w:val="24"/>
        </w:rPr>
        <w:t>18、</w:t>
      </w:r>
      <w:r>
        <w:rPr>
          <w:rFonts w:ascii="Times New Roman" w:hAnsi="Times New Roman" w:cs="Times New Roman" w:eastAsiaTheme="minorEastAsia"/>
          <w:color w:val="000000"/>
          <w:sz w:val="24"/>
          <w:szCs w:val="24"/>
        </w:rPr>
        <w:t>住房保障支出</w:t>
      </w:r>
      <w:r>
        <w:rPr>
          <w:rStyle w:val="9"/>
          <w:rFonts w:ascii="Times New Roman" w:hAnsi="Times New Roman" w:cs="Times New Roman" w:eastAsiaTheme="minorEastAsia"/>
          <w:b w:val="0"/>
          <w:color w:val="000000"/>
          <w:sz w:val="24"/>
          <w:szCs w:val="24"/>
        </w:rPr>
        <w:t>（类）住房改革支出（款）住房公积金（项）:反映行政事业单位按人力资源和社会保障部、财政部规定的基本工资和津贴补贴以及规定比例为职工缴纳的住房公积金。</w:t>
      </w:r>
    </w:p>
    <w:p>
      <w:pPr>
        <w:spacing w:line="360" w:lineRule="auto"/>
        <w:ind w:firstLine="480" w:firstLineChars="200"/>
        <w:jc w:val="left"/>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19、基本支出：指为保障机构正常运转、完成日常工作任务而发生的人员支出和公用支出。</w:t>
      </w:r>
    </w:p>
    <w:p>
      <w:pPr>
        <w:spacing w:line="360" w:lineRule="auto"/>
        <w:ind w:firstLine="480" w:firstLineChars="200"/>
        <w:jc w:val="left"/>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 xml:space="preserve">20、项目支出：指在基本支出之外为完成特定行政任务和事业发展目标所发生的支出。 </w:t>
      </w:r>
    </w:p>
    <w:p>
      <w:pPr>
        <w:pStyle w:val="14"/>
        <w:spacing w:line="360" w:lineRule="auto"/>
        <w:ind w:firstLine="480" w:firstLineChars="200"/>
        <w:rPr>
          <w:rFonts w:ascii="Times New Roman" w:cs="Times New Roman" w:eastAsiaTheme="minorEastAsia"/>
        </w:rPr>
      </w:pPr>
      <w:r>
        <w:rPr>
          <w:rFonts w:ascii="Times New Roman" w:cs="Times New Roman" w:eastAsiaTheme="minorEastAsia"/>
        </w:rPr>
        <w:t>21、“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wordWrap w:val="0"/>
        <w:spacing w:line="480" w:lineRule="atLeast"/>
        <w:ind w:left="420"/>
        <w:rPr>
          <w:rFonts w:ascii="Times New Roman" w:hAnsi="Times New Roman" w:cs="Times New Roman"/>
        </w:rPr>
      </w:pPr>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altName w:val="宋体"/>
    <w:panose1 w:val="03000509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oVhbcEBAACM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Ps/q&#10;dAErSnoMlJb6D9DnzMmP5Mykex1d/hIdRnHS9njRVvWJyfxouVguSwpJip0vhFM8PQ8R00cFjmWj&#10;5pGGN2gqDveYxtRzSq7m4c5YS35RWf+PgzCzp8i9jz1mK/Xbfmp8C82R+HQ095p7WnPO7CdPsuYV&#10;ORvxbGwnI9fAcLtPVHjoJ6OOUFMxGtLAaFqovAXP70PW00+0/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ToVhbcEBAACMAwAADgAAAAAAAAABACAAAAAeAQAAZHJzL2Uyb0RvYy54bWxQSwUG&#10;AAAAAAYABgBZAQAAUQ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NWVmODg2Y2ZjZDQ4MzIwODJlOGE0MGM4ZDkzZjUifQ=="/>
  </w:docVars>
  <w:rsids>
    <w:rsidRoot w:val="00EF68C8"/>
    <w:rsid w:val="000048AF"/>
    <w:rsid w:val="00032BC7"/>
    <w:rsid w:val="0004326D"/>
    <w:rsid w:val="00053FC9"/>
    <w:rsid w:val="000739ED"/>
    <w:rsid w:val="001B17A8"/>
    <w:rsid w:val="00383530"/>
    <w:rsid w:val="003C1332"/>
    <w:rsid w:val="003F221F"/>
    <w:rsid w:val="004252EB"/>
    <w:rsid w:val="0044619F"/>
    <w:rsid w:val="00463B23"/>
    <w:rsid w:val="0050586C"/>
    <w:rsid w:val="00562FFA"/>
    <w:rsid w:val="005E7457"/>
    <w:rsid w:val="00630090"/>
    <w:rsid w:val="00A24C33"/>
    <w:rsid w:val="00A94F2B"/>
    <w:rsid w:val="00CE6052"/>
    <w:rsid w:val="00D5158A"/>
    <w:rsid w:val="00DD5F13"/>
    <w:rsid w:val="00EC375B"/>
    <w:rsid w:val="00EF68C8"/>
    <w:rsid w:val="205F6597"/>
    <w:rsid w:val="22C53DE0"/>
    <w:rsid w:val="255A4A1B"/>
    <w:rsid w:val="2AF4778E"/>
    <w:rsid w:val="35F77B26"/>
    <w:rsid w:val="36545584"/>
    <w:rsid w:val="49AA5FE7"/>
    <w:rsid w:val="53135D76"/>
    <w:rsid w:val="54CF53BA"/>
    <w:rsid w:val="66705962"/>
    <w:rsid w:val="67B9680C"/>
    <w:rsid w:val="685F1AAA"/>
    <w:rsid w:val="697B331A"/>
    <w:rsid w:val="6B583F4B"/>
    <w:rsid w:val="756174BB"/>
    <w:rsid w:val="76FC4E14"/>
    <w:rsid w:val="7A666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99"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style>
  <w:style w:type="paragraph" w:styleId="6">
    <w:name w:val="toc 2"/>
    <w:basedOn w:val="1"/>
    <w:next w:val="1"/>
    <w:unhideWhenUsed/>
    <w:qFormat/>
    <w:uiPriority w:val="39"/>
    <w:pPr>
      <w:ind w:left="420" w:leftChars="200"/>
    </w:pPr>
  </w:style>
  <w:style w:type="character" w:styleId="9">
    <w:name w:val="Strong"/>
    <w:qFormat/>
    <w:uiPriority w:val="99"/>
    <w:rPr>
      <w:b/>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customStyle="1" w:styleId="11">
    <w:name w:val="页脚 字符"/>
    <w:basedOn w:val="8"/>
    <w:link w:val="3"/>
    <w:qFormat/>
    <w:uiPriority w:val="99"/>
    <w:rPr>
      <w:rFonts w:ascii="等线" w:hAnsi="等线" w:eastAsia="等线" w:cs="黑体"/>
      <w:sz w:val="18"/>
      <w:szCs w:val="18"/>
    </w:rPr>
  </w:style>
  <w:style w:type="character" w:customStyle="1" w:styleId="12">
    <w:name w:val="页眉 字符"/>
    <w:basedOn w:val="8"/>
    <w:link w:val="4"/>
    <w:qFormat/>
    <w:uiPriority w:val="99"/>
    <w:rPr>
      <w:rFonts w:ascii="等线" w:hAnsi="等线" w:eastAsia="等线" w:cs="黑体"/>
      <w:sz w:val="18"/>
      <w:szCs w:val="18"/>
    </w:rPr>
  </w:style>
  <w:style w:type="character" w:customStyle="1" w:styleId="13">
    <w:name w:val="标题 1 Char"/>
    <w:qFormat/>
    <w:uiPriority w:val="0"/>
    <w:rPr>
      <w:b/>
      <w:kern w:val="44"/>
      <w:sz w:val="44"/>
    </w:rPr>
  </w:style>
  <w:style w:type="paragraph" w:customStyle="1" w:styleId="14">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5">
    <w:name w:val="List Paragraph"/>
    <w:basedOn w:val="1"/>
    <w:qFormat/>
    <w:uiPriority w:val="99"/>
    <w:pPr>
      <w:ind w:firstLine="420" w:firstLineChars="200"/>
    </w:pPr>
  </w:style>
  <w:style w:type="character" w:customStyle="1" w:styleId="16">
    <w:name w:val="标题 1 字符"/>
    <w:basedOn w:val="8"/>
    <w:link w:val="2"/>
    <w:qFormat/>
    <w:uiPriority w:val="9"/>
    <w:rPr>
      <w:rFonts w:ascii="等线" w:hAnsi="等线" w:eastAsia="等线" w:cs="黑体"/>
      <w:b/>
      <w:bCs/>
      <w:kern w:val="44"/>
      <w:sz w:val="44"/>
      <w:szCs w:val="44"/>
    </w:rPr>
  </w:style>
  <w:style w:type="paragraph" w:customStyle="1" w:styleId="1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3D234-8196-4301-8685-B16FD2BAB4B3}">
  <ds:schemaRefs/>
</ds:datastoreItem>
</file>

<file path=docProps/app.xml><?xml version="1.0" encoding="utf-8"?>
<Properties xmlns="http://schemas.openxmlformats.org/officeDocument/2006/extended-properties" xmlns:vt="http://schemas.openxmlformats.org/officeDocument/2006/docPropsVTypes">
  <Template>Normal</Template>
  <Pages>11</Pages>
  <Words>5305</Words>
  <Characters>5506</Characters>
  <Lines>48</Lines>
  <Paragraphs>13</Paragraphs>
  <TotalTime>17</TotalTime>
  <ScaleCrop>false</ScaleCrop>
  <LinksUpToDate>false</LinksUpToDate>
  <CharactersWithSpaces>5624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2021-10-11T04:14:00Z</dcterms:created>
  <dc:creator>Administrator</dc:creator>
  <cp:lastModifiedBy>Administrator</cp:lastModifiedBy>
  <dcterms:modified xsi:type="dcterms:W3CDTF">2024-05-22T04:13:23Z</dcterms:modified>
  <dc:title>     2021年度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A49B1D56C3754C9FA6ADCDCF7EF17ECA_13</vt:lpwstr>
  </property>
</Properties>
</file>