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312" w:beforeLines="100" w:after="312" w:afterLines="100" w:line="360" w:lineRule="auto"/>
        <w:jc w:val="center"/>
        <w:rPr>
          <w:rFonts w:ascii="黑体" w:hAnsi="黑体" w:eastAsia="黑体"/>
          <w:color w:val="000000"/>
          <w:sz w:val="36"/>
          <w:szCs w:val="36"/>
        </w:rPr>
      </w:pPr>
      <w:bookmarkStart w:id="0" w:name="_Toc15377425"/>
      <w:bookmarkStart w:id="1" w:name="_Toc15378441"/>
      <w:bookmarkStart w:id="2" w:name="_Toc15396597"/>
      <w:bookmarkStart w:id="3" w:name="_Toc15396475"/>
      <w:bookmarkStart w:id="4" w:name="_Toc15377193"/>
      <w:r>
        <w:rPr>
          <w:rFonts w:hint="eastAsia" w:ascii="黑体" w:hAnsi="黑体" w:eastAsia="黑体"/>
          <w:color w:val="000000"/>
          <w:sz w:val="36"/>
          <w:szCs w:val="36"/>
          <w:lang w:eastAsia="zh-CN"/>
        </w:rPr>
        <w:t>2024</w:t>
      </w:r>
      <w:r>
        <w:rPr>
          <w:rFonts w:hint="eastAsia" w:ascii="黑体" w:hAnsi="黑体" w:eastAsia="黑体"/>
          <w:color w:val="000000"/>
          <w:sz w:val="36"/>
          <w:szCs w:val="36"/>
        </w:rPr>
        <w:t>年度</w:t>
      </w:r>
      <w:bookmarkEnd w:id="0"/>
      <w:bookmarkEnd w:id="1"/>
      <w:bookmarkEnd w:id="2"/>
      <w:bookmarkEnd w:id="3"/>
      <w:bookmarkEnd w:id="4"/>
    </w:p>
    <w:p>
      <w:pPr>
        <w:adjustRightInd w:val="0"/>
        <w:snapToGrid w:val="0"/>
        <w:spacing w:before="312" w:beforeLines="100" w:after="312" w:afterLines="100" w:line="360" w:lineRule="auto"/>
        <w:jc w:val="center"/>
        <w:rPr>
          <w:rFonts w:ascii="黑体" w:hAnsi="黑体" w:eastAsia="黑体"/>
          <w:color w:val="000000"/>
          <w:sz w:val="36"/>
          <w:szCs w:val="36"/>
        </w:rPr>
      </w:pPr>
      <w:bookmarkStart w:id="5" w:name="_Toc15377426"/>
      <w:bookmarkStart w:id="6" w:name="_Toc15396476"/>
      <w:bookmarkStart w:id="7" w:name="_Toc15377194"/>
      <w:bookmarkStart w:id="8" w:name="_Toc15396598"/>
      <w:bookmarkStart w:id="9" w:name="_Toc15378442"/>
      <w:r>
        <w:rPr>
          <w:rFonts w:hint="eastAsia" w:ascii="黑体" w:hAnsi="黑体" w:eastAsia="黑体"/>
          <w:color w:val="000000"/>
          <w:sz w:val="36"/>
          <w:szCs w:val="36"/>
        </w:rPr>
        <w:t>四川省</w:t>
      </w:r>
      <w:bookmarkStart w:id="10" w:name="_Toc15306268"/>
      <w:r>
        <w:rPr>
          <w:rFonts w:hint="eastAsia" w:ascii="黑体" w:hAnsi="黑体" w:eastAsia="黑体"/>
          <w:color w:val="000000"/>
          <w:sz w:val="36"/>
          <w:szCs w:val="36"/>
        </w:rPr>
        <w:t>巴中市巴州区</w:t>
      </w:r>
    </w:p>
    <w:p>
      <w:pPr>
        <w:adjustRightInd w:val="0"/>
        <w:snapToGrid w:val="0"/>
        <w:spacing w:before="312" w:beforeLines="100" w:after="312" w:afterLines="100" w:line="360" w:lineRule="auto"/>
        <w:jc w:val="center"/>
        <w:rPr>
          <w:rFonts w:ascii="黑体" w:hAnsi="黑体" w:eastAsia="黑体"/>
          <w:color w:val="000000"/>
          <w:sz w:val="36"/>
          <w:szCs w:val="36"/>
        </w:rPr>
      </w:pPr>
      <w:r>
        <w:rPr>
          <w:rFonts w:hint="eastAsia" w:ascii="黑体" w:hAnsi="黑体" w:eastAsia="黑体"/>
          <w:color w:val="000000"/>
          <w:sz w:val="36"/>
          <w:szCs w:val="36"/>
          <w:lang w:val="en-US" w:eastAsia="zh-CN"/>
        </w:rPr>
        <w:t>大和乡</w:t>
      </w:r>
      <w:r>
        <w:rPr>
          <w:rFonts w:hint="eastAsia" w:ascii="黑体" w:hAnsi="黑体" w:eastAsia="黑体"/>
          <w:color w:val="000000"/>
          <w:sz w:val="36"/>
          <w:szCs w:val="36"/>
        </w:rPr>
        <w:t>农业综合服务中心部门</w:t>
      </w:r>
      <w:bookmarkEnd w:id="5"/>
      <w:bookmarkEnd w:id="6"/>
      <w:bookmarkEnd w:id="7"/>
      <w:bookmarkEnd w:id="8"/>
      <w:bookmarkEnd w:id="9"/>
      <w:bookmarkEnd w:id="10"/>
      <w:r>
        <w:rPr>
          <w:rFonts w:hint="eastAsia" w:ascii="黑体" w:hAnsi="黑体" w:eastAsia="黑体"/>
          <w:color w:val="000000"/>
          <w:sz w:val="36"/>
          <w:szCs w:val="36"/>
        </w:rPr>
        <w:t>预算编制说明</w:t>
      </w:r>
    </w:p>
    <w:p>
      <w:pPr>
        <w:adjustRightInd w:val="0"/>
        <w:snapToGrid w:val="0"/>
        <w:spacing w:before="468" w:beforeLines="150" w:after="468" w:afterLines="150" w:line="560" w:lineRule="exact"/>
        <w:jc w:val="center"/>
        <w:rPr>
          <w:rFonts w:hint="default" w:ascii="新宋体" w:hAnsi="新宋体" w:eastAsia="新宋体" w:cs="新宋体"/>
          <w:b/>
          <w:bCs/>
          <w:color w:val="000000"/>
          <w:sz w:val="24"/>
          <w:szCs w:val="24"/>
          <w:lang w:val="en-US" w:eastAsia="zh-CN"/>
        </w:rPr>
      </w:pPr>
      <w:r>
        <w:rPr>
          <w:rFonts w:hint="eastAsia" w:ascii="新宋体" w:hAnsi="新宋体" w:eastAsia="新宋体" w:cs="新宋体"/>
          <w:b/>
          <w:bCs/>
          <w:color w:val="000000"/>
          <w:sz w:val="36"/>
          <w:szCs w:val="36"/>
          <w:lang w:val="en-US" w:eastAsia="zh-CN"/>
        </w:rPr>
        <w:t xml:space="preserve">  </w:t>
      </w:r>
      <w:r>
        <w:rPr>
          <w:rFonts w:hint="eastAsia" w:ascii="新宋体" w:hAnsi="新宋体" w:eastAsia="新宋体" w:cs="新宋体"/>
          <w:b/>
          <w:bCs/>
          <w:color w:val="000000"/>
          <w:sz w:val="24"/>
          <w:szCs w:val="24"/>
          <w:lang w:val="en-US" w:eastAsia="zh-CN"/>
        </w:rPr>
        <w:t>公示时间：2024年4月12日</w:t>
      </w:r>
    </w:p>
    <w:p>
      <w:pPr>
        <w:adjustRightInd w:val="0"/>
        <w:snapToGrid w:val="0"/>
        <w:spacing w:line="360" w:lineRule="auto"/>
        <w:jc w:val="center"/>
        <w:outlineLvl w:val="0"/>
        <w:rPr>
          <w:rFonts w:ascii="方正小标宋简体" w:hAnsi="宋体" w:eastAsia="方正小标宋简体"/>
          <w:color w:val="000000"/>
          <w:sz w:val="52"/>
          <w:szCs w:val="52"/>
        </w:rPr>
      </w:pPr>
    </w:p>
    <w:p>
      <w:pPr>
        <w:widowControl/>
        <w:rPr>
          <w:rFonts w:hint="eastAsia" w:ascii="黑体" w:hAnsi="黑体" w:eastAsia="黑体"/>
          <w:color w:val="000000"/>
          <w:sz w:val="48"/>
          <w:szCs w:val="48"/>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p>
    <w:p>
      <w:pPr>
        <w:pStyle w:val="17"/>
        <w:jc w:val="center"/>
        <w:rPr>
          <w:rFonts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pPr>
        <w:pStyle w:val="6"/>
      </w:pPr>
      <w:r>
        <w:fldChar w:fldCharType="begin"/>
      </w:r>
      <w:r>
        <w:instrText xml:space="preserve"> TOC \o "1-3" \h \z \u </w:instrText>
      </w:r>
      <w:r>
        <w:fldChar w:fldCharType="separate"/>
      </w:r>
      <w:r>
        <w:fldChar w:fldCharType="begin"/>
      </w:r>
      <w:r>
        <w:instrText xml:space="preserve"> HYPERLINK \l "_Toc112446547" </w:instrText>
      </w:r>
      <w:r>
        <w:fldChar w:fldCharType="separate"/>
      </w:r>
      <w:r>
        <w:rPr>
          <w:rStyle w:val="11"/>
          <w:rFonts w:cs="宋体"/>
          <w:kern w:val="0"/>
        </w:rPr>
        <w:t>一、基本职能及主要工作</w:t>
      </w:r>
      <w:r>
        <w:tab/>
      </w:r>
      <w:r>
        <w:fldChar w:fldCharType="begin"/>
      </w:r>
      <w:r>
        <w:instrText xml:space="preserve"> PAGEREF _Toc112446547 \h </w:instrText>
      </w:r>
      <w:r>
        <w:fldChar w:fldCharType="separate"/>
      </w:r>
      <w:r>
        <w:t>1</w:t>
      </w:r>
      <w:r>
        <w:fldChar w:fldCharType="end"/>
      </w:r>
      <w:r>
        <w:fldChar w:fldCharType="end"/>
      </w:r>
    </w:p>
    <w:p>
      <w:pPr>
        <w:pStyle w:val="7"/>
        <w:tabs>
          <w:tab w:val="right" w:leader="dot" w:pos="8296"/>
        </w:tabs>
      </w:pPr>
      <w:r>
        <w:fldChar w:fldCharType="begin"/>
      </w:r>
      <w:r>
        <w:instrText xml:space="preserve"> HYPERLINK \l "_Toc112446548" </w:instrText>
      </w:r>
      <w:r>
        <w:fldChar w:fldCharType="separate"/>
      </w:r>
      <w:r>
        <w:rPr>
          <w:rStyle w:val="11"/>
          <w:rFonts w:ascii="宋体" w:hAnsi="宋体" w:cs="宋体"/>
          <w:kern w:val="0"/>
        </w:rPr>
        <w:t>（一）基本职能简介</w:t>
      </w:r>
      <w:r>
        <w:tab/>
      </w:r>
      <w:r>
        <w:fldChar w:fldCharType="begin"/>
      </w:r>
      <w:r>
        <w:instrText xml:space="preserve"> PAGEREF _Toc112446548 \h </w:instrText>
      </w:r>
      <w:r>
        <w:fldChar w:fldCharType="separate"/>
      </w:r>
      <w:r>
        <w:t>1</w:t>
      </w:r>
      <w:r>
        <w:fldChar w:fldCharType="end"/>
      </w:r>
      <w:r>
        <w:fldChar w:fldCharType="end"/>
      </w:r>
    </w:p>
    <w:p>
      <w:pPr>
        <w:pStyle w:val="7"/>
        <w:tabs>
          <w:tab w:val="right" w:leader="dot" w:pos="8296"/>
        </w:tabs>
      </w:pPr>
      <w:r>
        <w:fldChar w:fldCharType="begin"/>
      </w:r>
      <w:r>
        <w:instrText xml:space="preserve"> HYPERLINK \l "_Toc112446549" </w:instrText>
      </w:r>
      <w:r>
        <w:fldChar w:fldCharType="separate"/>
      </w:r>
      <w:r>
        <w:rPr>
          <w:rStyle w:val="11"/>
          <w:rFonts w:ascii="楷体_GB2312" w:hAnsi="宋体" w:eastAsia="楷体_GB2312" w:cs="宋体"/>
          <w:kern w:val="0"/>
        </w:rPr>
        <w:t>（二）、农业综合服务中心</w:t>
      </w:r>
      <w:r>
        <w:rPr>
          <w:rStyle w:val="11"/>
          <w:rFonts w:hint="eastAsia" w:ascii="楷体_GB2312" w:hAnsi="宋体" w:eastAsia="楷体_GB2312" w:cs="宋体"/>
          <w:kern w:val="0"/>
          <w:lang w:eastAsia="zh-CN"/>
        </w:rPr>
        <w:t>2024</w:t>
      </w:r>
      <w:r>
        <w:rPr>
          <w:rStyle w:val="11"/>
          <w:rFonts w:ascii="楷体_GB2312" w:hAnsi="宋体" w:eastAsia="楷体_GB2312" w:cs="宋体"/>
          <w:kern w:val="0"/>
        </w:rPr>
        <w:t>年重点工作</w:t>
      </w:r>
      <w:r>
        <w:tab/>
      </w:r>
      <w:r>
        <w:fldChar w:fldCharType="begin"/>
      </w:r>
      <w:r>
        <w:instrText xml:space="preserve"> PAGEREF _Toc112446549 \h </w:instrText>
      </w:r>
      <w:r>
        <w:fldChar w:fldCharType="separate"/>
      </w:r>
      <w:r>
        <w:t>1</w:t>
      </w:r>
      <w:r>
        <w:fldChar w:fldCharType="end"/>
      </w:r>
      <w:r>
        <w:fldChar w:fldCharType="end"/>
      </w:r>
    </w:p>
    <w:p>
      <w:pPr>
        <w:pStyle w:val="6"/>
      </w:pPr>
      <w:r>
        <w:fldChar w:fldCharType="begin"/>
      </w:r>
      <w:r>
        <w:instrText xml:space="preserve"> HYPERLINK \l "_Toc112446550" </w:instrText>
      </w:r>
      <w:r>
        <w:fldChar w:fldCharType="separate"/>
      </w:r>
      <w:r>
        <w:rPr>
          <w:rStyle w:val="11"/>
          <w:rFonts w:cs="仿宋_GB2312"/>
        </w:rPr>
        <w:t>二、部门预算单位构成</w:t>
      </w:r>
      <w:r>
        <w:tab/>
      </w:r>
      <w:r>
        <w:fldChar w:fldCharType="begin"/>
      </w:r>
      <w:r>
        <w:instrText xml:space="preserve"> PAGEREF _Toc112446550 \h </w:instrText>
      </w:r>
      <w:r>
        <w:fldChar w:fldCharType="separate"/>
      </w:r>
      <w:r>
        <w:t>2</w:t>
      </w:r>
      <w:r>
        <w:fldChar w:fldCharType="end"/>
      </w:r>
      <w:r>
        <w:fldChar w:fldCharType="end"/>
      </w:r>
    </w:p>
    <w:p>
      <w:pPr>
        <w:pStyle w:val="6"/>
      </w:pPr>
      <w:r>
        <w:fldChar w:fldCharType="begin"/>
      </w:r>
      <w:r>
        <w:instrText xml:space="preserve"> HYPERLINK \l "_Toc112446551" </w:instrText>
      </w:r>
      <w:r>
        <w:fldChar w:fldCharType="separate"/>
      </w:r>
      <w:r>
        <w:rPr>
          <w:rStyle w:val="11"/>
          <w:rFonts w:cs="仿宋_GB2312"/>
        </w:rPr>
        <w:t>三、收支预算情况说明</w:t>
      </w:r>
      <w:r>
        <w:tab/>
      </w:r>
      <w:r>
        <w:fldChar w:fldCharType="begin"/>
      </w:r>
      <w:r>
        <w:instrText xml:space="preserve"> PAGEREF _Toc112446551 \h </w:instrText>
      </w:r>
      <w:r>
        <w:fldChar w:fldCharType="separate"/>
      </w:r>
      <w:r>
        <w:t>2</w:t>
      </w:r>
      <w:r>
        <w:fldChar w:fldCharType="end"/>
      </w:r>
      <w:r>
        <w:fldChar w:fldCharType="end"/>
      </w:r>
    </w:p>
    <w:p>
      <w:pPr>
        <w:pStyle w:val="7"/>
        <w:tabs>
          <w:tab w:val="right" w:leader="dot" w:pos="8296"/>
        </w:tabs>
      </w:pPr>
      <w:r>
        <w:fldChar w:fldCharType="begin"/>
      </w:r>
      <w:r>
        <w:instrText xml:space="preserve"> HYPERLINK \l "_Toc112446552" </w:instrText>
      </w:r>
      <w:r>
        <w:fldChar w:fldCharType="separate"/>
      </w:r>
      <w:r>
        <w:rPr>
          <w:rStyle w:val="11"/>
          <w:rFonts w:ascii="宋体" w:hAnsi="宋体" w:cs="宋体"/>
          <w:kern w:val="0"/>
        </w:rPr>
        <w:t>（一）、收入预算情况</w:t>
      </w:r>
      <w:r>
        <w:tab/>
      </w:r>
      <w:r>
        <w:fldChar w:fldCharType="begin"/>
      </w:r>
      <w:r>
        <w:instrText xml:space="preserve"> PAGEREF _Toc112446552 \h </w:instrText>
      </w:r>
      <w:r>
        <w:fldChar w:fldCharType="separate"/>
      </w:r>
      <w:r>
        <w:t>3</w:t>
      </w:r>
      <w:r>
        <w:fldChar w:fldCharType="end"/>
      </w:r>
      <w:r>
        <w:fldChar w:fldCharType="end"/>
      </w:r>
    </w:p>
    <w:p>
      <w:pPr>
        <w:pStyle w:val="7"/>
        <w:tabs>
          <w:tab w:val="right" w:leader="dot" w:pos="8296"/>
        </w:tabs>
      </w:pPr>
      <w:r>
        <w:fldChar w:fldCharType="begin"/>
      </w:r>
      <w:r>
        <w:instrText xml:space="preserve"> HYPERLINK \l "_Toc112446553" </w:instrText>
      </w:r>
      <w:r>
        <w:fldChar w:fldCharType="separate"/>
      </w:r>
      <w:r>
        <w:rPr>
          <w:rStyle w:val="11"/>
          <w:rFonts w:ascii="宋体" w:hAnsi="宋体" w:cs="宋体"/>
          <w:kern w:val="0"/>
        </w:rPr>
        <w:t>（二）支出预算情况</w:t>
      </w:r>
      <w:r>
        <w:tab/>
      </w:r>
      <w:r>
        <w:fldChar w:fldCharType="begin"/>
      </w:r>
      <w:r>
        <w:instrText xml:space="preserve"> PAGEREF _Toc112446553 \h </w:instrText>
      </w:r>
      <w:r>
        <w:fldChar w:fldCharType="separate"/>
      </w:r>
      <w:r>
        <w:t>3</w:t>
      </w:r>
      <w:r>
        <w:fldChar w:fldCharType="end"/>
      </w:r>
      <w:r>
        <w:fldChar w:fldCharType="end"/>
      </w:r>
    </w:p>
    <w:p>
      <w:pPr>
        <w:pStyle w:val="6"/>
      </w:pPr>
      <w:r>
        <w:fldChar w:fldCharType="begin"/>
      </w:r>
      <w:r>
        <w:instrText xml:space="preserve"> HYPERLINK \l "_Toc112446554" </w:instrText>
      </w:r>
      <w:r>
        <w:fldChar w:fldCharType="separate"/>
      </w:r>
      <w:r>
        <w:rPr>
          <w:rStyle w:val="11"/>
          <w:rFonts w:cs="宋体"/>
          <w:kern w:val="0"/>
        </w:rPr>
        <w:t>四、财政拨款收支预算情况说明</w:t>
      </w:r>
      <w:r>
        <w:tab/>
      </w:r>
      <w:r>
        <w:fldChar w:fldCharType="begin"/>
      </w:r>
      <w:r>
        <w:instrText xml:space="preserve"> PAGEREF _Toc112446554 \h </w:instrText>
      </w:r>
      <w:r>
        <w:fldChar w:fldCharType="separate"/>
      </w:r>
      <w:r>
        <w:t>3</w:t>
      </w:r>
      <w:r>
        <w:fldChar w:fldCharType="end"/>
      </w:r>
      <w:r>
        <w:fldChar w:fldCharType="end"/>
      </w:r>
    </w:p>
    <w:p>
      <w:pPr>
        <w:pStyle w:val="6"/>
      </w:pPr>
      <w:r>
        <w:fldChar w:fldCharType="begin"/>
      </w:r>
      <w:r>
        <w:instrText xml:space="preserve"> HYPERLINK \l "_Toc112446555" </w:instrText>
      </w:r>
      <w:r>
        <w:fldChar w:fldCharType="separate"/>
      </w:r>
      <w:r>
        <w:rPr>
          <w:rStyle w:val="11"/>
          <w:rFonts w:cs="宋体"/>
          <w:kern w:val="0"/>
        </w:rPr>
        <w:t>五、一般公共预算当年拨款情况说明</w:t>
      </w:r>
      <w:r>
        <w:tab/>
      </w:r>
      <w:r>
        <w:fldChar w:fldCharType="begin"/>
      </w:r>
      <w:r>
        <w:instrText xml:space="preserve"> PAGEREF _Toc112446555 \h </w:instrText>
      </w:r>
      <w:r>
        <w:fldChar w:fldCharType="separate"/>
      </w:r>
      <w:r>
        <w:t>3</w:t>
      </w:r>
      <w:r>
        <w:fldChar w:fldCharType="end"/>
      </w:r>
      <w:r>
        <w:fldChar w:fldCharType="end"/>
      </w:r>
    </w:p>
    <w:p>
      <w:pPr>
        <w:pStyle w:val="7"/>
        <w:tabs>
          <w:tab w:val="right" w:leader="dot" w:pos="8296"/>
        </w:tabs>
      </w:pPr>
      <w:r>
        <w:fldChar w:fldCharType="begin"/>
      </w:r>
      <w:r>
        <w:instrText xml:space="preserve"> HYPERLINK \l "_Toc112446556" </w:instrText>
      </w:r>
      <w:r>
        <w:fldChar w:fldCharType="separate"/>
      </w:r>
      <w:r>
        <w:rPr>
          <w:rStyle w:val="11"/>
          <w:rFonts w:ascii="宋体" w:hAnsi="宋体" w:cs="宋体"/>
          <w:kern w:val="0"/>
        </w:rPr>
        <w:t>（一）一般公共预算当年拨款规模变化情况</w:t>
      </w:r>
      <w:r>
        <w:tab/>
      </w:r>
      <w:r>
        <w:fldChar w:fldCharType="begin"/>
      </w:r>
      <w:r>
        <w:instrText xml:space="preserve"> PAGEREF _Toc112446556 \h </w:instrText>
      </w:r>
      <w:r>
        <w:fldChar w:fldCharType="separate"/>
      </w:r>
      <w:r>
        <w:t>3</w:t>
      </w:r>
      <w:r>
        <w:fldChar w:fldCharType="end"/>
      </w:r>
      <w:r>
        <w:fldChar w:fldCharType="end"/>
      </w:r>
    </w:p>
    <w:p>
      <w:pPr>
        <w:pStyle w:val="7"/>
        <w:tabs>
          <w:tab w:val="right" w:leader="dot" w:pos="8296"/>
        </w:tabs>
      </w:pPr>
      <w:r>
        <w:fldChar w:fldCharType="begin"/>
      </w:r>
      <w:r>
        <w:instrText xml:space="preserve"> HYPERLINK \l "_Toc112446557" </w:instrText>
      </w:r>
      <w:r>
        <w:fldChar w:fldCharType="separate"/>
      </w:r>
      <w:r>
        <w:rPr>
          <w:rStyle w:val="11"/>
          <w:rFonts w:ascii="宋体" w:hAnsi="宋体" w:cs="宋体"/>
          <w:kern w:val="0"/>
        </w:rPr>
        <w:t>（二）一般公共预算当年拨款结构情况</w:t>
      </w:r>
      <w:r>
        <w:tab/>
      </w:r>
      <w:r>
        <w:fldChar w:fldCharType="begin"/>
      </w:r>
      <w:r>
        <w:instrText xml:space="preserve"> PAGEREF _Toc112446557 \h </w:instrText>
      </w:r>
      <w:r>
        <w:fldChar w:fldCharType="separate"/>
      </w:r>
      <w:r>
        <w:t>3</w:t>
      </w:r>
      <w:r>
        <w:fldChar w:fldCharType="end"/>
      </w:r>
      <w:r>
        <w:fldChar w:fldCharType="end"/>
      </w:r>
    </w:p>
    <w:p>
      <w:pPr>
        <w:pStyle w:val="7"/>
        <w:tabs>
          <w:tab w:val="right" w:leader="dot" w:pos="8296"/>
        </w:tabs>
      </w:pPr>
      <w:r>
        <w:fldChar w:fldCharType="begin"/>
      </w:r>
      <w:r>
        <w:instrText xml:space="preserve"> HYPERLINK \l "_Toc112446558" </w:instrText>
      </w:r>
      <w:r>
        <w:fldChar w:fldCharType="separate"/>
      </w:r>
      <w:r>
        <w:rPr>
          <w:rStyle w:val="11"/>
          <w:rFonts w:ascii="宋体" w:hAnsi="宋体" w:cs="宋体"/>
          <w:kern w:val="0"/>
        </w:rPr>
        <w:t>（三）一般公共预算当年拨款具体使用情况</w:t>
      </w:r>
      <w:r>
        <w:tab/>
      </w:r>
      <w:r>
        <w:fldChar w:fldCharType="begin"/>
      </w:r>
      <w:r>
        <w:instrText xml:space="preserve"> PAGEREF _Toc112446558 \h </w:instrText>
      </w:r>
      <w:r>
        <w:fldChar w:fldCharType="separate"/>
      </w:r>
      <w:r>
        <w:t>3</w:t>
      </w:r>
      <w:r>
        <w:fldChar w:fldCharType="end"/>
      </w:r>
      <w:r>
        <w:fldChar w:fldCharType="end"/>
      </w:r>
    </w:p>
    <w:p>
      <w:pPr>
        <w:pStyle w:val="6"/>
      </w:pPr>
      <w:r>
        <w:fldChar w:fldCharType="begin"/>
      </w:r>
      <w:r>
        <w:instrText xml:space="preserve"> HYPERLINK \l "_Toc112446559" </w:instrText>
      </w:r>
      <w:r>
        <w:fldChar w:fldCharType="separate"/>
      </w:r>
      <w:r>
        <w:rPr>
          <w:rStyle w:val="11"/>
          <w:rFonts w:cs="宋体"/>
          <w:kern w:val="0"/>
        </w:rPr>
        <w:t>六、一般公共预算基本支出情况说明</w:t>
      </w:r>
      <w:r>
        <w:tab/>
      </w:r>
      <w:r>
        <w:fldChar w:fldCharType="begin"/>
      </w:r>
      <w:r>
        <w:instrText xml:space="preserve"> PAGEREF _Toc112446559 \h </w:instrText>
      </w:r>
      <w:r>
        <w:fldChar w:fldCharType="separate"/>
      </w:r>
      <w:r>
        <w:t>4</w:t>
      </w:r>
      <w:r>
        <w:fldChar w:fldCharType="end"/>
      </w:r>
      <w:r>
        <w:fldChar w:fldCharType="end"/>
      </w:r>
    </w:p>
    <w:p>
      <w:pPr>
        <w:pStyle w:val="6"/>
      </w:pPr>
      <w:r>
        <w:fldChar w:fldCharType="begin"/>
      </w:r>
      <w:r>
        <w:instrText xml:space="preserve"> HYPERLINK \l "_Toc112446560" </w:instrText>
      </w:r>
      <w:r>
        <w:fldChar w:fldCharType="separate"/>
      </w:r>
      <w:r>
        <w:rPr>
          <w:rStyle w:val="11"/>
          <w:rFonts w:cs="宋体"/>
          <w:kern w:val="0"/>
        </w:rPr>
        <w:t>七、“三公”经费财政拨款预算安排情况说明</w:t>
      </w:r>
      <w:r>
        <w:tab/>
      </w:r>
      <w:r>
        <w:fldChar w:fldCharType="begin"/>
      </w:r>
      <w:r>
        <w:instrText xml:space="preserve"> PAGEREF _Toc112446560 \h </w:instrText>
      </w:r>
      <w:r>
        <w:fldChar w:fldCharType="separate"/>
      </w:r>
      <w:r>
        <w:t>5</w:t>
      </w:r>
      <w:r>
        <w:fldChar w:fldCharType="end"/>
      </w:r>
      <w:r>
        <w:fldChar w:fldCharType="end"/>
      </w:r>
    </w:p>
    <w:p>
      <w:pPr>
        <w:pStyle w:val="6"/>
      </w:pPr>
      <w:r>
        <w:fldChar w:fldCharType="begin"/>
      </w:r>
      <w:r>
        <w:instrText xml:space="preserve"> HYPERLINK \l "_Toc112446561" </w:instrText>
      </w:r>
      <w:r>
        <w:fldChar w:fldCharType="separate"/>
      </w:r>
      <w:r>
        <w:rPr>
          <w:rStyle w:val="11"/>
          <w:rFonts w:cs="宋体"/>
          <w:kern w:val="0"/>
        </w:rPr>
        <w:t>八、政府性基金预算支出情况说明</w:t>
      </w:r>
      <w:r>
        <w:tab/>
      </w:r>
      <w:r>
        <w:fldChar w:fldCharType="begin"/>
      </w:r>
      <w:r>
        <w:instrText xml:space="preserve"> PAGEREF _Toc112446561 \h </w:instrText>
      </w:r>
      <w:r>
        <w:fldChar w:fldCharType="separate"/>
      </w:r>
      <w:r>
        <w:t>5</w:t>
      </w:r>
      <w:r>
        <w:fldChar w:fldCharType="end"/>
      </w:r>
      <w:r>
        <w:fldChar w:fldCharType="end"/>
      </w:r>
    </w:p>
    <w:p>
      <w:pPr>
        <w:pStyle w:val="6"/>
      </w:pPr>
      <w:r>
        <w:fldChar w:fldCharType="begin"/>
      </w:r>
      <w:r>
        <w:instrText xml:space="preserve"> HYPERLINK \l "_Toc112446562" </w:instrText>
      </w:r>
      <w:r>
        <w:fldChar w:fldCharType="separate"/>
      </w:r>
      <w:r>
        <w:rPr>
          <w:rStyle w:val="11"/>
          <w:rFonts w:cs="宋体"/>
          <w:kern w:val="0"/>
        </w:rPr>
        <w:t>九、其他重要事项的情况说明</w:t>
      </w:r>
      <w:r>
        <w:tab/>
      </w:r>
      <w:r>
        <w:fldChar w:fldCharType="begin"/>
      </w:r>
      <w:r>
        <w:instrText xml:space="preserve"> PAGEREF _Toc112446562 \h </w:instrText>
      </w:r>
      <w:r>
        <w:fldChar w:fldCharType="separate"/>
      </w:r>
      <w:r>
        <w:t>5</w:t>
      </w:r>
      <w:r>
        <w:fldChar w:fldCharType="end"/>
      </w:r>
      <w:r>
        <w:fldChar w:fldCharType="end"/>
      </w:r>
    </w:p>
    <w:p>
      <w:pPr>
        <w:pStyle w:val="7"/>
        <w:tabs>
          <w:tab w:val="right" w:leader="dot" w:pos="8296"/>
        </w:tabs>
      </w:pPr>
      <w:r>
        <w:fldChar w:fldCharType="begin"/>
      </w:r>
      <w:r>
        <w:instrText xml:space="preserve"> HYPERLINK \l "_Toc112446563" </w:instrText>
      </w:r>
      <w:r>
        <w:fldChar w:fldCharType="separate"/>
      </w:r>
      <w:r>
        <w:rPr>
          <w:rStyle w:val="11"/>
          <w:rFonts w:ascii="宋体" w:hAnsi="宋体"/>
        </w:rPr>
        <w:t>（一）政府采购情况</w:t>
      </w:r>
      <w:r>
        <w:tab/>
      </w:r>
      <w:r>
        <w:fldChar w:fldCharType="begin"/>
      </w:r>
      <w:r>
        <w:instrText xml:space="preserve"> PAGEREF _Toc112446563 \h </w:instrText>
      </w:r>
      <w:r>
        <w:fldChar w:fldCharType="separate"/>
      </w:r>
      <w:r>
        <w:t>5</w:t>
      </w:r>
      <w:r>
        <w:fldChar w:fldCharType="end"/>
      </w:r>
      <w:r>
        <w:fldChar w:fldCharType="end"/>
      </w:r>
    </w:p>
    <w:p>
      <w:pPr>
        <w:pStyle w:val="7"/>
        <w:tabs>
          <w:tab w:val="right" w:leader="dot" w:pos="8296"/>
        </w:tabs>
      </w:pPr>
      <w:r>
        <w:fldChar w:fldCharType="begin"/>
      </w:r>
      <w:r>
        <w:instrText xml:space="preserve"> HYPERLINK \l "_Toc112446564" </w:instrText>
      </w:r>
      <w:r>
        <w:fldChar w:fldCharType="separate"/>
      </w:r>
      <w:r>
        <w:rPr>
          <w:rStyle w:val="11"/>
          <w:rFonts w:ascii="宋体" w:hAnsi="宋体" w:cs="宋体"/>
          <w:kern w:val="0"/>
        </w:rPr>
        <w:t>（二）绩效目标设置情况</w:t>
      </w:r>
      <w:r>
        <w:tab/>
      </w:r>
      <w:r>
        <w:fldChar w:fldCharType="begin"/>
      </w:r>
      <w:r>
        <w:instrText xml:space="preserve"> PAGEREF _Toc112446564 \h </w:instrText>
      </w:r>
      <w:r>
        <w:fldChar w:fldCharType="separate"/>
      </w:r>
      <w:r>
        <w:t>5</w:t>
      </w:r>
      <w:r>
        <w:fldChar w:fldCharType="end"/>
      </w:r>
      <w:r>
        <w:fldChar w:fldCharType="end"/>
      </w:r>
    </w:p>
    <w:p>
      <w:pPr>
        <w:pStyle w:val="6"/>
      </w:pPr>
      <w:r>
        <w:fldChar w:fldCharType="begin"/>
      </w:r>
      <w:r>
        <w:instrText xml:space="preserve"> HYPERLINK \l "_Toc112446565" </w:instrText>
      </w:r>
      <w:r>
        <w:fldChar w:fldCharType="separate"/>
      </w:r>
      <w:r>
        <w:rPr>
          <w:rStyle w:val="11"/>
        </w:rPr>
        <w:t>十、名词解释</w:t>
      </w:r>
      <w:r>
        <w:tab/>
      </w:r>
      <w:r>
        <w:fldChar w:fldCharType="begin"/>
      </w:r>
      <w:r>
        <w:instrText xml:space="preserve"> PAGEREF _Toc112446565 \h </w:instrText>
      </w:r>
      <w:r>
        <w:fldChar w:fldCharType="separate"/>
      </w:r>
      <w:r>
        <w:t>5</w:t>
      </w:r>
      <w:r>
        <w:fldChar w:fldCharType="end"/>
      </w:r>
      <w:r>
        <w:fldChar w:fldCharType="end"/>
      </w:r>
    </w:p>
    <w:p>
      <w:r>
        <w:rPr>
          <w:b/>
          <w:bCs/>
          <w:lang w:val="zh-CN"/>
        </w:rPr>
        <w:fldChar w:fldCharType="end"/>
      </w:r>
    </w:p>
    <w:p/>
    <w:p>
      <w:pPr>
        <w:rPr>
          <w:rFonts w:ascii="仿宋_GB2312" w:hAnsi="宋体" w:eastAsia="仿宋_GB2312" w:cs="宋体"/>
          <w:color w:val="000000"/>
          <w:kern w:val="0"/>
          <w:sz w:val="32"/>
          <w:szCs w:val="32"/>
        </w:rPr>
      </w:pPr>
    </w:p>
    <w:p>
      <w:pPr>
        <w:rPr>
          <w:rFonts w:hint="eastAsia" w:ascii="仿宋_GB2312" w:hAnsi="宋体" w:eastAsia="仿宋_GB2312" w:cs="宋体"/>
          <w:color w:val="000000"/>
          <w:kern w:val="0"/>
          <w:sz w:val="32"/>
          <w:szCs w:val="32"/>
        </w:rPr>
        <w:sectPr>
          <w:footerReference r:id="rId7" w:type="default"/>
          <w:pgSz w:w="11906" w:h="16838"/>
          <w:pgMar w:top="1440" w:right="1800" w:bottom="1440" w:left="1800" w:header="851" w:footer="992" w:gutter="0"/>
          <w:cols w:space="720" w:num="1"/>
          <w:docGrid w:type="lines" w:linePitch="312" w:charSpace="0"/>
        </w:sectPr>
      </w:pPr>
    </w:p>
    <w:p>
      <w:r>
        <w:rPr>
          <w:rFonts w:hint="eastAsia" w:ascii="仿宋_GB2312" w:hAnsi="宋体" w:eastAsia="仿宋_GB2312" w:cs="宋体"/>
          <w:color w:val="000000"/>
          <w:kern w:val="0"/>
          <w:sz w:val="32"/>
          <w:szCs w:val="32"/>
        </w:rPr>
        <w:t xml:space="preserve">附件： </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年部门预算公开报表</w:t>
      </w:r>
    </w:p>
    <w:p>
      <w:pPr>
        <w:tabs>
          <w:tab w:val="right" w:leader="dot" w:pos="8296"/>
        </w:tabs>
        <w:adjustRightInd w:val="0"/>
        <w:snapToGrid w:val="0"/>
        <w:spacing w:line="480" w:lineRule="auto"/>
        <w:ind w:left="420" w:leftChars="200"/>
        <w:jc w:val="left"/>
        <w:rPr>
          <w:rFonts w:ascii="仿宋" w:hAnsi="仿宋" w:eastAsia="仿宋"/>
          <w:sz w:val="28"/>
          <w:szCs w:val="28"/>
        </w:rPr>
      </w:pPr>
      <w:r>
        <w:rPr>
          <w:rFonts w:ascii="Times New Roman" w:hAnsi="Times New Roman" w:eastAsia="宋体" w:cs="Times New Roman"/>
          <w:sz w:val="28"/>
          <w:szCs w:val="28"/>
        </w:rPr>
        <w:t xml:space="preserve">                                 </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一、</w:t>
      </w:r>
      <w:r>
        <w:rPr>
          <w:rFonts w:ascii="Times New Roman" w:hAnsi="Times New Roman" w:eastAsia="宋体" w:cs="Times New Roman"/>
          <w:sz w:val="28"/>
          <w:szCs w:val="28"/>
        </w:rPr>
        <w:t>部门收支总表</w:t>
      </w:r>
    </w:p>
    <w:p>
      <w:pPr>
        <w:tabs>
          <w:tab w:val="right" w:leader="dot" w:pos="8296"/>
        </w:tabs>
        <w:adjustRightInd w:val="0"/>
        <w:snapToGrid w:val="0"/>
        <w:spacing w:line="480" w:lineRule="auto"/>
        <w:ind w:left="420" w:leftChars="200" w:firstLine="280" w:firstLineChars="100"/>
        <w:jc w:val="left"/>
        <w:rPr>
          <w:rFonts w:ascii="仿宋" w:hAnsi="仿宋" w:eastAsia="仿宋"/>
          <w:sz w:val="28"/>
          <w:szCs w:val="28"/>
        </w:rPr>
      </w:pPr>
      <w:r>
        <w:rPr>
          <w:rFonts w:hint="eastAsia" w:ascii="仿宋" w:hAnsi="仿宋" w:eastAsia="仿宋" w:cs="Times New Roman"/>
          <w:sz w:val="28"/>
          <w:szCs w:val="28"/>
        </w:rPr>
        <w:t>1</w:t>
      </w:r>
      <w:r>
        <w:rPr>
          <w:rFonts w:ascii="仿宋" w:hAnsi="仿宋" w:eastAsia="仿宋" w:cs="Times New Roman"/>
          <w:sz w:val="28"/>
          <w:szCs w:val="28"/>
        </w:rPr>
        <w:t>-1</w:t>
      </w:r>
      <w:r>
        <w:rPr>
          <w:rFonts w:hint="eastAsia" w:ascii="仿宋" w:hAnsi="仿宋" w:eastAsia="仿宋" w:cs="Times New Roman"/>
          <w:sz w:val="28"/>
          <w:szCs w:val="28"/>
        </w:rPr>
        <w:t>、部门</w:t>
      </w:r>
      <w:r>
        <w:rPr>
          <w:rFonts w:hint="eastAsia" w:ascii="Times New Roman" w:hAnsi="Times New Roman" w:eastAsia="宋体" w:cs="Times New Roman"/>
          <w:sz w:val="28"/>
          <w:szCs w:val="28"/>
        </w:rPr>
        <w:t>收入</w:t>
      </w:r>
      <w:r>
        <w:rPr>
          <w:rFonts w:hint="eastAsia" w:ascii="仿宋" w:hAnsi="仿宋" w:eastAsia="仿宋" w:cs="Times New Roman"/>
          <w:sz w:val="28"/>
          <w:szCs w:val="28"/>
        </w:rPr>
        <w:t>总</w:t>
      </w:r>
      <w:r>
        <w:rPr>
          <w:rFonts w:hint="eastAsia" w:ascii="Times New Roman" w:hAnsi="Times New Roman" w:eastAsia="宋体" w:cs="Times New Roman"/>
          <w:sz w:val="28"/>
          <w:szCs w:val="28"/>
        </w:rPr>
        <w:t>表</w:t>
      </w:r>
    </w:p>
    <w:p>
      <w:pPr>
        <w:tabs>
          <w:tab w:val="right" w:leader="dot" w:pos="8296"/>
        </w:tabs>
        <w:adjustRightInd w:val="0"/>
        <w:snapToGrid w:val="0"/>
        <w:spacing w:line="480" w:lineRule="auto"/>
        <w:ind w:left="420" w:firstLine="280" w:firstLineChars="100"/>
        <w:jc w:val="left"/>
        <w:rPr>
          <w:rFonts w:ascii="仿宋" w:hAnsi="仿宋" w:eastAsia="仿宋"/>
          <w:sz w:val="28"/>
          <w:szCs w:val="28"/>
        </w:rPr>
      </w:pPr>
      <w:r>
        <w:rPr>
          <w:rFonts w:hint="eastAsia" w:ascii="仿宋" w:hAnsi="仿宋" w:eastAsia="仿宋" w:cs="Times New Roman"/>
          <w:sz w:val="28"/>
          <w:szCs w:val="28"/>
        </w:rPr>
        <w:t>1</w:t>
      </w:r>
      <w:r>
        <w:rPr>
          <w:rFonts w:ascii="仿宋" w:hAnsi="仿宋" w:eastAsia="仿宋" w:cs="Times New Roman"/>
          <w:sz w:val="28"/>
          <w:szCs w:val="28"/>
        </w:rPr>
        <w:t>-2</w:t>
      </w:r>
      <w:r>
        <w:rPr>
          <w:rFonts w:hint="eastAsia" w:ascii="仿宋" w:hAnsi="仿宋" w:eastAsia="仿宋" w:cs="Times New Roman"/>
          <w:sz w:val="28"/>
          <w:szCs w:val="28"/>
        </w:rPr>
        <w:t>、部门</w:t>
      </w:r>
      <w:r>
        <w:rPr>
          <w:rFonts w:hint="eastAsia" w:ascii="Times New Roman" w:hAnsi="Times New Roman" w:eastAsia="宋体" w:cs="Times New Roman"/>
          <w:sz w:val="28"/>
          <w:szCs w:val="28"/>
        </w:rPr>
        <w:t>支出</w:t>
      </w:r>
      <w:r>
        <w:rPr>
          <w:rFonts w:hint="eastAsia" w:ascii="仿宋" w:hAnsi="仿宋" w:eastAsia="仿宋" w:cs="Times New Roman"/>
          <w:sz w:val="28"/>
          <w:szCs w:val="28"/>
        </w:rPr>
        <w:t>总</w:t>
      </w:r>
      <w:r>
        <w:rPr>
          <w:rFonts w:hint="eastAsia" w:ascii="Times New Roman" w:hAnsi="Times New Roman" w:eastAsia="宋体" w:cs="Times New Roman"/>
          <w:sz w:val="28"/>
          <w:szCs w:val="28"/>
        </w:rPr>
        <w:t>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二、</w:t>
      </w:r>
      <w:r>
        <w:rPr>
          <w:rFonts w:hint="eastAsia" w:ascii="Times New Roman" w:hAnsi="Times New Roman" w:eastAsia="宋体" w:cs="Times New Roman"/>
          <w:sz w:val="28"/>
          <w:szCs w:val="28"/>
        </w:rPr>
        <w:t>财政拨款收支预算总表</w:t>
      </w:r>
    </w:p>
    <w:p>
      <w:pPr>
        <w:tabs>
          <w:tab w:val="right" w:leader="dot" w:pos="8296"/>
        </w:tabs>
        <w:adjustRightInd w:val="0"/>
        <w:snapToGrid w:val="0"/>
        <w:spacing w:line="480" w:lineRule="auto"/>
        <w:ind w:left="420" w:leftChars="200"/>
        <w:jc w:val="left"/>
        <w:rPr>
          <w:rFonts w:ascii="仿宋" w:hAnsi="仿宋" w:eastAsia="仿宋" w:cs="Times New Roman"/>
          <w:sz w:val="28"/>
          <w:szCs w:val="28"/>
        </w:rPr>
      </w:pPr>
      <w:r>
        <w:rPr>
          <w:rFonts w:hint="eastAsia" w:ascii="仿宋" w:hAnsi="仿宋" w:eastAsia="仿宋" w:cs="Times New Roman"/>
          <w:sz w:val="28"/>
          <w:szCs w:val="28"/>
        </w:rPr>
        <w:t>三、一般公共预算支出预算表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仿宋" w:hAnsi="仿宋" w:eastAsia="仿宋" w:cs="Times New Roman"/>
          <w:sz w:val="28"/>
          <w:szCs w:val="28"/>
        </w:rPr>
        <w:t xml:space="preserve">  3-1</w:t>
      </w:r>
      <w:r>
        <w:rPr>
          <w:rFonts w:hint="eastAsia" w:ascii="仿宋" w:hAnsi="仿宋" w:eastAsia="仿宋" w:cs="Times New Roman"/>
          <w:sz w:val="28"/>
          <w:szCs w:val="28"/>
        </w:rPr>
        <w:t>、一</w:t>
      </w:r>
      <w:r>
        <w:rPr>
          <w:rFonts w:hint="eastAsia" w:ascii="Times New Roman" w:hAnsi="Times New Roman" w:eastAsia="宋体" w:cs="Times New Roman"/>
          <w:sz w:val="28"/>
          <w:szCs w:val="28"/>
        </w:rPr>
        <w:t>般公共预算基本支出预算表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3-2</w:t>
      </w:r>
      <w:r>
        <w:rPr>
          <w:rFonts w:hint="eastAsia" w:ascii="Times New Roman" w:hAnsi="Times New Roman" w:eastAsia="宋体" w:cs="Times New Roman"/>
          <w:sz w:val="28"/>
          <w:szCs w:val="28"/>
        </w:rPr>
        <w:t>、一般公共预算项目支出预算表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3-3</w:t>
      </w:r>
      <w:r>
        <w:rPr>
          <w:rFonts w:hint="eastAsia" w:ascii="Times New Roman" w:hAnsi="Times New Roman" w:eastAsia="宋体" w:cs="Times New Roman"/>
          <w:sz w:val="28"/>
          <w:szCs w:val="28"/>
        </w:rPr>
        <w:t>、一般公共预算“三公”经费支出预算表</w:t>
      </w:r>
    </w:p>
    <w:p>
      <w:pPr>
        <w:tabs>
          <w:tab w:val="right" w:leader="dot" w:pos="8296"/>
        </w:tabs>
        <w:adjustRightInd w:val="0"/>
        <w:snapToGrid w:val="0"/>
        <w:spacing w:line="480" w:lineRule="auto"/>
        <w:ind w:left="420" w:leftChars="200"/>
        <w:jc w:val="left"/>
        <w:rPr>
          <w:rFonts w:ascii="仿宋" w:hAnsi="仿宋" w:eastAsia="仿宋" w:cs="Times New Roman"/>
          <w:sz w:val="28"/>
          <w:szCs w:val="28"/>
        </w:rPr>
      </w:pPr>
      <w:r>
        <w:rPr>
          <w:rFonts w:hint="eastAsia" w:ascii="仿宋" w:hAnsi="仿宋" w:eastAsia="仿宋" w:cs="Times New Roman"/>
          <w:sz w:val="28"/>
          <w:szCs w:val="28"/>
        </w:rPr>
        <w:t>四、政府性基金支出预算表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4-1</w:t>
      </w:r>
      <w:r>
        <w:rPr>
          <w:rFonts w:hint="eastAsia" w:ascii="Times New Roman" w:hAnsi="Times New Roman" w:eastAsia="宋体" w:cs="Times New Roman"/>
          <w:sz w:val="28"/>
          <w:szCs w:val="28"/>
        </w:rPr>
        <w:t>、政府性基金预算“三公”经费支出预算表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五、</w:t>
      </w:r>
      <w:r>
        <w:rPr>
          <w:rFonts w:hint="eastAsia" w:ascii="Times New Roman" w:hAnsi="Times New Roman" w:eastAsia="宋体" w:cs="Times New Roman"/>
          <w:sz w:val="28"/>
          <w:szCs w:val="28"/>
        </w:rPr>
        <w:t>国有资本经营预算支出预算表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六、</w:t>
      </w:r>
      <w:r>
        <w:rPr>
          <w:rFonts w:ascii="Times New Roman" w:hAnsi="Times New Roman" w:eastAsia="宋体" w:cs="Times New Roman"/>
          <w:sz w:val="28"/>
          <w:szCs w:val="28"/>
        </w:rPr>
        <w:t>202</w:t>
      </w:r>
      <w:r>
        <w:rPr>
          <w:rFonts w:hint="eastAsia" w:ascii="Times New Roman" w:hAnsi="Times New Roman" w:eastAsia="宋体" w:cs="Times New Roman"/>
          <w:sz w:val="28"/>
          <w:szCs w:val="28"/>
          <w:lang w:val="en-US" w:eastAsia="zh-CN"/>
        </w:rPr>
        <w:t>3</w:t>
      </w:r>
      <w:r>
        <w:rPr>
          <w:rFonts w:ascii="Times New Roman" w:hAnsi="Times New Roman" w:eastAsia="宋体" w:cs="Times New Roman"/>
          <w:sz w:val="28"/>
          <w:szCs w:val="28"/>
        </w:rPr>
        <w:t>年部门（单位）整体支出绩效目标申报表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七、</w:t>
      </w:r>
      <w:r>
        <w:rPr>
          <w:rFonts w:hint="eastAsia" w:ascii="Times New Roman" w:hAnsi="Times New Roman" w:eastAsia="宋体" w:cs="Times New Roman"/>
          <w:sz w:val="28"/>
          <w:szCs w:val="28"/>
        </w:rPr>
        <w:t>项目支出绩效预算目标表</w:t>
      </w:r>
    </w:p>
    <w:p>
      <w:pPr>
        <w:spacing w:line="560" w:lineRule="exact"/>
        <w:rPr>
          <w:rFonts w:ascii="黑体" w:hAnsi="黑体" w:eastAsia="黑体" w:cs="宋体"/>
          <w:b/>
          <w:bCs/>
          <w:color w:val="000000"/>
          <w:kern w:val="0"/>
          <w:sz w:val="32"/>
          <w:szCs w:val="32"/>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spacing w:line="560" w:lineRule="exact"/>
        <w:ind w:firstLine="321" w:firstLineChars="100"/>
        <w:rPr>
          <w:rFonts w:ascii="黑体" w:hAnsi="黑体" w:eastAsia="黑体" w:cs="宋体"/>
          <w:b/>
          <w:bCs/>
          <w:color w:val="000000"/>
          <w:kern w:val="0"/>
          <w:sz w:val="32"/>
          <w:szCs w:val="32"/>
        </w:rPr>
      </w:pPr>
    </w:p>
    <w:p>
      <w:pPr>
        <w:spacing w:line="560" w:lineRule="exact"/>
        <w:ind w:firstLine="560" w:firstLineChars="200"/>
        <w:rPr>
          <w:rFonts w:ascii="仿宋_GB2312" w:hAnsi="宋体" w:eastAsia="仿宋_GB2312" w:cs="宋体"/>
          <w:color w:val="000000"/>
          <w:kern w:val="0"/>
          <w:sz w:val="28"/>
          <w:szCs w:val="28"/>
        </w:rPr>
        <w:sectPr>
          <w:footerReference r:id="rId8" w:type="default"/>
          <w:pgSz w:w="11906" w:h="16838"/>
          <w:pgMar w:top="1440" w:right="1800" w:bottom="1440" w:left="1800" w:header="851" w:footer="992" w:gutter="0"/>
          <w:cols w:space="720" w:num="1"/>
          <w:docGrid w:type="lines" w:linePitch="312" w:charSpace="0"/>
        </w:sectPr>
      </w:pPr>
    </w:p>
    <w:p>
      <w:pPr>
        <w:spacing w:before="312" w:beforeLines="100" w:after="312" w:afterLines="100" w:line="560" w:lineRule="exact"/>
        <w:jc w:val="left"/>
        <w:outlineLvl w:val="0"/>
        <w:rPr>
          <w:rFonts w:ascii="仿宋_GB2312" w:hAnsi="宋体" w:eastAsia="仿宋_GB2312" w:cs="宋体"/>
          <w:color w:val="000000"/>
          <w:kern w:val="0"/>
          <w:sz w:val="32"/>
          <w:szCs w:val="32"/>
        </w:rPr>
      </w:pPr>
      <w:bookmarkStart w:id="11" w:name="_Toc112446547"/>
      <w:r>
        <w:rPr>
          <w:rFonts w:hint="eastAsia" w:ascii="黑体" w:hAnsi="黑体" w:eastAsia="黑体" w:cs="宋体"/>
          <w:color w:val="000000"/>
          <w:kern w:val="0"/>
          <w:sz w:val="32"/>
          <w:szCs w:val="32"/>
        </w:rPr>
        <w:t>一、基本职能及主要工作</w:t>
      </w:r>
      <w:bookmarkEnd w:id="11"/>
    </w:p>
    <w:p>
      <w:pPr>
        <w:spacing w:line="560" w:lineRule="exact"/>
        <w:ind w:firstLine="560" w:firstLineChars="200"/>
        <w:jc w:val="left"/>
        <w:outlineLvl w:val="1"/>
        <w:rPr>
          <w:rFonts w:ascii="宋体" w:hAnsi="宋体" w:eastAsia="宋体" w:cs="宋体"/>
          <w:color w:val="000000"/>
          <w:kern w:val="0"/>
          <w:sz w:val="28"/>
          <w:szCs w:val="28"/>
        </w:rPr>
      </w:pPr>
      <w:bookmarkStart w:id="12" w:name="_Toc112446548"/>
      <w:r>
        <w:rPr>
          <w:rFonts w:hint="eastAsia" w:ascii="宋体" w:hAnsi="宋体" w:eastAsia="宋体" w:cs="宋体"/>
          <w:color w:val="000000"/>
          <w:kern w:val="0"/>
          <w:sz w:val="28"/>
          <w:szCs w:val="28"/>
        </w:rPr>
        <w:t>（一）基本职能简介</w:t>
      </w:r>
      <w:bookmarkEnd w:id="12"/>
    </w:p>
    <w:p>
      <w:pPr>
        <w:widowControl/>
        <w:spacing w:line="560" w:lineRule="exact"/>
        <w:ind w:firstLine="480" w:firstLineChars="200"/>
        <w:jc w:val="left"/>
        <w:rPr>
          <w:rFonts w:hint="eastAsia" w:ascii="宋体" w:hAnsi="宋体" w:eastAsia="宋体" w:cs="宋体"/>
          <w:color w:val="000000"/>
          <w:kern w:val="0"/>
          <w:sz w:val="24"/>
          <w:szCs w:val="24"/>
          <w:lang w:val="en-US" w:eastAsia="zh-CN"/>
        </w:rPr>
      </w:pPr>
      <w:bookmarkStart w:id="13" w:name="_Toc112446549"/>
      <w:r>
        <w:rPr>
          <w:rFonts w:hint="eastAsia" w:ascii="宋体" w:hAnsi="宋体" w:eastAsia="宋体" w:cs="宋体"/>
          <w:color w:val="000000"/>
          <w:kern w:val="0"/>
          <w:sz w:val="24"/>
          <w:szCs w:val="24"/>
        </w:rPr>
        <w:t>协助</w:t>
      </w:r>
      <w:r>
        <w:rPr>
          <w:rFonts w:hint="eastAsia" w:ascii="宋体" w:hAnsi="宋体" w:eastAsia="宋体" w:cs="宋体"/>
          <w:color w:val="000000"/>
          <w:kern w:val="0"/>
          <w:sz w:val="24"/>
          <w:szCs w:val="24"/>
          <w:lang w:val="en-US" w:eastAsia="zh-CN"/>
        </w:rPr>
        <w:t>政府</w:t>
      </w:r>
      <w:r>
        <w:rPr>
          <w:rFonts w:hint="eastAsia" w:ascii="宋体" w:hAnsi="宋体" w:eastAsia="宋体" w:cs="宋体"/>
          <w:color w:val="000000"/>
          <w:kern w:val="0"/>
          <w:sz w:val="24"/>
          <w:szCs w:val="24"/>
        </w:rPr>
        <w:t>的</w:t>
      </w:r>
      <w:r>
        <w:rPr>
          <w:rFonts w:hint="eastAsia" w:ascii="宋体" w:hAnsi="宋体" w:eastAsia="宋体" w:cs="宋体"/>
          <w:color w:val="000000"/>
          <w:kern w:val="0"/>
          <w:sz w:val="24"/>
          <w:szCs w:val="24"/>
          <w:lang w:val="en-US" w:eastAsia="zh-CN"/>
        </w:rPr>
        <w:t>日常</w:t>
      </w:r>
      <w:r>
        <w:rPr>
          <w:rFonts w:hint="eastAsia" w:ascii="宋体" w:hAnsi="宋体" w:eastAsia="宋体" w:cs="宋体"/>
          <w:color w:val="000000"/>
          <w:kern w:val="0"/>
          <w:sz w:val="24"/>
          <w:szCs w:val="24"/>
        </w:rPr>
        <w:t>工作，</w:t>
      </w:r>
      <w:r>
        <w:rPr>
          <w:rFonts w:hint="eastAsia" w:ascii="宋体" w:hAnsi="宋体" w:eastAsia="宋体" w:cs="宋体"/>
          <w:color w:val="000000"/>
          <w:kern w:val="0"/>
          <w:sz w:val="24"/>
          <w:szCs w:val="24"/>
          <w:lang w:val="en-US" w:eastAsia="zh-CN"/>
        </w:rPr>
        <w:t>农业综合服务中心</w:t>
      </w:r>
      <w:r>
        <w:rPr>
          <w:rFonts w:hint="eastAsia" w:ascii="宋体" w:hAnsi="宋体" w:eastAsia="宋体" w:cs="宋体"/>
          <w:color w:val="000000"/>
          <w:kern w:val="0"/>
          <w:sz w:val="24"/>
          <w:szCs w:val="24"/>
        </w:rPr>
        <w:t>具体负责种植业、养殖业、水产业、农业机械新技术的引进、试验示范、培训推广、技术服务</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产业发展</w:t>
      </w:r>
      <w:r>
        <w:rPr>
          <w:rFonts w:hint="eastAsia" w:ascii="宋体" w:hAnsi="宋体" w:eastAsia="宋体" w:cs="宋体"/>
          <w:color w:val="000000"/>
          <w:kern w:val="0"/>
          <w:sz w:val="24"/>
          <w:szCs w:val="24"/>
        </w:rPr>
        <w:t>和农业病虫害预测预报及防治指导工作；负责国家强制免疫的动物疫病免疫接种和重大动物疫病监测、报告、控制与扑灭以及动物检疫等工作；负责农机购置补贴核实，协助处理农业机械安全事故；负责农产品质量安全检测监督服务工作；负责指导林业生产、开展林业技术服务、推广林业科学技术、森林防</w:t>
      </w:r>
      <w:r>
        <w:rPr>
          <w:rFonts w:hint="eastAsia" w:ascii="宋体" w:hAnsi="宋体" w:eastAsia="宋体" w:cs="宋体"/>
          <w:color w:val="000000"/>
          <w:kern w:val="0"/>
          <w:sz w:val="24"/>
          <w:szCs w:val="24"/>
          <w:lang w:eastAsia="zh-CN"/>
        </w:rPr>
        <w:t>灭</w:t>
      </w:r>
      <w:r>
        <w:rPr>
          <w:rFonts w:hint="eastAsia" w:ascii="宋体" w:hAnsi="宋体" w:eastAsia="宋体" w:cs="宋体"/>
          <w:color w:val="000000"/>
          <w:kern w:val="0"/>
          <w:sz w:val="24"/>
          <w:szCs w:val="24"/>
        </w:rPr>
        <w:t>火及病虫害防治等方面的技术性工作；负责水利工程维护管理、河道湖泊与水库治理、水旱灾害防御、堤防维护管理、机电排灌、水资源和水土保持等方面的事务性、技术性工作。承办农民负担监督、农村经济经营管理、土地流转等方面的事务</w:t>
      </w:r>
      <w:r>
        <w:rPr>
          <w:rFonts w:hint="eastAsia" w:ascii="宋体" w:hAnsi="宋体" w:eastAsia="宋体" w:cs="宋体"/>
          <w:color w:val="000000"/>
          <w:kern w:val="0"/>
          <w:sz w:val="24"/>
          <w:szCs w:val="24"/>
          <w:lang w:val="en-US" w:eastAsia="zh-CN"/>
        </w:rPr>
        <w:t>性工作。</w:t>
      </w:r>
    </w:p>
    <w:p>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年重点工作</w:t>
      </w:r>
      <w:bookmarkEnd w:id="13"/>
    </w:p>
    <w:p>
      <w:pPr>
        <w:widowControl/>
        <w:spacing w:line="56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一是：</w:t>
      </w:r>
      <w:r>
        <w:rPr>
          <w:rFonts w:hint="eastAsia" w:ascii="宋体" w:hAnsi="宋体" w:eastAsia="宋体" w:cs="宋体"/>
          <w:color w:val="000000"/>
          <w:kern w:val="0"/>
          <w:sz w:val="24"/>
          <w:szCs w:val="24"/>
          <w:lang w:val="en-US" w:eastAsia="zh-CN"/>
        </w:rPr>
        <w:t>着力推进产业发展规划，形成“一核两翼、五线、六园”的产业布局。</w:t>
      </w:r>
      <w:r>
        <w:rPr>
          <w:rFonts w:hint="eastAsia" w:ascii="宋体" w:hAnsi="宋体" w:eastAsia="宋体" w:cs="宋体"/>
          <w:color w:val="000000"/>
          <w:kern w:val="0"/>
          <w:sz w:val="24"/>
          <w:szCs w:val="24"/>
        </w:rPr>
        <w:t>加强</w:t>
      </w:r>
      <w:r>
        <w:rPr>
          <w:rFonts w:hint="eastAsia" w:ascii="宋体" w:hAnsi="宋体" w:eastAsia="宋体" w:cs="宋体"/>
          <w:color w:val="000000"/>
          <w:kern w:val="0"/>
          <w:sz w:val="24"/>
          <w:szCs w:val="24"/>
          <w:lang w:eastAsia="zh-CN"/>
        </w:rPr>
        <w:t>对现有</w:t>
      </w:r>
      <w:r>
        <w:rPr>
          <w:rFonts w:hint="eastAsia" w:ascii="宋体" w:hAnsi="宋体" w:eastAsia="宋体" w:cs="宋体"/>
          <w:color w:val="000000"/>
          <w:kern w:val="0"/>
          <w:sz w:val="24"/>
          <w:szCs w:val="24"/>
        </w:rPr>
        <w:t>已种植巴药</w:t>
      </w:r>
      <w:r>
        <w:rPr>
          <w:rFonts w:hint="eastAsia" w:ascii="宋体" w:hAnsi="宋体" w:eastAsia="宋体" w:cs="宋体"/>
          <w:color w:val="000000"/>
          <w:kern w:val="0"/>
          <w:sz w:val="24"/>
          <w:szCs w:val="24"/>
          <w:lang w:val="en-US" w:eastAsia="zh-CN"/>
        </w:rPr>
        <w:t>1200</w:t>
      </w:r>
      <w:r>
        <w:rPr>
          <w:rFonts w:hint="eastAsia" w:ascii="宋体" w:hAnsi="宋体" w:eastAsia="宋体" w:cs="宋体"/>
          <w:color w:val="000000"/>
          <w:kern w:val="0"/>
          <w:sz w:val="24"/>
          <w:szCs w:val="24"/>
        </w:rPr>
        <w:t>余亩</w:t>
      </w:r>
      <w:r>
        <w:rPr>
          <w:rFonts w:hint="eastAsia" w:ascii="宋体" w:hAnsi="宋体" w:eastAsia="宋体" w:cs="宋体"/>
          <w:color w:val="000000"/>
          <w:kern w:val="0"/>
          <w:sz w:val="24"/>
          <w:szCs w:val="24"/>
          <w:lang w:eastAsia="zh-CN"/>
        </w:rPr>
        <w:t>的</w:t>
      </w:r>
      <w:r>
        <w:rPr>
          <w:rFonts w:hint="eastAsia" w:ascii="宋体" w:hAnsi="宋体" w:eastAsia="宋体" w:cs="宋体"/>
          <w:color w:val="000000"/>
          <w:kern w:val="0"/>
          <w:sz w:val="24"/>
          <w:szCs w:val="24"/>
        </w:rPr>
        <w:t>管护</w:t>
      </w:r>
      <w:r>
        <w:rPr>
          <w:rFonts w:hint="eastAsia" w:ascii="宋体" w:hAnsi="宋体" w:eastAsia="宋体" w:cs="宋体"/>
          <w:color w:val="000000"/>
          <w:kern w:val="0"/>
          <w:sz w:val="24"/>
          <w:szCs w:val="24"/>
          <w:lang w:val="en-US" w:eastAsia="zh-CN"/>
        </w:rPr>
        <w:t>.</w:t>
      </w:r>
    </w:p>
    <w:p>
      <w:pPr>
        <w:widowControl/>
        <w:spacing w:line="560" w:lineRule="exact"/>
        <w:ind w:firstLine="480" w:firstLineChars="200"/>
        <w:jc w:val="left"/>
        <w:rPr>
          <w:rFonts w:hint="default" w:ascii="宋体" w:hAnsi="宋体" w:eastAsia="宋体" w:cs="宋体"/>
          <w:color w:val="000000"/>
          <w:kern w:val="0"/>
          <w:sz w:val="24"/>
          <w:szCs w:val="24"/>
          <w:lang w:val="en-US"/>
        </w:rPr>
      </w:pPr>
      <w:bookmarkStart w:id="14" w:name="_Toc112446550"/>
      <w:r>
        <w:rPr>
          <w:rFonts w:hint="eastAsia" w:ascii="宋体" w:hAnsi="宋体" w:eastAsia="宋体" w:cs="宋体"/>
          <w:color w:val="000000"/>
          <w:kern w:val="0"/>
          <w:sz w:val="24"/>
          <w:szCs w:val="24"/>
          <w:lang w:val="en-US" w:eastAsia="zh-CN"/>
        </w:rPr>
        <w:t>二是：</w:t>
      </w:r>
      <w:r>
        <w:rPr>
          <w:rFonts w:hint="eastAsia" w:ascii="宋体" w:hAnsi="宋体" w:eastAsia="宋体" w:cs="宋体"/>
          <w:color w:val="000000"/>
          <w:kern w:val="0"/>
          <w:sz w:val="24"/>
          <w:szCs w:val="24"/>
          <w:lang w:eastAsia="zh-CN"/>
        </w:rPr>
        <w:t>加大</w:t>
      </w:r>
      <w:r>
        <w:rPr>
          <w:rFonts w:hint="eastAsia" w:ascii="宋体" w:hAnsi="宋体" w:eastAsia="宋体" w:cs="宋体"/>
          <w:color w:val="000000"/>
          <w:kern w:val="0"/>
          <w:sz w:val="24"/>
          <w:szCs w:val="24"/>
        </w:rPr>
        <w:t>高标准农田项目实施监管</w:t>
      </w:r>
      <w:r>
        <w:rPr>
          <w:rFonts w:hint="eastAsia" w:ascii="宋体" w:hAnsi="宋体" w:eastAsia="宋体" w:cs="宋体"/>
          <w:color w:val="000000"/>
          <w:kern w:val="0"/>
          <w:sz w:val="24"/>
          <w:szCs w:val="24"/>
          <w:lang w:eastAsia="zh-CN"/>
        </w:rPr>
        <w:t>力度</w:t>
      </w:r>
      <w:r>
        <w:rPr>
          <w:rFonts w:hint="eastAsia" w:ascii="宋体" w:hAnsi="宋体" w:eastAsia="宋体" w:cs="宋体"/>
          <w:color w:val="000000"/>
          <w:kern w:val="0"/>
          <w:sz w:val="24"/>
          <w:szCs w:val="24"/>
          <w:lang w:val="en-US" w:eastAsia="zh-CN"/>
        </w:rPr>
        <w:t>.</w:t>
      </w:r>
    </w:p>
    <w:p>
      <w:pPr>
        <w:widowControl/>
        <w:spacing w:line="560" w:lineRule="exact"/>
        <w:ind w:firstLine="480" w:firstLineChars="20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三是：</w:t>
      </w:r>
      <w:r>
        <w:rPr>
          <w:rFonts w:hint="eastAsia" w:ascii="宋体" w:hAnsi="宋体" w:eastAsia="宋体" w:cs="宋体"/>
          <w:color w:val="000000"/>
          <w:kern w:val="0"/>
          <w:sz w:val="24"/>
          <w:szCs w:val="24"/>
          <w:lang w:eastAsia="zh-CN"/>
        </w:rPr>
        <w:t>加大</w:t>
      </w:r>
      <w:r>
        <w:rPr>
          <w:rFonts w:hint="eastAsia" w:ascii="宋体" w:hAnsi="宋体" w:eastAsia="宋体" w:cs="宋体"/>
          <w:color w:val="000000"/>
          <w:kern w:val="0"/>
          <w:sz w:val="24"/>
          <w:szCs w:val="24"/>
        </w:rPr>
        <w:t>三资清理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盘活利用</w:t>
      </w:r>
      <w:r>
        <w:rPr>
          <w:rFonts w:hint="eastAsia" w:ascii="宋体" w:hAnsi="宋体" w:eastAsia="宋体" w:cs="宋体"/>
          <w:color w:val="000000"/>
          <w:kern w:val="0"/>
          <w:sz w:val="24"/>
          <w:szCs w:val="24"/>
          <w:lang w:eastAsia="zh-CN"/>
        </w:rPr>
        <w:t>，开辟</w:t>
      </w:r>
      <w:r>
        <w:rPr>
          <w:rFonts w:hint="eastAsia" w:ascii="宋体" w:hAnsi="宋体" w:eastAsia="宋体" w:cs="宋体"/>
          <w:color w:val="000000"/>
          <w:kern w:val="0"/>
          <w:sz w:val="24"/>
          <w:szCs w:val="24"/>
        </w:rPr>
        <w:t>农村集体经济</w:t>
      </w:r>
      <w:r>
        <w:rPr>
          <w:rFonts w:hint="eastAsia" w:ascii="宋体" w:hAnsi="宋体" w:eastAsia="宋体" w:cs="宋体"/>
          <w:color w:val="000000"/>
          <w:kern w:val="0"/>
          <w:sz w:val="24"/>
          <w:szCs w:val="24"/>
          <w:lang w:eastAsia="zh-CN"/>
        </w:rPr>
        <w:t>渠道，加强</w:t>
      </w:r>
      <w:r>
        <w:rPr>
          <w:rFonts w:hint="eastAsia" w:ascii="宋体" w:hAnsi="宋体" w:eastAsia="宋体" w:cs="宋体"/>
          <w:color w:val="000000"/>
          <w:kern w:val="0"/>
          <w:sz w:val="24"/>
          <w:szCs w:val="24"/>
        </w:rPr>
        <w:t>监管</w:t>
      </w:r>
      <w:r>
        <w:rPr>
          <w:rFonts w:hint="eastAsia" w:ascii="宋体" w:hAnsi="宋体" w:eastAsia="宋体" w:cs="宋体"/>
          <w:color w:val="000000"/>
          <w:kern w:val="0"/>
          <w:sz w:val="24"/>
          <w:szCs w:val="24"/>
          <w:lang w:eastAsia="zh-CN"/>
        </w:rPr>
        <w:t>，努力</w:t>
      </w:r>
      <w:r>
        <w:rPr>
          <w:rFonts w:hint="eastAsia" w:ascii="宋体" w:hAnsi="宋体" w:eastAsia="宋体" w:cs="宋体"/>
          <w:color w:val="000000"/>
          <w:kern w:val="0"/>
          <w:sz w:val="24"/>
          <w:szCs w:val="24"/>
        </w:rPr>
        <w:t>壮大农村集体经济收入</w:t>
      </w:r>
      <w:r>
        <w:rPr>
          <w:rFonts w:hint="eastAsia" w:ascii="宋体" w:hAnsi="宋体" w:eastAsia="宋体" w:cs="宋体"/>
          <w:color w:val="000000"/>
          <w:kern w:val="0"/>
          <w:sz w:val="24"/>
          <w:szCs w:val="24"/>
          <w:lang w:eastAsia="zh-CN"/>
        </w:rPr>
        <w:t>；</w:t>
      </w:r>
    </w:p>
    <w:p>
      <w:pPr>
        <w:widowControl/>
        <w:spacing w:line="56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四是：坚持走农业绿色发展道路，推广绿色、高质、高效技术模式,村(居)沿线</w:t>
      </w:r>
      <w:r>
        <w:rPr>
          <w:rFonts w:hint="eastAsia" w:ascii="宋体" w:hAnsi="宋体" w:eastAsia="宋体" w:cs="宋体"/>
          <w:color w:val="000000"/>
          <w:kern w:val="0"/>
          <w:sz w:val="24"/>
          <w:szCs w:val="24"/>
        </w:rPr>
        <w:t>规划建设1条集中连片优质</w:t>
      </w:r>
      <w:r>
        <w:rPr>
          <w:rFonts w:hint="eastAsia" w:ascii="宋体" w:hAnsi="宋体" w:eastAsia="宋体" w:cs="宋体"/>
          <w:color w:val="000000"/>
          <w:kern w:val="0"/>
          <w:sz w:val="24"/>
          <w:szCs w:val="24"/>
          <w:lang w:val="en-US" w:eastAsia="zh-CN"/>
        </w:rPr>
        <w:t>粮油种植</w:t>
      </w:r>
      <w:r>
        <w:rPr>
          <w:rFonts w:hint="eastAsia" w:ascii="宋体" w:hAnsi="宋体" w:eastAsia="宋体" w:cs="宋体"/>
          <w:color w:val="000000"/>
          <w:kern w:val="0"/>
          <w:sz w:val="24"/>
          <w:szCs w:val="24"/>
        </w:rPr>
        <w:t>示范</w:t>
      </w:r>
      <w:r>
        <w:rPr>
          <w:rFonts w:hint="eastAsia" w:ascii="宋体" w:hAnsi="宋体" w:eastAsia="宋体" w:cs="宋体"/>
          <w:color w:val="000000"/>
          <w:kern w:val="0"/>
          <w:sz w:val="24"/>
          <w:szCs w:val="24"/>
          <w:lang w:eastAsia="zh-CN"/>
        </w:rPr>
        <w:t>带</w:t>
      </w:r>
      <w:r>
        <w:rPr>
          <w:rFonts w:hint="eastAsia" w:ascii="宋体" w:hAnsi="宋体" w:eastAsia="宋体" w:cs="宋体"/>
          <w:color w:val="000000"/>
          <w:kern w:val="0"/>
          <w:sz w:val="24"/>
          <w:szCs w:val="24"/>
          <w:lang w:val="en-US" w:eastAsia="zh-CN"/>
        </w:rPr>
        <w:t>。</w:t>
      </w:r>
    </w:p>
    <w:p>
      <w:pPr>
        <w:widowControl/>
        <w:spacing w:line="56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五是：</w:t>
      </w:r>
      <w:r>
        <w:rPr>
          <w:rFonts w:hint="eastAsia" w:ascii="宋体" w:hAnsi="宋体" w:eastAsia="宋体" w:cs="宋体"/>
          <w:color w:val="000000"/>
          <w:kern w:val="0"/>
          <w:sz w:val="24"/>
          <w:szCs w:val="24"/>
        </w:rPr>
        <w:t>推广绿色防控、统防统治，加大生物农药、高效低毒低残留农药、现代高效植保机械等应用。加强农业面源污染治理，提高秸秆、粪污、地膜等农业废弃物资源化利用水平和农药包装废弃物回收处置能力。</w:t>
      </w:r>
      <w:r>
        <w:rPr>
          <w:rFonts w:hint="eastAsia" w:ascii="宋体" w:hAnsi="宋体" w:eastAsia="宋体" w:cs="宋体"/>
          <w:color w:val="000000"/>
          <w:kern w:val="0"/>
          <w:sz w:val="24"/>
          <w:szCs w:val="24"/>
          <w:lang w:val="en-US" w:eastAsia="zh-CN"/>
        </w:rPr>
        <w:t>全乡绿色增产技术推广达 85%以上。</w:t>
      </w:r>
    </w:p>
    <w:p>
      <w:pPr>
        <w:widowControl/>
        <w:spacing w:line="56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六是：抓好种源建设,保障仔猪供应。鼓励中小养户自繁自养。引导现有繁殖场科学延缓母猪淘汰周期,适时补充优质后备母猪,为全乡稳产保供提供了坚强基石。强化生猪补栏,推进存出栏双增。完善双胞胎、等“龙头企业+养殖场”合作机制,确保合作养殖场能补尽补。做好动物防疫、检疫工作，预计全年开展春、夏、秋、冬季动物防疫工作，共强制免疫口蹄疫生猪；免疫禽流感，全乡畜禽免疫率95%以上。在区动物疫病控制中心抽检测抗效价评估中所有畜禽100%达标。同时结合季节防疫，开展了“大宣传、大清洗、大消毒”活动，确保了全乡畜禽养殖安全。                                                                                                        七是：加强动物重大疫病防控宣传，营造良好环境，强化督导问责,确保各项工作落实。</w:t>
      </w:r>
    </w:p>
    <w:p>
      <w:pPr>
        <w:widowControl/>
        <w:spacing w:line="56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防汛抗旱、农村安全饮水、河长制工作、组织化肥、农药减量技术培训、优质粮油扩种、粮食监测点监测每个点位；森林防灭火（森林防灭火“十户联保”、森林防灭火网络化责任体系、发放野外用火告知书、灭火禁令、制作标语横幅等工作。</w:t>
      </w:r>
    </w:p>
    <w:p>
      <w:pPr>
        <w:widowControl/>
        <w:spacing w:line="560" w:lineRule="exact"/>
        <w:ind w:firstLine="480" w:firstLineChars="200"/>
        <w:jc w:val="left"/>
        <w:rPr>
          <w:rFonts w:hint="eastAsia" w:ascii="宋体" w:hAnsi="宋体" w:eastAsia="宋体" w:cs="宋体"/>
          <w:color w:val="000000"/>
          <w:kern w:val="0"/>
          <w:sz w:val="24"/>
          <w:szCs w:val="24"/>
          <w:lang w:val="en-US" w:eastAsia="zh-CN"/>
        </w:rPr>
      </w:pPr>
    </w:p>
    <w:p>
      <w:pPr>
        <w:widowControl/>
        <w:spacing w:line="560" w:lineRule="exact"/>
        <w:ind w:firstLine="482" w:firstLineChars="200"/>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二、部门预算单位构成</w:t>
      </w:r>
      <w:bookmarkEnd w:id="14"/>
    </w:p>
    <w:p>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农业综合服务中心是事业单位，属于二级预算单位 。</w:t>
      </w:r>
    </w:p>
    <w:p>
      <w:pPr>
        <w:widowControl/>
        <w:spacing w:line="560" w:lineRule="exact"/>
        <w:ind w:firstLine="480" w:firstLineChars="200"/>
        <w:jc w:val="left"/>
        <w:rPr>
          <w:rFonts w:hint="eastAsia" w:ascii="宋体" w:hAnsi="宋体" w:eastAsia="宋体" w:cs="宋体"/>
          <w:color w:val="000000"/>
          <w:kern w:val="0"/>
          <w:sz w:val="24"/>
          <w:szCs w:val="24"/>
        </w:rPr>
      </w:pPr>
      <w:bookmarkStart w:id="15" w:name="_Toc112446551"/>
      <w:r>
        <w:rPr>
          <w:rFonts w:hint="eastAsia" w:ascii="宋体" w:hAnsi="宋体" w:eastAsia="宋体" w:cs="宋体"/>
          <w:color w:val="000000"/>
          <w:kern w:val="0"/>
          <w:sz w:val="24"/>
          <w:szCs w:val="24"/>
        </w:rPr>
        <w:t>三、收支预算情况说明</w:t>
      </w:r>
      <w:bookmarkEnd w:id="15"/>
    </w:p>
    <w:p>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按照综合预算的原则，农业综合服务中心所有收入和支出均纳入部门预算管理。收入包括：一般公共预算拨款收入、上级补助收入；支出包括：社会保障和就业支出、</w:t>
      </w:r>
      <w:r>
        <w:rPr>
          <w:rFonts w:hint="eastAsia" w:ascii="宋体" w:hAnsi="宋体" w:eastAsia="宋体" w:cs="宋体"/>
          <w:color w:val="000000"/>
          <w:kern w:val="0"/>
          <w:sz w:val="24"/>
          <w:szCs w:val="24"/>
          <w:lang w:val="en-US" w:eastAsia="zh-CN"/>
        </w:rPr>
        <w:t>卫生健康</w:t>
      </w:r>
      <w:r>
        <w:rPr>
          <w:rFonts w:hint="eastAsia" w:ascii="宋体" w:hAnsi="宋体" w:eastAsia="宋体" w:cs="宋体"/>
          <w:color w:val="000000"/>
          <w:kern w:val="0"/>
          <w:sz w:val="24"/>
          <w:szCs w:val="24"/>
        </w:rPr>
        <w:t>支出、农林水支出、住房保障支出。</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年收支总预算</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万元。</w:t>
      </w:r>
    </w:p>
    <w:p>
      <w:pPr>
        <w:widowControl/>
        <w:spacing w:line="560" w:lineRule="exact"/>
        <w:ind w:firstLine="480" w:firstLineChars="200"/>
        <w:jc w:val="left"/>
        <w:rPr>
          <w:rFonts w:hint="eastAsia" w:ascii="宋体" w:hAnsi="宋体" w:eastAsia="宋体" w:cs="宋体"/>
          <w:color w:val="000000"/>
          <w:kern w:val="0"/>
          <w:sz w:val="24"/>
          <w:szCs w:val="24"/>
        </w:rPr>
      </w:pPr>
      <w:bookmarkStart w:id="16" w:name="_Toc112446552"/>
      <w:r>
        <w:rPr>
          <w:rFonts w:hint="eastAsia" w:ascii="宋体" w:hAnsi="宋体" w:eastAsia="宋体" w:cs="宋体"/>
          <w:color w:val="000000"/>
          <w:kern w:val="0"/>
          <w:sz w:val="24"/>
          <w:szCs w:val="24"/>
        </w:rPr>
        <w:t>（一）、收入预算情况</w:t>
      </w:r>
      <w:bookmarkEnd w:id="16"/>
    </w:p>
    <w:p>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年收入预算</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 xml:space="preserve"> 万元，其中：上级补助收入0万元，占0%；一般公共预算拨款收入 </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万元，占100 %。</w:t>
      </w:r>
    </w:p>
    <w:p>
      <w:pPr>
        <w:widowControl/>
        <w:spacing w:line="560" w:lineRule="exact"/>
        <w:ind w:firstLine="480" w:firstLineChars="200"/>
        <w:jc w:val="left"/>
        <w:rPr>
          <w:rFonts w:hint="eastAsia" w:ascii="宋体" w:hAnsi="宋体" w:eastAsia="宋体" w:cs="宋体"/>
          <w:color w:val="000000"/>
          <w:kern w:val="0"/>
          <w:sz w:val="24"/>
          <w:szCs w:val="24"/>
        </w:rPr>
      </w:pPr>
      <w:bookmarkStart w:id="17" w:name="_Toc112446553"/>
      <w:r>
        <w:rPr>
          <w:rFonts w:hint="eastAsia" w:ascii="宋体" w:hAnsi="宋体" w:eastAsia="宋体" w:cs="宋体"/>
          <w:color w:val="000000"/>
          <w:kern w:val="0"/>
          <w:sz w:val="24"/>
          <w:szCs w:val="24"/>
        </w:rPr>
        <w:t>（二）支出预算情况</w:t>
      </w:r>
      <w:bookmarkEnd w:id="17"/>
    </w:p>
    <w:p>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年支出预算</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万元，其中：基本支出</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万元，占100%；项目支出 0万元，占0%。</w:t>
      </w:r>
    </w:p>
    <w:p>
      <w:pPr>
        <w:widowControl/>
        <w:spacing w:line="560" w:lineRule="exact"/>
        <w:ind w:firstLine="480" w:firstLineChars="200"/>
        <w:jc w:val="left"/>
        <w:rPr>
          <w:rFonts w:hint="eastAsia" w:ascii="宋体" w:hAnsi="宋体" w:eastAsia="宋体" w:cs="宋体"/>
          <w:color w:val="000000"/>
          <w:kern w:val="0"/>
          <w:sz w:val="24"/>
          <w:szCs w:val="24"/>
        </w:rPr>
      </w:pPr>
      <w:bookmarkStart w:id="18" w:name="_Toc112446554"/>
      <w:r>
        <w:rPr>
          <w:rFonts w:hint="eastAsia" w:ascii="宋体" w:hAnsi="宋体" w:eastAsia="宋体" w:cs="宋体"/>
          <w:color w:val="000000"/>
          <w:kern w:val="0"/>
          <w:sz w:val="24"/>
          <w:szCs w:val="24"/>
        </w:rPr>
        <w:t>四、财政拨款收支预算情况说明</w:t>
      </w:r>
      <w:bookmarkEnd w:id="18"/>
    </w:p>
    <w:p>
      <w:pPr>
        <w:widowControl/>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年财政拨款收支总预算</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 xml:space="preserve">万元。收入包括：本年一般公共预算拨款收入 </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一般公共预算拨款收支出包括：社会保障和就业支出</w:t>
      </w:r>
      <w:r>
        <w:rPr>
          <w:rFonts w:hint="eastAsia" w:ascii="宋体" w:hAnsi="宋体" w:eastAsia="宋体" w:cs="宋体"/>
          <w:color w:val="000000"/>
          <w:kern w:val="0"/>
          <w:sz w:val="24"/>
          <w:szCs w:val="24"/>
          <w:lang w:val="en-US" w:eastAsia="zh-CN"/>
        </w:rPr>
        <w:t>9.31</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val="en-US" w:eastAsia="zh-CN"/>
        </w:rPr>
        <w:t>卫生健康</w:t>
      </w:r>
      <w:r>
        <w:rPr>
          <w:rFonts w:hint="eastAsia" w:ascii="宋体" w:hAnsi="宋体" w:eastAsia="宋体" w:cs="宋体"/>
          <w:color w:val="000000"/>
          <w:kern w:val="0"/>
          <w:sz w:val="24"/>
          <w:szCs w:val="24"/>
        </w:rPr>
        <w:t xml:space="preserve">支出 </w:t>
      </w:r>
      <w:r>
        <w:rPr>
          <w:rFonts w:hint="eastAsia" w:ascii="宋体" w:hAnsi="宋体" w:eastAsia="宋体" w:cs="宋体"/>
          <w:color w:val="000000"/>
          <w:kern w:val="0"/>
          <w:sz w:val="24"/>
          <w:szCs w:val="24"/>
          <w:lang w:val="en-US" w:eastAsia="zh-CN"/>
        </w:rPr>
        <w:t>3.20</w:t>
      </w:r>
      <w:r>
        <w:rPr>
          <w:rFonts w:hint="eastAsia" w:ascii="宋体" w:hAnsi="宋体" w:eastAsia="宋体" w:cs="宋体"/>
          <w:color w:val="000000"/>
          <w:kern w:val="0"/>
          <w:sz w:val="24"/>
          <w:szCs w:val="24"/>
        </w:rPr>
        <w:t>万元、农林水支出</w:t>
      </w:r>
      <w:r>
        <w:rPr>
          <w:rFonts w:hint="eastAsia" w:ascii="宋体" w:hAnsi="宋体" w:eastAsia="宋体" w:cs="宋体"/>
          <w:color w:val="000000"/>
          <w:kern w:val="0"/>
          <w:sz w:val="24"/>
          <w:szCs w:val="24"/>
          <w:lang w:val="en-US" w:eastAsia="zh-CN"/>
        </w:rPr>
        <w:t>74.94</w:t>
      </w:r>
      <w:r>
        <w:rPr>
          <w:rFonts w:hint="eastAsia" w:ascii="宋体" w:hAnsi="宋体" w:eastAsia="宋体" w:cs="宋体"/>
          <w:color w:val="000000"/>
          <w:kern w:val="0"/>
          <w:sz w:val="24"/>
          <w:szCs w:val="24"/>
        </w:rPr>
        <w:t>万元，住房保障支出</w:t>
      </w:r>
      <w:r>
        <w:rPr>
          <w:rFonts w:hint="eastAsia" w:ascii="宋体" w:hAnsi="宋体" w:eastAsia="宋体" w:cs="宋体"/>
          <w:color w:val="000000"/>
          <w:kern w:val="0"/>
          <w:sz w:val="24"/>
          <w:szCs w:val="24"/>
          <w:lang w:val="en-US" w:eastAsia="zh-CN"/>
        </w:rPr>
        <w:t>7.97</w:t>
      </w:r>
      <w:r>
        <w:rPr>
          <w:rFonts w:hint="eastAsia" w:ascii="宋体" w:hAnsi="宋体" w:eastAsia="宋体" w:cs="宋体"/>
          <w:color w:val="000000"/>
          <w:kern w:val="0"/>
          <w:sz w:val="24"/>
          <w:szCs w:val="24"/>
        </w:rPr>
        <w:t>万元。</w:t>
      </w:r>
    </w:p>
    <w:p>
      <w:pPr>
        <w:widowControl/>
        <w:spacing w:before="312" w:beforeLines="100" w:after="312" w:afterLines="100" w:line="560" w:lineRule="exact"/>
        <w:jc w:val="left"/>
        <w:outlineLvl w:val="0"/>
        <w:rPr>
          <w:rFonts w:ascii="黑体" w:hAnsi="黑体" w:eastAsia="黑体" w:cs="宋体"/>
          <w:color w:val="000000"/>
          <w:kern w:val="0"/>
          <w:sz w:val="32"/>
          <w:szCs w:val="32"/>
        </w:rPr>
      </w:pPr>
      <w:bookmarkStart w:id="19" w:name="_Toc112446555"/>
      <w:r>
        <w:rPr>
          <w:rFonts w:hint="eastAsia" w:ascii="黑体" w:hAnsi="黑体" w:eastAsia="黑体" w:cs="宋体"/>
          <w:color w:val="000000"/>
          <w:kern w:val="0"/>
          <w:sz w:val="32"/>
          <w:szCs w:val="32"/>
        </w:rPr>
        <w:t>五、一般公共预算当年拨款情况说明</w:t>
      </w:r>
      <w:bookmarkEnd w:id="19"/>
    </w:p>
    <w:p>
      <w:pPr>
        <w:widowControl/>
        <w:spacing w:line="560" w:lineRule="atLeast"/>
        <w:ind w:firstLine="560" w:firstLineChars="200"/>
        <w:jc w:val="left"/>
        <w:outlineLvl w:val="1"/>
        <w:rPr>
          <w:rFonts w:ascii="宋体" w:hAnsi="宋体" w:eastAsia="宋体" w:cs="宋体"/>
          <w:color w:val="000000"/>
          <w:kern w:val="0"/>
          <w:sz w:val="28"/>
          <w:szCs w:val="28"/>
        </w:rPr>
      </w:pPr>
      <w:bookmarkStart w:id="20" w:name="_Toc112446556"/>
      <w:r>
        <w:rPr>
          <w:rFonts w:hint="eastAsia" w:ascii="宋体" w:hAnsi="宋体" w:eastAsia="宋体" w:cs="宋体"/>
          <w:color w:val="000000"/>
          <w:kern w:val="0"/>
          <w:sz w:val="28"/>
          <w:szCs w:val="28"/>
        </w:rPr>
        <w:t>（一）一般公共预算当年拨款规模变化情况</w:t>
      </w:r>
      <w:bookmarkEnd w:id="20"/>
    </w:p>
    <w:p>
      <w:pPr>
        <w:widowControl/>
        <w:spacing w:line="560" w:lineRule="atLeast"/>
        <w:ind w:firstLine="480" w:firstLineChars="200"/>
        <w:jc w:val="left"/>
        <w:rPr>
          <w:rFonts w:ascii="仿宋_GB2312" w:hAnsi="宋体" w:eastAsia="仿宋_GB2312" w:cs="宋体"/>
          <w:color w:val="000000"/>
          <w:kern w:val="0"/>
          <w:sz w:val="32"/>
          <w:szCs w:val="32"/>
        </w:rPr>
      </w:pPr>
      <w:r>
        <w:rPr>
          <w:rFonts w:hint="eastAsia" w:ascii="宋体" w:hAnsi="宋体" w:eastAsia="宋体" w:cs="宋体"/>
          <w:color w:val="000000"/>
          <w:kern w:val="0"/>
          <w:sz w:val="24"/>
          <w:szCs w:val="24"/>
        </w:rPr>
        <w:t>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年一般公共预算当年拨款</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万元。</w:t>
      </w:r>
    </w:p>
    <w:p>
      <w:pPr>
        <w:widowControl/>
        <w:spacing w:line="560" w:lineRule="atLeast"/>
        <w:ind w:firstLine="560" w:firstLineChars="200"/>
        <w:jc w:val="left"/>
        <w:outlineLvl w:val="1"/>
        <w:rPr>
          <w:rFonts w:ascii="宋体" w:hAnsi="宋体" w:eastAsia="宋体" w:cs="宋体"/>
          <w:color w:val="000000"/>
          <w:kern w:val="0"/>
          <w:sz w:val="28"/>
          <w:szCs w:val="28"/>
        </w:rPr>
      </w:pPr>
      <w:bookmarkStart w:id="21" w:name="_Toc112446557"/>
      <w:r>
        <w:rPr>
          <w:rFonts w:hint="eastAsia" w:ascii="宋体" w:hAnsi="宋体" w:eastAsia="宋体" w:cs="宋体"/>
          <w:color w:val="000000"/>
          <w:kern w:val="0"/>
          <w:sz w:val="28"/>
          <w:szCs w:val="28"/>
        </w:rPr>
        <w:t>（二）一般公共预算当年拨款结构情况</w:t>
      </w:r>
      <w:bookmarkEnd w:id="21"/>
    </w:p>
    <w:p>
      <w:pPr>
        <w:widowControl/>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社会保障和就业支出</w:t>
      </w:r>
      <w:r>
        <w:rPr>
          <w:rFonts w:hint="eastAsia" w:ascii="宋体" w:hAnsi="宋体" w:eastAsia="宋体" w:cs="宋体"/>
          <w:color w:val="000000"/>
          <w:kern w:val="0"/>
          <w:sz w:val="24"/>
          <w:szCs w:val="24"/>
          <w:lang w:val="en-US" w:eastAsia="zh-CN"/>
        </w:rPr>
        <w:t>9.31</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val="en-US" w:eastAsia="zh-CN"/>
        </w:rPr>
        <w:t>卫生健康</w:t>
      </w:r>
      <w:r>
        <w:rPr>
          <w:rFonts w:hint="eastAsia" w:ascii="宋体" w:hAnsi="宋体" w:eastAsia="宋体" w:cs="宋体"/>
          <w:color w:val="000000"/>
          <w:kern w:val="0"/>
          <w:sz w:val="24"/>
          <w:szCs w:val="24"/>
        </w:rPr>
        <w:t>支出</w:t>
      </w:r>
      <w:r>
        <w:rPr>
          <w:rFonts w:hint="eastAsia" w:ascii="宋体" w:hAnsi="宋体" w:eastAsia="宋体" w:cs="宋体"/>
          <w:color w:val="000000"/>
          <w:kern w:val="0"/>
          <w:sz w:val="24"/>
          <w:szCs w:val="24"/>
          <w:lang w:val="en-US" w:eastAsia="zh-CN"/>
        </w:rPr>
        <w:t>3.2</w:t>
      </w:r>
      <w:r>
        <w:rPr>
          <w:rFonts w:hint="eastAsia" w:ascii="宋体" w:hAnsi="宋体" w:eastAsia="宋体" w:cs="宋体"/>
          <w:color w:val="000000"/>
          <w:kern w:val="0"/>
          <w:sz w:val="24"/>
          <w:szCs w:val="24"/>
        </w:rPr>
        <w:t>万元、农林水支出</w:t>
      </w:r>
      <w:r>
        <w:rPr>
          <w:rFonts w:hint="eastAsia" w:ascii="宋体" w:hAnsi="宋体" w:eastAsia="宋体" w:cs="宋体"/>
          <w:color w:val="000000"/>
          <w:kern w:val="0"/>
          <w:sz w:val="24"/>
          <w:szCs w:val="24"/>
          <w:lang w:val="en-US" w:eastAsia="zh-CN"/>
        </w:rPr>
        <w:t>74.94</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住房保障支出</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7.97</w:t>
      </w:r>
      <w:r>
        <w:rPr>
          <w:rFonts w:hint="eastAsia" w:ascii="宋体" w:hAnsi="宋体" w:eastAsia="宋体" w:cs="宋体"/>
          <w:color w:val="000000"/>
          <w:kern w:val="0"/>
          <w:sz w:val="24"/>
          <w:szCs w:val="24"/>
        </w:rPr>
        <w:t>万元。</w:t>
      </w:r>
    </w:p>
    <w:p>
      <w:pPr>
        <w:widowControl/>
        <w:spacing w:line="560" w:lineRule="atLeast"/>
        <w:ind w:firstLine="560" w:firstLineChars="200"/>
        <w:jc w:val="left"/>
        <w:outlineLvl w:val="1"/>
        <w:rPr>
          <w:rFonts w:ascii="宋体" w:hAnsi="宋体" w:eastAsia="宋体" w:cs="宋体"/>
          <w:color w:val="000000"/>
          <w:kern w:val="0"/>
          <w:sz w:val="28"/>
          <w:szCs w:val="28"/>
        </w:rPr>
      </w:pPr>
      <w:bookmarkStart w:id="22" w:name="_Toc112446558"/>
      <w:r>
        <w:rPr>
          <w:rFonts w:hint="eastAsia" w:ascii="宋体" w:hAnsi="宋体" w:eastAsia="宋体" w:cs="宋体"/>
          <w:color w:val="000000"/>
          <w:kern w:val="0"/>
          <w:sz w:val="28"/>
          <w:szCs w:val="28"/>
        </w:rPr>
        <w:t>（三）一般公共预算当年拨款具体使用情况</w:t>
      </w:r>
      <w:bookmarkEnd w:id="22"/>
    </w:p>
    <w:p>
      <w:pPr>
        <w:widowControl/>
        <w:spacing w:line="560" w:lineRule="exact"/>
        <w:ind w:firstLine="480" w:firstLineChars="200"/>
        <w:jc w:val="left"/>
        <w:rPr>
          <w:rFonts w:ascii="宋体" w:hAnsi="宋体" w:eastAsia="宋体" w:cs="宋体"/>
          <w:color w:val="000000"/>
          <w:kern w:val="0"/>
          <w:szCs w:val="21"/>
        </w:rPr>
      </w:pPr>
      <w:r>
        <w:rPr>
          <w:rFonts w:hint="eastAsia" w:ascii="宋体" w:hAnsi="宋体" w:eastAsia="宋体"/>
          <w:color w:val="000000"/>
          <w:sz w:val="24"/>
          <w:szCs w:val="24"/>
        </w:rPr>
        <w:t>1、</w:t>
      </w:r>
      <w:r>
        <w:rPr>
          <w:rFonts w:hint="eastAsia" w:ascii="宋体" w:hAnsi="宋体" w:eastAsia="宋体"/>
          <w:color w:val="000000"/>
          <w:sz w:val="24"/>
          <w:szCs w:val="24"/>
          <w:shd w:val="clear" w:color="auto" w:fill="FFFFFF"/>
        </w:rPr>
        <w:t>社会保障和就业支出(类)行政事业单位离退休(款)机关事业单位基本养老保险缴费支出(项)</w:t>
      </w: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年预算数为</w:t>
      </w:r>
      <w:r>
        <w:rPr>
          <w:rFonts w:hint="eastAsia" w:ascii="宋体" w:hAnsi="宋体" w:eastAsia="宋体"/>
          <w:color w:val="000000"/>
          <w:sz w:val="24"/>
          <w:szCs w:val="24"/>
          <w:shd w:val="clear" w:color="auto" w:fill="FFFFFF"/>
          <w:lang w:val="en-US" w:eastAsia="zh-CN"/>
        </w:rPr>
        <w:t>9.31</w:t>
      </w:r>
      <w:r>
        <w:rPr>
          <w:rFonts w:hint="eastAsia" w:ascii="宋体" w:hAnsi="宋体" w:eastAsia="宋体"/>
          <w:color w:val="000000"/>
          <w:sz w:val="24"/>
          <w:szCs w:val="24"/>
          <w:shd w:val="clear" w:color="auto" w:fill="FFFFFF"/>
        </w:rPr>
        <w:t xml:space="preserve">万元，主要用于：实施养老保险制度后，部门按规定由单位缴纳的基本养老保险费支出。 </w:t>
      </w:r>
      <w:r>
        <w:rPr>
          <w:rFonts w:hint="eastAsia" w:ascii="宋体" w:hAnsi="宋体" w:eastAsia="宋体" w:cs="宋体"/>
          <w:color w:val="000000"/>
          <w:kern w:val="0"/>
          <w:sz w:val="24"/>
          <w:szCs w:val="24"/>
        </w:rPr>
        <w:t>　　</w:t>
      </w:r>
      <w:r>
        <w:rPr>
          <w:rFonts w:hint="eastAsia" w:ascii="宋体" w:hAnsi="宋体" w:eastAsia="宋体"/>
          <w:color w:val="000000"/>
          <w:sz w:val="24"/>
          <w:szCs w:val="24"/>
        </w:rPr>
        <w:t xml:space="preserve"> </w:t>
      </w:r>
    </w:p>
    <w:p>
      <w:pPr>
        <w:widowControl/>
        <w:spacing w:line="560" w:lineRule="exact"/>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卫生健康</w:t>
      </w:r>
      <w:r>
        <w:rPr>
          <w:rFonts w:hint="eastAsia" w:ascii="宋体" w:hAnsi="宋体" w:eastAsia="宋体" w:cs="宋体"/>
          <w:color w:val="000000"/>
          <w:kern w:val="0"/>
          <w:sz w:val="24"/>
          <w:szCs w:val="24"/>
        </w:rPr>
        <w:t>支出（类）行政事业单位医疗（款）事业单位医疗（项）:</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年预算数为</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3.2</w:t>
      </w:r>
      <w:r>
        <w:rPr>
          <w:rFonts w:hint="eastAsia" w:ascii="宋体" w:hAnsi="宋体" w:eastAsia="宋体" w:cs="宋体"/>
          <w:color w:val="000000"/>
          <w:kern w:val="0"/>
          <w:sz w:val="24"/>
          <w:szCs w:val="24"/>
        </w:rPr>
        <w:t>万元，主要用于：部门下属事业单位基本医疗保险缴费支出。　　 　</w:t>
      </w:r>
    </w:p>
    <w:p>
      <w:pPr>
        <w:spacing w:line="560" w:lineRule="exact"/>
        <w:ind w:firstLine="480" w:firstLineChars="200"/>
        <w:jc w:val="left"/>
        <w:rPr>
          <w:rFonts w:hint="eastAsia" w:ascii="宋体" w:hAnsi="宋体" w:eastAsia="宋体"/>
          <w:color w:val="000000"/>
          <w:sz w:val="24"/>
          <w:szCs w:val="24"/>
          <w:shd w:val="clear" w:color="auto" w:fill="FFFFFF"/>
          <w:lang w:eastAsia="zh-CN"/>
        </w:rPr>
      </w:pPr>
      <w:r>
        <w:rPr>
          <w:rFonts w:ascii="宋体" w:hAnsi="宋体" w:eastAsia="宋体"/>
          <w:color w:val="000000"/>
          <w:sz w:val="24"/>
          <w:szCs w:val="24"/>
          <w:shd w:val="clear" w:color="auto" w:fill="FFFFFF"/>
        </w:rPr>
        <w:t>3</w:t>
      </w:r>
      <w:r>
        <w:rPr>
          <w:rFonts w:hint="eastAsia" w:ascii="宋体" w:hAnsi="宋体" w:eastAsia="宋体"/>
          <w:color w:val="000000"/>
          <w:sz w:val="24"/>
          <w:szCs w:val="24"/>
          <w:shd w:val="clear" w:color="auto" w:fill="FFFFFF"/>
        </w:rPr>
        <w:t>、农林水支出(类)农业(款)事业运行(项)</w:t>
      </w: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年预算数为</w:t>
      </w:r>
      <w:r>
        <w:rPr>
          <w:rFonts w:hint="eastAsia" w:ascii="宋体" w:hAnsi="宋体" w:eastAsia="宋体"/>
          <w:color w:val="000000"/>
          <w:sz w:val="24"/>
          <w:szCs w:val="24"/>
          <w:shd w:val="clear" w:color="auto" w:fill="FFFFFF"/>
          <w:lang w:val="en-US" w:eastAsia="zh-CN"/>
        </w:rPr>
        <w:t>74.94</w:t>
      </w:r>
      <w:r>
        <w:rPr>
          <w:rFonts w:hint="eastAsia" w:ascii="宋体" w:hAnsi="宋体" w:eastAsia="宋体"/>
          <w:color w:val="000000"/>
          <w:sz w:val="24"/>
          <w:szCs w:val="24"/>
          <w:shd w:val="clear" w:color="auto" w:fill="FFFFFF"/>
        </w:rPr>
        <w:t>万元；主</w:t>
      </w:r>
      <w:bookmarkStart w:id="30" w:name="_GoBack"/>
      <w:bookmarkEnd w:id="30"/>
      <w:r>
        <w:rPr>
          <w:rFonts w:hint="eastAsia" w:ascii="宋体" w:hAnsi="宋体" w:eastAsia="宋体"/>
          <w:color w:val="000000"/>
          <w:sz w:val="24"/>
          <w:szCs w:val="24"/>
          <w:shd w:val="clear" w:color="auto" w:fill="FFFFFF"/>
        </w:rPr>
        <w:t>要用于农业服务中心中农技、农机、畜牧岗位正常运转的基本支出，包括基本工资、津贴补贴等人员经费以及办公费、印刷费、水电费等日常公用经费</w:t>
      </w:r>
      <w:r>
        <w:rPr>
          <w:rFonts w:hint="eastAsia" w:ascii="宋体" w:hAnsi="宋体" w:eastAsia="宋体"/>
          <w:color w:val="000000"/>
          <w:sz w:val="24"/>
          <w:szCs w:val="24"/>
          <w:shd w:val="clear" w:color="auto" w:fill="FFFFFF"/>
          <w:lang w:eastAsia="zh-CN"/>
        </w:rPr>
        <w:t>。</w:t>
      </w:r>
    </w:p>
    <w:p>
      <w:pPr>
        <w:widowControl/>
        <w:spacing w:line="560" w:lineRule="exact"/>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6</w:t>
      </w:r>
      <w:r>
        <w:rPr>
          <w:rFonts w:hint="eastAsia" w:ascii="宋体" w:hAnsi="宋体" w:eastAsia="宋体" w:cs="宋体"/>
          <w:color w:val="000000"/>
          <w:kern w:val="0"/>
          <w:sz w:val="24"/>
          <w:szCs w:val="24"/>
        </w:rPr>
        <w:t>.住房保障（类）住房改革支出（款）住房公积金（项）:</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年预算数为</w:t>
      </w:r>
      <w:r>
        <w:rPr>
          <w:rFonts w:hint="eastAsia" w:ascii="宋体" w:hAnsi="宋体" w:eastAsia="宋体" w:cs="宋体"/>
          <w:color w:val="000000"/>
          <w:kern w:val="0"/>
          <w:sz w:val="24"/>
          <w:szCs w:val="24"/>
          <w:lang w:val="en-US" w:eastAsia="zh-CN"/>
        </w:rPr>
        <w:t>7.97</w:t>
      </w:r>
      <w:r>
        <w:rPr>
          <w:rFonts w:hint="eastAsia" w:ascii="宋体" w:hAnsi="宋体" w:eastAsia="宋体" w:cs="宋体"/>
          <w:color w:val="000000"/>
          <w:kern w:val="0"/>
          <w:sz w:val="24"/>
          <w:szCs w:val="24"/>
        </w:rPr>
        <w:t>万元，主要用于：部门按人力资源和社会保障部、财政部规定的基本工资和津贴补贴以及规定比例为职工缴纳的住房公积金支出。</w:t>
      </w:r>
    </w:p>
    <w:p>
      <w:pPr>
        <w:widowControl/>
        <w:spacing w:before="312" w:beforeLines="100" w:after="312" w:afterLines="100" w:line="560" w:lineRule="exact"/>
        <w:jc w:val="left"/>
        <w:outlineLvl w:val="0"/>
        <w:rPr>
          <w:rFonts w:ascii="仿宋_GB2312" w:hAnsi="宋体" w:eastAsia="仿宋_GB2312" w:cs="宋体"/>
          <w:color w:val="000000"/>
          <w:kern w:val="0"/>
          <w:sz w:val="32"/>
          <w:szCs w:val="32"/>
        </w:rPr>
      </w:pPr>
      <w:bookmarkStart w:id="23" w:name="_Toc112446559"/>
      <w:r>
        <w:rPr>
          <w:rFonts w:hint="eastAsia" w:ascii="黑体" w:hAnsi="黑体" w:eastAsia="黑体" w:cs="宋体"/>
          <w:color w:val="000000"/>
          <w:kern w:val="0"/>
          <w:sz w:val="32"/>
          <w:szCs w:val="32"/>
        </w:rPr>
        <w:t>六、一般公共预算基本支出情况说明</w:t>
      </w:r>
      <w:bookmarkEnd w:id="23"/>
    </w:p>
    <w:p>
      <w:pPr>
        <w:widowControl/>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年一般公共预算基本支出</w:t>
      </w:r>
      <w:r>
        <w:rPr>
          <w:rFonts w:hint="eastAsia" w:ascii="宋体" w:hAnsi="宋体" w:eastAsia="宋体" w:cs="宋体"/>
          <w:color w:val="000000"/>
          <w:kern w:val="0"/>
          <w:sz w:val="24"/>
          <w:szCs w:val="24"/>
          <w:lang w:val="en-US" w:eastAsia="zh-CN"/>
        </w:rPr>
        <w:t>95.42</w:t>
      </w:r>
      <w:r>
        <w:rPr>
          <w:rFonts w:hint="eastAsia" w:ascii="宋体" w:hAnsi="宋体" w:eastAsia="宋体" w:cs="宋体"/>
          <w:color w:val="000000"/>
          <w:kern w:val="0"/>
          <w:sz w:val="24"/>
          <w:szCs w:val="24"/>
        </w:rPr>
        <w:t>万元，其中：</w:t>
      </w:r>
    </w:p>
    <w:p>
      <w:pPr>
        <w:widowControl/>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人员经费</w:t>
      </w:r>
      <w:r>
        <w:rPr>
          <w:rFonts w:hint="eastAsia" w:ascii="宋体" w:hAnsi="宋体" w:eastAsia="宋体" w:cs="宋体"/>
          <w:color w:val="000000"/>
          <w:kern w:val="0"/>
          <w:sz w:val="24"/>
          <w:szCs w:val="24"/>
          <w:lang w:val="en-US" w:eastAsia="zh-CN"/>
        </w:rPr>
        <w:t>87.61</w:t>
      </w:r>
      <w:r>
        <w:rPr>
          <w:rFonts w:hint="eastAsia" w:ascii="宋体" w:hAnsi="宋体" w:eastAsia="宋体" w:cs="宋体"/>
          <w:color w:val="000000"/>
          <w:kern w:val="0"/>
          <w:sz w:val="24"/>
          <w:szCs w:val="24"/>
        </w:rPr>
        <w:t>万元，主要包括：基本工资、津贴补贴、奖金、社会保险缴费、绩效工资、机关事业单位基本养老保险缴费、职业年金缴费、住房公积金、奖励金。</w:t>
      </w:r>
    </w:p>
    <w:p>
      <w:pPr>
        <w:widowControl/>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公用经费</w:t>
      </w:r>
      <w:r>
        <w:rPr>
          <w:rFonts w:hint="eastAsia" w:ascii="宋体" w:hAnsi="宋体" w:eastAsia="宋体" w:cs="宋体"/>
          <w:color w:val="000000"/>
          <w:kern w:val="0"/>
          <w:sz w:val="24"/>
          <w:szCs w:val="24"/>
          <w:lang w:val="en-US" w:eastAsia="zh-CN"/>
        </w:rPr>
        <w:t>7.81</w:t>
      </w:r>
      <w:r>
        <w:rPr>
          <w:rFonts w:hint="eastAsia" w:ascii="宋体" w:hAnsi="宋体" w:eastAsia="宋体" w:cs="宋体"/>
          <w:color w:val="000000"/>
          <w:kern w:val="0"/>
          <w:sz w:val="24"/>
          <w:szCs w:val="24"/>
        </w:rPr>
        <w:t>万元，主要包括：办公费、印刷费、水费、电费、邮电费、差旅费、维修（护）费、会议费、培训费、劳务费、工会经费。</w:t>
      </w:r>
    </w:p>
    <w:p>
      <w:pPr>
        <w:widowControl/>
        <w:spacing w:before="312" w:beforeLines="100" w:after="312" w:afterLines="100" w:line="560" w:lineRule="exact"/>
        <w:jc w:val="left"/>
        <w:outlineLvl w:val="0"/>
        <w:rPr>
          <w:rFonts w:ascii="仿宋_GB2312" w:hAnsi="宋体" w:eastAsia="仿宋_GB2312" w:cs="宋体"/>
          <w:color w:val="000000"/>
          <w:kern w:val="0"/>
          <w:sz w:val="32"/>
          <w:szCs w:val="32"/>
        </w:rPr>
      </w:pPr>
      <w:bookmarkStart w:id="24" w:name="_Toc112446560"/>
      <w:r>
        <w:rPr>
          <w:rFonts w:hint="eastAsia" w:ascii="黑体" w:hAnsi="黑体" w:eastAsia="黑体" w:cs="宋体"/>
          <w:color w:val="000000"/>
          <w:kern w:val="0"/>
          <w:sz w:val="32"/>
          <w:szCs w:val="32"/>
        </w:rPr>
        <w:t>七、“三公”经费财政拨款预算安排情况说明</w:t>
      </w:r>
      <w:bookmarkEnd w:id="24"/>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年“三公”经费财政拨款预算数0</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万元，其中：因公出国（境）经费0</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万元，公务接待费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0万元，公务用车购置及运行维护费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农业综合服务中心无因公出国（境）经费。</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年农业综合服务中心无公务接待费。</w:t>
      </w:r>
    </w:p>
    <w:p>
      <w:pPr>
        <w:widowControl/>
        <w:wordWrap w:val="0"/>
        <w:spacing w:line="560" w:lineRule="atLeast"/>
        <w:ind w:firstLine="426"/>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年农业综合服务中心无公务用车购置及运行维护费。</w:t>
      </w:r>
    </w:p>
    <w:p>
      <w:pPr>
        <w:spacing w:before="312" w:beforeLines="100" w:after="312" w:afterLines="100" w:line="560" w:lineRule="exact"/>
        <w:jc w:val="left"/>
        <w:outlineLvl w:val="0"/>
        <w:rPr>
          <w:rFonts w:ascii="黑体" w:hAnsi="黑体" w:eastAsia="黑体" w:cs="宋体"/>
          <w:color w:val="000000"/>
          <w:kern w:val="0"/>
          <w:sz w:val="32"/>
          <w:szCs w:val="32"/>
        </w:rPr>
      </w:pPr>
      <w:bookmarkStart w:id="25" w:name="_Toc112446561"/>
      <w:r>
        <w:rPr>
          <w:rFonts w:hint="eastAsia" w:ascii="黑体" w:hAnsi="黑体" w:eastAsia="黑体" w:cs="宋体"/>
          <w:color w:val="000000"/>
          <w:kern w:val="0"/>
          <w:sz w:val="32"/>
          <w:szCs w:val="32"/>
        </w:rPr>
        <w:t>八、政府性基金预算支出情况说明</w:t>
      </w:r>
      <w:bookmarkEnd w:id="25"/>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农业综合服务中心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年没有使用政府性基金预算拨款安排的支出。</w:t>
      </w:r>
    </w:p>
    <w:p>
      <w:pPr>
        <w:spacing w:before="312" w:beforeLines="100" w:after="312" w:afterLines="100" w:line="560" w:lineRule="exact"/>
        <w:jc w:val="left"/>
        <w:outlineLvl w:val="0"/>
        <w:rPr>
          <w:rFonts w:ascii="仿宋_GB2312" w:eastAsia="仿宋_GB2312"/>
          <w:color w:val="000000"/>
          <w:sz w:val="32"/>
          <w:szCs w:val="32"/>
        </w:rPr>
      </w:pPr>
      <w:bookmarkStart w:id="26" w:name="_Toc112446562"/>
      <w:r>
        <w:rPr>
          <w:rFonts w:hint="eastAsia" w:ascii="黑体" w:hAnsi="黑体" w:eastAsia="黑体" w:cs="宋体"/>
          <w:color w:val="000000"/>
          <w:kern w:val="0"/>
          <w:sz w:val="32"/>
          <w:szCs w:val="32"/>
        </w:rPr>
        <w:t>九、其他重要事项的情况说明</w:t>
      </w:r>
      <w:bookmarkEnd w:id="26"/>
    </w:p>
    <w:p>
      <w:pPr>
        <w:spacing w:line="560" w:lineRule="exact"/>
        <w:ind w:firstLine="560" w:firstLineChars="200"/>
        <w:jc w:val="left"/>
        <w:outlineLvl w:val="1"/>
        <w:rPr>
          <w:rFonts w:ascii="宋体" w:hAnsi="宋体" w:eastAsia="宋体"/>
          <w:b/>
          <w:bCs/>
          <w:color w:val="000000"/>
          <w:sz w:val="28"/>
          <w:szCs w:val="28"/>
        </w:rPr>
      </w:pPr>
      <w:bookmarkStart w:id="27" w:name="_Toc112446563"/>
      <w:r>
        <w:rPr>
          <w:rStyle w:val="10"/>
          <w:rFonts w:hint="eastAsia" w:ascii="宋体" w:hAnsi="宋体" w:eastAsia="宋体"/>
          <w:b w:val="0"/>
          <w:bCs w:val="0"/>
          <w:color w:val="000000"/>
          <w:sz w:val="28"/>
          <w:szCs w:val="28"/>
        </w:rPr>
        <w:t>（一）政府采购情况</w:t>
      </w:r>
      <w:bookmarkEnd w:id="27"/>
    </w:p>
    <w:p>
      <w:pPr>
        <w:spacing w:line="560" w:lineRule="exact"/>
        <w:ind w:firstLine="480" w:firstLineChars="200"/>
        <w:jc w:val="left"/>
        <w:rPr>
          <w:rFonts w:hint="default" w:ascii="宋体" w:hAnsi="宋体" w:eastAsia="宋体"/>
          <w:color w:val="000000"/>
          <w:sz w:val="32"/>
          <w:szCs w:val="32"/>
          <w:shd w:val="clear" w:color="auto" w:fill="FFFFFF"/>
          <w:lang w:val="en-US" w:eastAsia="zh-CN"/>
        </w:rPr>
      </w:pP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年，没有安排政府采购预算</w:t>
      </w:r>
      <w:r>
        <w:rPr>
          <w:rFonts w:hint="eastAsia" w:ascii="宋体" w:hAnsi="宋体" w:eastAsia="宋体"/>
          <w:color w:val="000000"/>
          <w:sz w:val="24"/>
          <w:szCs w:val="24"/>
          <w:shd w:val="clear" w:color="auto" w:fill="FFFFFF"/>
          <w:lang w:eastAsia="zh-CN"/>
        </w:rPr>
        <w:t>，</w:t>
      </w:r>
      <w:r>
        <w:rPr>
          <w:rFonts w:hint="eastAsia" w:ascii="宋体" w:hAnsi="宋体" w:eastAsia="宋体"/>
          <w:color w:val="000000"/>
          <w:sz w:val="24"/>
          <w:szCs w:val="24"/>
          <w:shd w:val="clear" w:color="auto" w:fill="FFFFFF"/>
          <w:lang w:val="en-US" w:eastAsia="zh-CN"/>
        </w:rPr>
        <w:t>若需采购，年中进行采购指标调剂。</w:t>
      </w:r>
    </w:p>
    <w:p>
      <w:pPr>
        <w:spacing w:line="560" w:lineRule="exact"/>
        <w:ind w:firstLine="560" w:firstLineChars="200"/>
        <w:jc w:val="left"/>
        <w:outlineLvl w:val="1"/>
        <w:rPr>
          <w:rFonts w:ascii="宋体" w:hAnsi="宋体" w:eastAsia="宋体" w:cs="宋体"/>
          <w:color w:val="000000"/>
          <w:kern w:val="0"/>
          <w:sz w:val="28"/>
          <w:szCs w:val="28"/>
        </w:rPr>
      </w:pPr>
      <w:bookmarkStart w:id="28" w:name="_Toc112446564"/>
      <w:r>
        <w:rPr>
          <w:rFonts w:hint="eastAsia" w:ascii="宋体" w:hAnsi="宋体" w:eastAsia="宋体" w:cs="宋体"/>
          <w:color w:val="000000"/>
          <w:kern w:val="0"/>
          <w:sz w:val="28"/>
          <w:szCs w:val="28"/>
        </w:rPr>
        <w:t>（二）绩效目标设置情况</w:t>
      </w:r>
      <w:bookmarkEnd w:id="28"/>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年财政部门通用项目和专用项目均按要求实行绩效目标管理，涉及一般公共预算当年拨款</w:t>
      </w:r>
      <w:r>
        <w:rPr>
          <w:rFonts w:hint="eastAsia" w:ascii="宋体" w:hAnsi="宋体" w:eastAsia="宋体" w:cs="宋体"/>
          <w:color w:val="000000"/>
          <w:kern w:val="0"/>
          <w:sz w:val="24"/>
          <w:szCs w:val="24"/>
          <w:lang w:val="en-US" w:eastAsia="zh-CN"/>
        </w:rPr>
        <w:t>0</w:t>
      </w:r>
      <w:r>
        <w:rPr>
          <w:rFonts w:hint="eastAsia" w:ascii="宋体" w:hAnsi="宋体" w:eastAsia="宋体" w:cs="宋体"/>
          <w:color w:val="000000"/>
          <w:kern w:val="0"/>
          <w:sz w:val="24"/>
          <w:szCs w:val="24"/>
        </w:rPr>
        <w:t>万元。</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附件： </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年部门预算公开报表</w:t>
      </w:r>
    </w:p>
    <w:p>
      <w:pPr>
        <w:spacing w:before="312" w:beforeLines="100" w:after="312" w:afterLines="100" w:line="560" w:lineRule="exact"/>
        <w:jc w:val="left"/>
        <w:outlineLvl w:val="0"/>
        <w:rPr>
          <w:rFonts w:ascii="黑体" w:hAnsi="黑体" w:eastAsia="黑体" w:cs="Times New Roman"/>
          <w:b/>
          <w:sz w:val="32"/>
          <w:szCs w:val="32"/>
        </w:rPr>
      </w:pPr>
      <w:bookmarkStart w:id="29" w:name="_Toc112446565"/>
      <w:r>
        <w:rPr>
          <w:rStyle w:val="14"/>
          <w:rFonts w:ascii="黑体" w:hAnsi="黑体" w:eastAsia="黑体" w:cs="Times New Roman"/>
          <w:b w:val="0"/>
          <w:sz w:val="32"/>
          <w:szCs w:val="32"/>
        </w:rPr>
        <w:t>十、名词解释</w:t>
      </w:r>
      <w:bookmarkEnd w:id="29"/>
    </w:p>
    <w:p>
      <w:pPr>
        <w:spacing w:line="560" w:lineRule="exact"/>
        <w:ind w:firstLine="480" w:firstLineChars="200"/>
        <w:jc w:val="left"/>
        <w:rPr>
          <w:rFonts w:ascii="宋体" w:hAnsi="宋体" w:eastAsia="宋体" w:cs="宋体"/>
          <w:sz w:val="24"/>
          <w:szCs w:val="24"/>
        </w:rPr>
      </w:pP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宋体"/>
          <w:sz w:val="24"/>
          <w:szCs w:val="24"/>
        </w:rPr>
        <w:t>财政拨款收入：指单位从同级财政部门取得的财政预算资金。</w:t>
      </w:r>
    </w:p>
    <w:p>
      <w:pPr>
        <w:pStyle w:val="15"/>
        <w:spacing w:line="560" w:lineRule="exact"/>
        <w:ind w:firstLine="200"/>
        <w:rPr>
          <w:rFonts w:ascii="宋体" w:hAnsi="宋体" w:eastAsia="宋体" w:cs="宋体"/>
        </w:rPr>
      </w:pPr>
      <w:r>
        <w:rPr>
          <w:rFonts w:hint="eastAsia" w:ascii="宋体" w:hAnsi="宋体" w:eastAsia="宋体" w:cs="宋体"/>
        </w:rPr>
        <w:t>2、</w:t>
      </w:r>
      <w:r>
        <w:rPr>
          <w:rFonts w:ascii="宋体" w:hAnsi="宋体" w:eastAsia="宋体" w:cs="宋体"/>
        </w:rPr>
        <w:t>事业收入：指事业单位开展专业业务活动及辅助活动取得的收入。</w:t>
      </w:r>
    </w:p>
    <w:p>
      <w:pPr>
        <w:pStyle w:val="15"/>
        <w:spacing w:line="560" w:lineRule="exact"/>
        <w:ind w:firstLine="200"/>
        <w:rPr>
          <w:rFonts w:ascii="宋体" w:hAnsi="宋体" w:eastAsia="宋体" w:cs="宋体"/>
        </w:rPr>
      </w:pPr>
      <w:r>
        <w:rPr>
          <w:rFonts w:ascii="宋体" w:hAnsi="宋体" w:eastAsia="宋体" w:cs="宋体"/>
        </w:rPr>
        <w:t>3</w:t>
      </w:r>
      <w:r>
        <w:rPr>
          <w:rFonts w:hint="eastAsia" w:ascii="宋体" w:hAnsi="宋体" w:eastAsia="宋体" w:cs="宋体"/>
        </w:rPr>
        <w:t>、</w:t>
      </w:r>
      <w:r>
        <w:rPr>
          <w:rFonts w:ascii="宋体" w:hAnsi="宋体" w:eastAsia="宋体" w:cs="宋体"/>
        </w:rPr>
        <w:t>经营收入：指事业单位在专业业务活动及其辅助活动之外开展非独立核算经营活动取得的收入。</w:t>
      </w:r>
    </w:p>
    <w:p>
      <w:pPr>
        <w:pStyle w:val="15"/>
        <w:spacing w:line="560" w:lineRule="exact"/>
        <w:ind w:firstLine="200"/>
        <w:rPr>
          <w:rFonts w:ascii="宋体" w:hAnsi="宋体" w:eastAsia="宋体" w:cs="宋体"/>
        </w:rPr>
      </w:pPr>
      <w:r>
        <w:rPr>
          <w:rFonts w:hint="eastAsia" w:ascii="宋体" w:hAnsi="宋体" w:eastAsia="宋体" w:cs="宋体"/>
        </w:rPr>
        <w:t>4、</w:t>
      </w:r>
      <w:r>
        <w:rPr>
          <w:rFonts w:ascii="宋体" w:hAnsi="宋体" w:eastAsia="宋体" w:cs="宋体"/>
        </w:rPr>
        <w:t>其他收入：指单位取得的除上述收入以外的各项收入。</w:t>
      </w:r>
    </w:p>
    <w:p>
      <w:pPr>
        <w:pStyle w:val="15"/>
        <w:spacing w:line="560" w:lineRule="exact"/>
        <w:ind w:firstLine="200"/>
        <w:rPr>
          <w:rFonts w:ascii="宋体" w:hAnsi="宋体" w:eastAsia="宋体" w:cs="宋体"/>
        </w:rPr>
      </w:pPr>
      <w:r>
        <w:rPr>
          <w:rFonts w:hint="eastAsia" w:ascii="宋体" w:hAnsi="宋体" w:eastAsia="宋体" w:cs="宋体"/>
        </w:rPr>
        <w:t>5、</w:t>
      </w:r>
      <w:r>
        <w:rPr>
          <w:rFonts w:ascii="宋体" w:hAnsi="宋体" w:eastAsia="宋体" w:cs="宋体"/>
        </w:rPr>
        <w:t xml:space="preserve">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5"/>
        <w:spacing w:line="560" w:lineRule="exact"/>
        <w:ind w:firstLine="200"/>
        <w:rPr>
          <w:rFonts w:ascii="宋体" w:hAnsi="宋体" w:eastAsia="宋体" w:cs="宋体"/>
        </w:rPr>
      </w:pPr>
      <w:r>
        <w:rPr>
          <w:rFonts w:ascii="宋体" w:hAnsi="宋体" w:eastAsia="宋体" w:cs="宋体"/>
        </w:rPr>
        <w:t>6</w:t>
      </w:r>
      <w:r>
        <w:rPr>
          <w:rFonts w:hint="eastAsia" w:ascii="宋体" w:hAnsi="宋体" w:eastAsia="宋体" w:cs="宋体"/>
        </w:rPr>
        <w:t>、</w:t>
      </w:r>
      <w:r>
        <w:rPr>
          <w:rFonts w:ascii="宋体" w:hAnsi="宋体" w:eastAsia="宋体" w:cs="宋体"/>
        </w:rPr>
        <w:t xml:space="preserve">年初结转和结余：指以前年度尚未完成、结转到本年按有关规定继续使用的资金。 </w:t>
      </w:r>
    </w:p>
    <w:p>
      <w:pPr>
        <w:pStyle w:val="15"/>
        <w:spacing w:line="560" w:lineRule="exact"/>
        <w:ind w:firstLine="200"/>
        <w:rPr>
          <w:rFonts w:ascii="宋体" w:hAnsi="宋体" w:eastAsia="宋体" w:cs="宋体"/>
        </w:rPr>
      </w:pPr>
      <w:r>
        <w:rPr>
          <w:rFonts w:ascii="宋体" w:hAnsi="宋体" w:eastAsia="宋体" w:cs="宋体"/>
        </w:rPr>
        <w:t>7</w:t>
      </w:r>
      <w:r>
        <w:rPr>
          <w:rFonts w:hint="eastAsia" w:ascii="宋体" w:hAnsi="宋体" w:eastAsia="宋体" w:cs="宋体"/>
        </w:rPr>
        <w:t>、</w:t>
      </w:r>
      <w:r>
        <w:rPr>
          <w:rFonts w:ascii="宋体" w:hAnsi="宋体" w:eastAsia="宋体" w:cs="宋体"/>
        </w:rPr>
        <w:t>结余分配：指事业单位按照事业单位会计制度的规定从非财政补助结余中分配的事业基金和职工福利基金等。</w:t>
      </w:r>
    </w:p>
    <w:p>
      <w:pPr>
        <w:pStyle w:val="15"/>
        <w:spacing w:line="560" w:lineRule="exact"/>
        <w:ind w:firstLine="200"/>
        <w:rPr>
          <w:rFonts w:ascii="宋体" w:hAnsi="宋体" w:eastAsia="宋体" w:cs="宋体"/>
        </w:rPr>
      </w:pPr>
      <w:r>
        <w:rPr>
          <w:rFonts w:ascii="宋体" w:hAnsi="宋体" w:eastAsia="宋体" w:cs="宋体"/>
        </w:rPr>
        <w:t>8</w:t>
      </w:r>
      <w:r>
        <w:rPr>
          <w:rFonts w:hint="eastAsia" w:ascii="宋体" w:hAnsi="宋体" w:eastAsia="宋体" w:cs="宋体"/>
        </w:rPr>
        <w:t>、</w:t>
      </w:r>
      <w:r>
        <w:rPr>
          <w:rFonts w:ascii="宋体" w:hAnsi="宋体" w:eastAsia="宋体" w:cs="宋体"/>
        </w:rPr>
        <w:t>年末结转和结余：指单位按有关规定结转到下年或以后年度继续使用的资金。</w:t>
      </w:r>
    </w:p>
    <w:p>
      <w:pPr>
        <w:spacing w:line="560" w:lineRule="exact"/>
        <w:ind w:firstLine="200"/>
        <w:jc w:val="left"/>
        <w:rPr>
          <w:rFonts w:ascii="宋体" w:hAnsi="宋体" w:eastAsia="宋体" w:cs="宋体"/>
          <w:color w:val="000000"/>
          <w:kern w:val="0"/>
          <w:sz w:val="24"/>
          <w:szCs w:val="24"/>
        </w:rPr>
      </w:pPr>
      <w:r>
        <w:rPr>
          <w:rFonts w:ascii="宋体" w:hAnsi="宋体" w:eastAsia="宋体" w:cs="宋体"/>
          <w:color w:val="000000"/>
          <w:kern w:val="0"/>
          <w:sz w:val="24"/>
          <w:szCs w:val="24"/>
        </w:rPr>
        <w:t>9</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社会保障和就业支出（类）行政事业单位离退休（款）机关事业单位基本养老保险缴费支出（项）:指实施养老保险制度后，部门按规定由单位缴纳的基本养老保险费支出。</w:t>
      </w:r>
    </w:p>
    <w:p>
      <w:pPr>
        <w:spacing w:line="560" w:lineRule="exact"/>
        <w:ind w:firstLine="200"/>
        <w:jc w:val="left"/>
        <w:rPr>
          <w:rFonts w:ascii="宋体" w:hAnsi="宋体" w:eastAsia="宋体" w:cs="宋体"/>
          <w:color w:val="000000"/>
          <w:kern w:val="0"/>
          <w:sz w:val="24"/>
          <w:szCs w:val="24"/>
        </w:rPr>
      </w:pPr>
      <w:r>
        <w:rPr>
          <w:rFonts w:ascii="宋体" w:hAnsi="宋体" w:eastAsia="宋体" w:cs="宋体"/>
          <w:color w:val="000000"/>
          <w:kern w:val="0"/>
          <w:sz w:val="24"/>
          <w:szCs w:val="24"/>
        </w:rPr>
        <w:t>10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卫生健康支出（类）行政事业单位医疗（款）行政单位医疗（项）:指机关及参公管理事业单位基本医疗保险缴费支出。</w:t>
      </w:r>
    </w:p>
    <w:p>
      <w:pPr>
        <w:spacing w:line="560" w:lineRule="exact"/>
        <w:ind w:firstLine="200"/>
        <w:jc w:val="left"/>
        <w:rPr>
          <w:rFonts w:ascii="宋体" w:hAnsi="宋体" w:eastAsia="宋体" w:cs="宋体"/>
          <w:color w:val="000000"/>
          <w:kern w:val="0"/>
          <w:sz w:val="24"/>
          <w:szCs w:val="24"/>
        </w:rPr>
      </w:pPr>
      <w:r>
        <w:rPr>
          <w:rFonts w:ascii="宋体" w:hAnsi="宋体" w:eastAsia="宋体" w:cs="宋体"/>
          <w:color w:val="000000"/>
          <w:kern w:val="0"/>
          <w:sz w:val="24"/>
          <w:szCs w:val="24"/>
        </w:rPr>
        <w:t>11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.卫生健康支出（类）行政事业单位医疗（款）</w:t>
      </w:r>
      <w:r>
        <w:rPr>
          <w:rFonts w:hint="eastAsia" w:ascii="宋体" w:hAnsi="宋体" w:eastAsia="宋体" w:cs="宋体"/>
          <w:color w:val="000000"/>
          <w:kern w:val="0"/>
          <w:sz w:val="24"/>
          <w:szCs w:val="24"/>
        </w:rPr>
        <w:t>公务员</w:t>
      </w:r>
      <w:r>
        <w:rPr>
          <w:rFonts w:ascii="宋体" w:hAnsi="宋体" w:eastAsia="宋体" w:cs="宋体"/>
          <w:color w:val="000000"/>
          <w:kern w:val="0"/>
          <w:sz w:val="24"/>
          <w:szCs w:val="24"/>
        </w:rPr>
        <w:t>医疗</w:t>
      </w:r>
      <w:r>
        <w:rPr>
          <w:rFonts w:hint="eastAsia" w:ascii="宋体" w:hAnsi="宋体" w:eastAsia="宋体" w:cs="宋体"/>
          <w:color w:val="000000"/>
          <w:kern w:val="0"/>
          <w:sz w:val="24"/>
          <w:szCs w:val="24"/>
        </w:rPr>
        <w:t>补助</w:t>
      </w:r>
      <w:r>
        <w:rPr>
          <w:rFonts w:ascii="宋体" w:hAnsi="宋体" w:eastAsia="宋体" w:cs="宋体"/>
          <w:color w:val="000000"/>
          <w:kern w:val="0"/>
          <w:sz w:val="24"/>
          <w:szCs w:val="24"/>
        </w:rPr>
        <w:t>（项）:</w:t>
      </w:r>
      <w:r>
        <w:rPr>
          <w:rFonts w:hint="eastAsia" w:ascii="宋体" w:hAnsi="宋体" w:eastAsia="宋体" w:cs="宋体"/>
          <w:color w:val="000000"/>
          <w:kern w:val="0"/>
          <w:sz w:val="24"/>
          <w:szCs w:val="24"/>
        </w:rPr>
        <w:t>反映财政部门安排的公务员医疗补助经费</w:t>
      </w:r>
      <w:r>
        <w:rPr>
          <w:rFonts w:ascii="宋体" w:hAnsi="宋体" w:eastAsia="宋体" w:cs="宋体"/>
          <w:color w:val="000000"/>
          <w:kern w:val="0"/>
          <w:sz w:val="24"/>
          <w:szCs w:val="24"/>
        </w:rPr>
        <w:t>。</w:t>
      </w:r>
    </w:p>
    <w:p>
      <w:pPr>
        <w:spacing w:line="560" w:lineRule="exact"/>
        <w:ind w:firstLine="200"/>
        <w:jc w:val="left"/>
        <w:rPr>
          <w:rStyle w:val="10"/>
          <w:rFonts w:ascii="宋体" w:hAnsi="宋体" w:eastAsia="宋体" w:cs="仿宋_GB2312"/>
          <w:b w:val="0"/>
          <w:bCs w:val="0"/>
          <w:color w:val="000000"/>
          <w:sz w:val="24"/>
          <w:szCs w:val="24"/>
        </w:rPr>
      </w:pPr>
      <w:r>
        <w:rPr>
          <w:rStyle w:val="10"/>
          <w:rFonts w:ascii="宋体" w:hAnsi="宋体" w:eastAsia="宋体"/>
          <w:b w:val="0"/>
          <w:bCs w:val="0"/>
          <w:color w:val="000000"/>
          <w:sz w:val="24"/>
          <w:szCs w:val="24"/>
        </w:rPr>
        <w:t>12</w:t>
      </w:r>
      <w:r>
        <w:rPr>
          <w:rStyle w:val="10"/>
          <w:rFonts w:hint="eastAsia" w:ascii="宋体" w:hAnsi="宋体" w:eastAsia="宋体"/>
          <w:b w:val="0"/>
          <w:bCs w:val="0"/>
          <w:color w:val="000000"/>
          <w:sz w:val="24"/>
          <w:szCs w:val="24"/>
        </w:rPr>
        <w:t>、</w:t>
      </w:r>
      <w:r>
        <w:rPr>
          <w:rFonts w:hint="eastAsia" w:ascii="宋体" w:hAnsi="宋体" w:eastAsia="宋体"/>
          <w:color w:val="000000"/>
          <w:sz w:val="24"/>
          <w:szCs w:val="24"/>
        </w:rPr>
        <w:t>农林水支出</w:t>
      </w:r>
      <w:r>
        <w:rPr>
          <w:rStyle w:val="10"/>
          <w:rFonts w:hint="eastAsia" w:ascii="宋体" w:hAnsi="宋体" w:eastAsia="宋体"/>
          <w:b w:val="0"/>
          <w:bCs w:val="0"/>
          <w:color w:val="000000"/>
          <w:sz w:val="24"/>
          <w:szCs w:val="24"/>
        </w:rPr>
        <w:t>（类）农业（款）事业运行（项）</w:t>
      </w:r>
      <w:r>
        <w:rPr>
          <w:rStyle w:val="10"/>
          <w:rFonts w:ascii="宋体" w:hAnsi="宋体" w:eastAsia="宋体"/>
          <w:b w:val="0"/>
          <w:bCs w:val="0"/>
          <w:color w:val="000000"/>
          <w:sz w:val="24"/>
          <w:szCs w:val="24"/>
        </w:rPr>
        <w:t>:</w:t>
      </w:r>
      <w:r>
        <w:rPr>
          <w:rStyle w:val="10"/>
          <w:rFonts w:hint="eastAsia" w:ascii="宋体" w:hAnsi="宋体" w:eastAsia="宋体"/>
          <w:b w:val="0"/>
          <w:bCs w:val="0"/>
          <w:color w:val="000000"/>
          <w:sz w:val="24"/>
          <w:szCs w:val="24"/>
        </w:rPr>
        <w:t>反映事业单位的基本支出</w:t>
      </w:r>
      <w:r>
        <w:rPr>
          <w:rStyle w:val="10"/>
          <w:rFonts w:hint="eastAsia" w:ascii="宋体" w:hAnsi="宋体" w:eastAsia="宋体" w:cs="仿宋_GB2312"/>
          <w:b w:val="0"/>
          <w:bCs w:val="0"/>
          <w:color w:val="000000"/>
          <w:sz w:val="24"/>
          <w:szCs w:val="24"/>
        </w:rPr>
        <w:t>。</w:t>
      </w:r>
    </w:p>
    <w:p>
      <w:pPr>
        <w:spacing w:line="560" w:lineRule="exact"/>
        <w:ind w:firstLine="200"/>
        <w:jc w:val="left"/>
        <w:rPr>
          <w:rStyle w:val="10"/>
          <w:rFonts w:ascii="宋体" w:hAnsi="宋体" w:eastAsia="宋体"/>
          <w:b w:val="0"/>
          <w:bCs w:val="0"/>
          <w:color w:val="000000"/>
          <w:sz w:val="24"/>
          <w:szCs w:val="24"/>
        </w:rPr>
      </w:pPr>
      <w:r>
        <w:rPr>
          <w:rFonts w:ascii="宋体" w:hAnsi="宋体" w:eastAsia="宋体"/>
          <w:color w:val="000000"/>
          <w:sz w:val="24"/>
          <w:szCs w:val="24"/>
        </w:rPr>
        <w:t>13</w:t>
      </w:r>
      <w:r>
        <w:rPr>
          <w:rFonts w:hint="eastAsia" w:ascii="宋体" w:hAnsi="宋体" w:eastAsia="宋体"/>
          <w:color w:val="000000"/>
          <w:sz w:val="24"/>
          <w:szCs w:val="24"/>
        </w:rPr>
        <w:t>、农林水支出</w:t>
      </w:r>
      <w:r>
        <w:rPr>
          <w:rStyle w:val="10"/>
          <w:rFonts w:hint="eastAsia" w:ascii="宋体" w:hAnsi="宋体" w:eastAsia="宋体"/>
          <w:b w:val="0"/>
          <w:bCs w:val="0"/>
          <w:color w:val="000000"/>
          <w:sz w:val="24"/>
          <w:szCs w:val="24"/>
        </w:rPr>
        <w:t>（类）林业和草原（款）事业机构（项）</w:t>
      </w:r>
      <w:r>
        <w:rPr>
          <w:rStyle w:val="10"/>
          <w:rFonts w:ascii="宋体" w:hAnsi="宋体" w:eastAsia="宋体"/>
          <w:b w:val="0"/>
          <w:bCs w:val="0"/>
          <w:color w:val="000000"/>
          <w:sz w:val="24"/>
          <w:szCs w:val="24"/>
        </w:rPr>
        <w:t>:</w:t>
      </w:r>
      <w:r>
        <w:rPr>
          <w:rStyle w:val="10"/>
          <w:rFonts w:hint="eastAsia" w:ascii="宋体" w:hAnsi="宋体" w:eastAsia="宋体"/>
          <w:b w:val="0"/>
          <w:bCs w:val="0"/>
          <w:color w:val="000000"/>
          <w:sz w:val="24"/>
          <w:szCs w:val="24"/>
        </w:rPr>
        <w:t>反映事业单位基本支出。</w:t>
      </w:r>
    </w:p>
    <w:p>
      <w:pPr>
        <w:spacing w:line="560" w:lineRule="exact"/>
        <w:ind w:firstLine="200"/>
        <w:jc w:val="left"/>
        <w:rPr>
          <w:rFonts w:ascii="宋体" w:hAnsi="宋体" w:eastAsia="宋体"/>
          <w:color w:val="000000"/>
          <w:sz w:val="24"/>
          <w:szCs w:val="24"/>
        </w:rPr>
      </w:pPr>
      <w:r>
        <w:rPr>
          <w:rFonts w:ascii="宋体" w:hAnsi="宋体" w:eastAsia="宋体"/>
          <w:color w:val="000000"/>
          <w:sz w:val="24"/>
          <w:szCs w:val="24"/>
        </w:rPr>
        <w:t>14</w:t>
      </w:r>
      <w:r>
        <w:rPr>
          <w:rFonts w:hint="eastAsia" w:ascii="宋体" w:hAnsi="宋体" w:eastAsia="宋体"/>
          <w:color w:val="000000"/>
          <w:sz w:val="24"/>
          <w:szCs w:val="24"/>
        </w:rPr>
        <w:t>、农林水支出</w:t>
      </w:r>
      <w:r>
        <w:rPr>
          <w:rStyle w:val="10"/>
          <w:rFonts w:hint="eastAsia" w:ascii="宋体" w:hAnsi="宋体" w:eastAsia="宋体"/>
          <w:b w:val="0"/>
          <w:bCs w:val="0"/>
          <w:color w:val="000000"/>
          <w:sz w:val="24"/>
          <w:szCs w:val="24"/>
        </w:rPr>
        <w:t>（类）水利（款）水利技术推广（项）</w:t>
      </w:r>
      <w:r>
        <w:rPr>
          <w:rStyle w:val="10"/>
          <w:rFonts w:ascii="宋体" w:hAnsi="宋体" w:eastAsia="宋体"/>
          <w:b w:val="0"/>
          <w:bCs w:val="0"/>
          <w:color w:val="000000"/>
          <w:sz w:val="24"/>
          <w:szCs w:val="24"/>
        </w:rPr>
        <w:t>:</w:t>
      </w:r>
      <w:r>
        <w:rPr>
          <w:rStyle w:val="10"/>
          <w:rFonts w:hint="eastAsia" w:ascii="宋体" w:hAnsi="宋体" w:eastAsia="宋体"/>
          <w:b w:val="0"/>
          <w:bCs w:val="0"/>
          <w:color w:val="000000"/>
          <w:sz w:val="24"/>
          <w:szCs w:val="24"/>
        </w:rPr>
        <w:t>反映事业单位基本支出。</w:t>
      </w:r>
    </w:p>
    <w:p>
      <w:pPr>
        <w:spacing w:line="560" w:lineRule="exact"/>
        <w:ind w:firstLine="200"/>
        <w:jc w:val="left"/>
        <w:rPr>
          <w:rFonts w:ascii="宋体" w:hAnsi="宋体" w:eastAsia="宋体" w:cs="宋体"/>
          <w:color w:val="000000"/>
          <w:kern w:val="0"/>
          <w:sz w:val="24"/>
          <w:szCs w:val="24"/>
        </w:rPr>
      </w:pPr>
      <w:r>
        <w:rPr>
          <w:rFonts w:ascii="宋体" w:hAnsi="宋体" w:eastAsia="宋体" w:cs="宋体"/>
          <w:color w:val="000000"/>
          <w:kern w:val="0"/>
          <w:sz w:val="24"/>
          <w:szCs w:val="24"/>
        </w:rPr>
        <w:t>15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住房保障（类）住房改革支出（款）住房公积金（项）:指部门按人力资源和社会保障部、财政部规定的基本工资和津贴补贴以及规定比例为职工缴纳的住房公积金支出。</w:t>
      </w:r>
    </w:p>
    <w:p>
      <w:pPr>
        <w:spacing w:line="560" w:lineRule="exact"/>
        <w:ind w:firstLine="200"/>
        <w:jc w:val="left"/>
        <w:rPr>
          <w:rFonts w:ascii="宋体" w:hAnsi="宋体" w:eastAsia="宋体" w:cs="宋体"/>
          <w:color w:val="000000"/>
          <w:kern w:val="0"/>
          <w:sz w:val="24"/>
          <w:szCs w:val="24"/>
        </w:rPr>
      </w:pPr>
      <w:r>
        <w:rPr>
          <w:rFonts w:ascii="宋体" w:hAnsi="宋体" w:eastAsia="宋体" w:cs="宋体"/>
          <w:color w:val="000000"/>
          <w:kern w:val="0"/>
          <w:sz w:val="24"/>
          <w:szCs w:val="24"/>
        </w:rPr>
        <w:t>16</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基本支出：指为保障机构正常运转、完成日常工作任务而发生的人员支出和公用支出。</w:t>
      </w:r>
    </w:p>
    <w:p>
      <w:pPr>
        <w:spacing w:line="560" w:lineRule="exact"/>
        <w:ind w:firstLine="200"/>
        <w:jc w:val="left"/>
        <w:rPr>
          <w:rFonts w:ascii="宋体" w:hAnsi="宋体" w:eastAsia="宋体" w:cs="宋体"/>
          <w:color w:val="000000"/>
          <w:kern w:val="0"/>
          <w:sz w:val="24"/>
          <w:szCs w:val="24"/>
        </w:rPr>
      </w:pPr>
      <w:r>
        <w:rPr>
          <w:rFonts w:ascii="宋体" w:hAnsi="宋体" w:eastAsia="宋体" w:cs="宋体"/>
          <w:color w:val="000000"/>
          <w:kern w:val="0"/>
          <w:sz w:val="24"/>
          <w:szCs w:val="24"/>
        </w:rPr>
        <w:t>17</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项目支出：指在基本支出之外为完成特定行政任务和事业发展目标所发生的支出。 </w:t>
      </w:r>
    </w:p>
    <w:p>
      <w:pPr>
        <w:pStyle w:val="15"/>
        <w:spacing w:line="560" w:lineRule="exact"/>
        <w:ind w:firstLine="200"/>
        <w:rPr>
          <w:rFonts w:ascii="宋体" w:hAnsi="宋体" w:eastAsia="宋体" w:cs="宋体"/>
        </w:rPr>
      </w:pPr>
      <w:r>
        <w:rPr>
          <w:rFonts w:ascii="宋体" w:hAnsi="宋体" w:eastAsia="宋体" w:cs="宋体"/>
        </w:rPr>
        <w:t>18</w:t>
      </w:r>
      <w:r>
        <w:rPr>
          <w:rFonts w:hint="eastAsia" w:ascii="宋体" w:hAnsi="宋体" w:eastAsia="宋体" w:cs="宋体"/>
        </w:rPr>
        <w:t>、</w:t>
      </w:r>
      <w:r>
        <w:rPr>
          <w:rFonts w:ascii="宋体" w:hAnsi="宋体" w:eastAsia="宋体" w:cs="宋体"/>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2"/>
        </w:rPr>
      </w:pPr>
    </w:p>
    <w:p/>
    <w:p>
      <w:pPr>
        <w:pStyle w:val="4"/>
        <w:ind w:firstLine="992" w:firstLineChars="310"/>
        <w:rPr>
          <w:rFonts w:ascii="仿宋_GB2312" w:hAnsi="宋体" w:eastAsia="仿宋_GB2312" w:cs="宋体"/>
          <w:color w:val="000000"/>
          <w:kern w:val="0"/>
          <w:sz w:val="32"/>
          <w:szCs w:val="32"/>
        </w:rPr>
      </w:pPr>
    </w:p>
    <w:p>
      <w:pPr>
        <w:pStyle w:val="4"/>
        <w:rPr>
          <w:rFonts w:ascii="黑体" w:hAnsi="黑体" w:eastAsia="黑体" w:cs="宋体"/>
          <w:b/>
          <w:bCs/>
          <w:color w:val="000000"/>
          <w:kern w:val="0"/>
          <w:sz w:val="32"/>
          <w:szCs w:val="32"/>
        </w:rPr>
        <w:sectPr>
          <w:footerReference r:id="rId9" w:type="default"/>
          <w:pgSz w:w="11906" w:h="16838"/>
          <w:pgMar w:top="1440" w:right="1800" w:bottom="1440" w:left="1800" w:header="851" w:footer="992" w:gutter="0"/>
          <w:pgNumType w:start="1"/>
          <w:cols w:space="720" w:num="1"/>
          <w:docGrid w:type="lines" w:linePitch="312" w:charSpace="0"/>
        </w:sectPr>
      </w:pPr>
    </w:p>
    <w:p>
      <w:pPr>
        <w:widowControl/>
        <w:wordWrap w:val="0"/>
        <w:spacing w:line="480" w:lineRule="atLeast"/>
        <w:ind w:firstLine="420" w:firstLineChars="200"/>
        <w:sectPr>
          <w:footerReference r:id="rId10" w:type="default"/>
          <w:pgSz w:w="11906" w:h="16838"/>
          <w:pgMar w:top="1440" w:right="1800" w:bottom="1440" w:left="1800" w:header="851" w:footer="992" w:gutter="0"/>
          <w:cols w:space="720" w:num="1"/>
          <w:docGrid w:type="lines" w:linePitch="312" w:charSpace="0"/>
        </w:sectPr>
      </w:pPr>
    </w:p>
    <w:p/>
    <w:sectPr>
      <w:footerReference r:id="rId11"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方正小标宋简体">
    <w:altName w:val="宋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shape id="文本框3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T3j2W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r>
      <w:rPr>
        <w:rFonts w:hint="eastAsia"/>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1">
                      <a:spAutoFit/>
                    </wps:bodyPr>
                  </wps:wsp>
                </a:graphicData>
              </a:graphic>
            </wp:anchor>
          </w:drawing>
        </mc:Choice>
        <mc:Fallback>
          <w:pict>
            <v:shape id="文本框4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L+vp8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18v&#10;c3v6ADVmPQTMS8OdH3BpZj+gM6seVLT5i3oIxrG552tz5ZCIyI/Wq/W6wpDA2HxBfPb4PERIb6W3&#10;JBsNjTi90lR+eg9pTJ1TcjXn77UxZYLG/eVAzOxhmfvIMVtp2A+ToL1vz6inx8E31OGeU2LeOexr&#10;3pHZiLOxn41jiPrQIbVl4QXh9piQROGWK4ywU2GcWFE3bVdeiT/vJevxj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wv6+n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9pSJ4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center"/>
                          </w:pPr>
                          <w:r>
                            <w:fldChar w:fldCharType="begin"/>
                          </w:r>
                          <w:r>
                            <w:instrText xml:space="preserve">PAGE   \* MERGEFORMAT</w:instrText>
                          </w:r>
                          <w:r>
                            <w:fldChar w:fldCharType="separate"/>
                          </w:r>
                          <w:r>
                            <w:rPr>
                              <w:lang w:val="zh-CN"/>
                            </w:rPr>
                            <w:t>2</w:t>
                          </w:r>
                          <w:r>
                            <w:fldChar w:fldCharType="end"/>
                          </w:r>
                        </w:p>
                      </w:txbxContent>
                    </wps:txbx>
                    <wps:bodyPr wrap="none" lIns="0" tIns="0" rIns="0" bIns="0" upright="1">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sRA/8gBAACY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l3m&#10;7vQBakx6CJiWhjs/4M7MfkBnFj2oaPMX5RCMY2/P197KIRGRH61X63WFIYGx+YL47PF5iJDeSm9J&#10;NhoacXilp/z0HtKYOqfkas7fa2PKAI37y4GY2cMy95FjttKwHyZBe9+eUU+Pc2+owzWnxLxz2Na8&#10;IrMRZ2M/G8cQ9aFDasvCC8LtMSGJwi1XGGGnwjiwom5arrwRf95L1uMP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IbEQP/IAQAAmAMAAA4AAAAAAAAAAQAgAAAAHgEAAGRycy9lMm9Eb2Mu&#10;eG1sUEsFBgAAAAAGAAYAWQEAAFgFAAAAAA==&#10;">
              <v:fill on="f" focussize="0,0"/>
              <v:stroke on="f"/>
              <v:imagedata o:title=""/>
              <o:lock v:ext="edit" aspectratio="f"/>
              <v:textbox inset="0mm,0mm,0mm,0mm" style="mso-fit-shape-to-text:t;">
                <w:txbxContent>
                  <w:p>
                    <w:pPr>
                      <w:pStyle w:val="4"/>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NWVmODg2Y2ZjZDQ4MzIwODJlOGE0MGM4ZDkzZjUifQ=="/>
  </w:docVars>
  <w:rsids>
    <w:rsidRoot w:val="00262B76"/>
    <w:rsid w:val="001A067A"/>
    <w:rsid w:val="001E0884"/>
    <w:rsid w:val="001E1600"/>
    <w:rsid w:val="00262B76"/>
    <w:rsid w:val="0029777B"/>
    <w:rsid w:val="00310EDA"/>
    <w:rsid w:val="003D03ED"/>
    <w:rsid w:val="00513DCE"/>
    <w:rsid w:val="005F41D5"/>
    <w:rsid w:val="006451C7"/>
    <w:rsid w:val="00714927"/>
    <w:rsid w:val="0079511D"/>
    <w:rsid w:val="007C560C"/>
    <w:rsid w:val="007D37CD"/>
    <w:rsid w:val="0090281D"/>
    <w:rsid w:val="00953FF6"/>
    <w:rsid w:val="00A07916"/>
    <w:rsid w:val="00A26C99"/>
    <w:rsid w:val="00A853CE"/>
    <w:rsid w:val="00AF62A8"/>
    <w:rsid w:val="00AF758A"/>
    <w:rsid w:val="00B624EF"/>
    <w:rsid w:val="00BC7B4A"/>
    <w:rsid w:val="00BF5D69"/>
    <w:rsid w:val="00DA2E81"/>
    <w:rsid w:val="00E85C43"/>
    <w:rsid w:val="00E958D1"/>
    <w:rsid w:val="0172585D"/>
    <w:rsid w:val="01A324E9"/>
    <w:rsid w:val="06BD7EC9"/>
    <w:rsid w:val="06D204F2"/>
    <w:rsid w:val="0CF61F8B"/>
    <w:rsid w:val="14CA7050"/>
    <w:rsid w:val="14D42C8D"/>
    <w:rsid w:val="15434232"/>
    <w:rsid w:val="17BB1F23"/>
    <w:rsid w:val="18C775B9"/>
    <w:rsid w:val="1AC612CA"/>
    <w:rsid w:val="1F62533A"/>
    <w:rsid w:val="296716F2"/>
    <w:rsid w:val="2C285E66"/>
    <w:rsid w:val="2C3D5164"/>
    <w:rsid w:val="2C7F6471"/>
    <w:rsid w:val="2DD45655"/>
    <w:rsid w:val="31331EE4"/>
    <w:rsid w:val="32AE18DA"/>
    <w:rsid w:val="337E053C"/>
    <w:rsid w:val="429817BC"/>
    <w:rsid w:val="446077EA"/>
    <w:rsid w:val="4B2E419E"/>
    <w:rsid w:val="55410F72"/>
    <w:rsid w:val="58C223CA"/>
    <w:rsid w:val="637320DB"/>
    <w:rsid w:val="781E0F73"/>
    <w:rsid w:val="78C57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99"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rPr>
      <w:rFonts w:ascii="Calibri" w:hAnsi="Calibri"/>
      <w:szCs w:val="24"/>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tabs>
        <w:tab w:val="right" w:leader="dot" w:pos="8296"/>
      </w:tabs>
    </w:pPr>
    <w:rPr>
      <w:rFonts w:ascii="黑体" w:hAnsi="黑体" w:eastAsia="黑体" w:cs="Times New Roman"/>
      <w:kern w:val="44"/>
    </w:rPr>
  </w:style>
  <w:style w:type="paragraph" w:styleId="7">
    <w:name w:val="toc 2"/>
    <w:basedOn w:val="1"/>
    <w:next w:val="1"/>
    <w:unhideWhenUsed/>
    <w:qFormat/>
    <w:uiPriority w:val="39"/>
    <w:pPr>
      <w:ind w:left="420" w:leftChars="200"/>
    </w:pPr>
  </w:style>
  <w:style w:type="character" w:styleId="10">
    <w:name w:val="Strong"/>
    <w:qFormat/>
    <w:uiPriority w:val="99"/>
    <w:rPr>
      <w:b/>
      <w:bCs/>
    </w:rPr>
  </w:style>
  <w:style w:type="character" w:styleId="11">
    <w:name w:val="Hyperlink"/>
    <w:unhideWhenUsed/>
    <w:qFormat/>
    <w:uiPriority w:val="99"/>
    <w:rPr>
      <w:color w:val="0563C1"/>
      <w:u w:val="single"/>
    </w:rPr>
  </w:style>
  <w:style w:type="character" w:customStyle="1" w:styleId="12">
    <w:name w:val="页脚 字符"/>
    <w:link w:val="4"/>
    <w:qFormat/>
    <w:uiPriority w:val="99"/>
    <w:rPr>
      <w:rFonts w:ascii="等线" w:hAnsi="等线" w:eastAsia="等线" w:cs="黑体"/>
      <w:sz w:val="18"/>
      <w:szCs w:val="18"/>
    </w:rPr>
  </w:style>
  <w:style w:type="character" w:customStyle="1" w:styleId="13">
    <w:name w:val="页眉 字符"/>
    <w:link w:val="5"/>
    <w:qFormat/>
    <w:uiPriority w:val="99"/>
    <w:rPr>
      <w:rFonts w:ascii="等线" w:hAnsi="等线" w:eastAsia="等线" w:cs="黑体"/>
      <w:sz w:val="18"/>
      <w:szCs w:val="18"/>
    </w:rPr>
  </w:style>
  <w:style w:type="character" w:customStyle="1" w:styleId="14">
    <w:name w:val="标题 1 Char"/>
    <w:qFormat/>
    <w:uiPriority w:val="0"/>
    <w:rPr>
      <w:b/>
      <w:kern w:val="44"/>
      <w:sz w:val="44"/>
    </w:rPr>
  </w:style>
  <w:style w:type="paragraph" w:customStyle="1" w:styleId="15">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16">
    <w:name w:val="标题 1 字符"/>
    <w:link w:val="3"/>
    <w:qFormat/>
    <w:uiPriority w:val="9"/>
    <w:rPr>
      <w:rFonts w:ascii="等线" w:hAnsi="等线" w:eastAsia="等线" w:cs="黑体"/>
      <w:b/>
      <w:bCs/>
      <w:kern w:val="44"/>
      <w:sz w:val="44"/>
      <w:szCs w:val="44"/>
    </w:rPr>
  </w:style>
  <w:style w:type="paragraph" w:customStyle="1" w:styleId="17">
    <w:name w:val="TOC Heading"/>
    <w:basedOn w:val="3"/>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0B250-EC0A-4158-9B71-123469812C03}">
  <ds:schemaRefs/>
</ds:datastoreItem>
</file>

<file path=docProps/app.xml><?xml version="1.0" encoding="utf-8"?>
<Properties xmlns="http://schemas.openxmlformats.org/officeDocument/2006/extended-properties" xmlns:vt="http://schemas.openxmlformats.org/officeDocument/2006/docPropsVTypes">
  <Template>Normal</Template>
  <Pages>12</Pages>
  <Words>4135</Words>
  <Characters>4412</Characters>
  <Lines>41</Lines>
  <Paragraphs>11</Paragraphs>
  <TotalTime>50</TotalTime>
  <ScaleCrop>false</ScaleCrop>
  <LinksUpToDate>false</LinksUpToDate>
  <CharactersWithSpaces>4496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2021-10-11T04:19:00Z</dcterms:created>
  <dc:creator>Administrator</dc:creator>
  <cp:lastModifiedBy>Administrator</cp:lastModifiedBy>
  <dcterms:modified xsi:type="dcterms:W3CDTF">2024-05-23T03:52:49Z</dcterms:modified>
  <dc:title>    2021年度</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1E74E79DBF3648098D6256A7D92B9E2B_13</vt:lpwstr>
  </property>
</Properties>
</file>