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468" w:beforeLines="150" w:after="468" w:afterLines="150" w:line="560" w:lineRule="exact"/>
        <w:jc w:val="center"/>
        <w:rPr>
          <w:rFonts w:hint="eastAsia" w:ascii="黑体" w:hAnsi="黑体" w:eastAsia="黑体"/>
          <w:color w:val="000000"/>
          <w:sz w:val="44"/>
          <w:szCs w:val="44"/>
        </w:rPr>
      </w:pPr>
      <w:bookmarkStart w:id="0" w:name="_Toc15396475"/>
      <w:bookmarkStart w:id="1" w:name="_Toc15377425"/>
      <w:bookmarkStart w:id="2" w:name="_Toc15377193"/>
      <w:bookmarkStart w:id="3" w:name="_Toc15396597"/>
      <w:bookmarkStart w:id="4" w:name="_Toc15378441"/>
    </w:p>
    <w:p>
      <w:pPr>
        <w:adjustRightInd w:val="0"/>
        <w:snapToGrid w:val="0"/>
        <w:spacing w:before="468" w:beforeLines="150" w:after="468" w:afterLines="150" w:line="560" w:lineRule="exact"/>
        <w:jc w:val="center"/>
        <w:rPr>
          <w:rFonts w:hint="eastAsia" w:ascii="黑体" w:hAnsi="黑体" w:eastAsia="黑体"/>
          <w:color w:val="000000"/>
          <w:sz w:val="44"/>
          <w:szCs w:val="44"/>
        </w:rPr>
      </w:pPr>
    </w:p>
    <w:p>
      <w:pPr>
        <w:adjustRightInd w:val="0"/>
        <w:snapToGrid w:val="0"/>
        <w:spacing w:before="468" w:beforeLines="150" w:after="468" w:afterLines="150" w:line="560" w:lineRule="exact"/>
        <w:jc w:val="center"/>
        <w:rPr>
          <w:rFonts w:hint="eastAsia" w:ascii="黑体" w:hAnsi="黑体" w:eastAsia="黑体"/>
          <w:color w:val="000000"/>
          <w:sz w:val="44"/>
          <w:szCs w:val="44"/>
        </w:rPr>
      </w:pPr>
    </w:p>
    <w:p>
      <w:pPr>
        <w:adjustRightInd w:val="0"/>
        <w:snapToGrid w:val="0"/>
        <w:spacing w:before="468" w:beforeLines="150" w:after="468" w:afterLines="150" w:line="560" w:lineRule="exact"/>
        <w:jc w:val="center"/>
        <w:rPr>
          <w:rFonts w:ascii="黑体" w:hAnsi="黑体" w:eastAsia="黑体"/>
          <w:color w:val="000000"/>
          <w:sz w:val="44"/>
          <w:szCs w:val="44"/>
        </w:rPr>
      </w:pPr>
      <w:r>
        <w:rPr>
          <w:rFonts w:hint="eastAsia" w:ascii="黑体" w:hAnsi="黑体" w:eastAsia="黑体"/>
          <w:color w:val="000000"/>
          <w:sz w:val="44"/>
          <w:szCs w:val="44"/>
          <w:lang w:eastAsia="zh-CN"/>
        </w:rPr>
        <w:t>2024</w:t>
      </w:r>
      <w:r>
        <w:rPr>
          <w:rFonts w:hint="eastAsia" w:ascii="黑体" w:hAnsi="黑体" w:eastAsia="黑体"/>
          <w:color w:val="000000"/>
          <w:sz w:val="44"/>
          <w:szCs w:val="44"/>
        </w:rPr>
        <w:t>年度</w:t>
      </w:r>
      <w:bookmarkEnd w:id="0"/>
      <w:bookmarkEnd w:id="1"/>
      <w:bookmarkEnd w:id="2"/>
      <w:bookmarkEnd w:id="3"/>
      <w:bookmarkEnd w:id="4"/>
    </w:p>
    <w:p>
      <w:pPr>
        <w:adjustRightInd w:val="0"/>
        <w:snapToGrid w:val="0"/>
        <w:spacing w:before="468" w:beforeLines="150" w:after="468" w:afterLines="150" w:line="560" w:lineRule="exact"/>
        <w:jc w:val="center"/>
        <w:rPr>
          <w:rFonts w:ascii="黑体" w:hAnsi="黑体" w:eastAsia="黑体"/>
          <w:color w:val="000000"/>
          <w:sz w:val="44"/>
          <w:szCs w:val="44"/>
        </w:rPr>
      </w:pPr>
      <w:bookmarkStart w:id="5" w:name="_Toc15377426"/>
      <w:bookmarkStart w:id="6" w:name="_Toc15396598"/>
      <w:bookmarkStart w:id="7" w:name="_Toc15396476"/>
      <w:bookmarkStart w:id="8" w:name="_Toc15378442"/>
      <w:bookmarkStart w:id="9" w:name="_Toc15377194"/>
      <w:r>
        <w:rPr>
          <w:rFonts w:hint="eastAsia" w:ascii="黑体" w:hAnsi="黑体" w:eastAsia="黑体"/>
          <w:color w:val="000000"/>
          <w:sz w:val="44"/>
          <w:szCs w:val="44"/>
        </w:rPr>
        <w:t>四川省</w:t>
      </w:r>
      <w:bookmarkStart w:id="10" w:name="_Toc15306268"/>
      <w:r>
        <w:rPr>
          <w:rFonts w:hint="eastAsia" w:ascii="黑体" w:hAnsi="黑体" w:eastAsia="黑体"/>
          <w:color w:val="000000"/>
          <w:sz w:val="44"/>
          <w:szCs w:val="44"/>
        </w:rPr>
        <w:t>巴中市巴州区</w:t>
      </w:r>
    </w:p>
    <w:p>
      <w:pPr>
        <w:adjustRightInd w:val="0"/>
        <w:snapToGrid w:val="0"/>
        <w:spacing w:before="468" w:beforeLines="150" w:after="468" w:afterLines="150" w:line="560" w:lineRule="exact"/>
        <w:jc w:val="center"/>
        <w:rPr>
          <w:rFonts w:ascii="黑体" w:hAnsi="黑体" w:eastAsia="黑体"/>
          <w:color w:val="000000"/>
          <w:sz w:val="44"/>
          <w:szCs w:val="44"/>
        </w:rPr>
      </w:pPr>
      <w:r>
        <w:rPr>
          <w:rFonts w:hint="eastAsia" w:ascii="黑体" w:hAnsi="黑体" w:eastAsia="黑体"/>
          <w:color w:val="000000"/>
          <w:sz w:val="44"/>
          <w:szCs w:val="44"/>
          <w:lang w:val="en-US" w:eastAsia="zh-CN"/>
        </w:rPr>
        <w:t>大和乡</w:t>
      </w:r>
      <w:r>
        <w:rPr>
          <w:rFonts w:hint="eastAsia" w:ascii="黑体" w:hAnsi="黑体" w:eastAsia="黑体"/>
          <w:color w:val="000000"/>
          <w:sz w:val="44"/>
          <w:szCs w:val="44"/>
        </w:rPr>
        <w:t>人民政府财政所部门</w:t>
      </w:r>
      <w:bookmarkEnd w:id="5"/>
      <w:bookmarkEnd w:id="6"/>
      <w:bookmarkEnd w:id="7"/>
      <w:bookmarkEnd w:id="8"/>
      <w:bookmarkEnd w:id="9"/>
      <w:bookmarkEnd w:id="10"/>
      <w:r>
        <w:rPr>
          <w:rFonts w:hint="eastAsia" w:ascii="黑体" w:hAnsi="黑体" w:eastAsia="黑体"/>
          <w:color w:val="000000"/>
          <w:sz w:val="44"/>
          <w:szCs w:val="44"/>
        </w:rPr>
        <w:t>预算编制说明</w:t>
      </w:r>
    </w:p>
    <w:p>
      <w:pPr>
        <w:adjustRightInd w:val="0"/>
        <w:snapToGrid w:val="0"/>
        <w:spacing w:line="360" w:lineRule="auto"/>
        <w:jc w:val="center"/>
        <w:outlineLvl w:val="0"/>
        <w:rPr>
          <w:rFonts w:ascii="方正小标宋简体" w:hAnsi="宋体" w:eastAsia="方正小标宋简体"/>
          <w:color w:val="000000"/>
          <w:sz w:val="52"/>
          <w:szCs w:val="52"/>
        </w:rPr>
      </w:pP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widowControl/>
        <w:rPr>
          <w:rFonts w:hint="eastAsia" w:ascii="黑体" w:hAnsi="黑体" w:eastAsia="黑体"/>
          <w:color w:val="000000"/>
          <w:sz w:val="48"/>
          <w:szCs w:val="48"/>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pPr>
        <w:pStyle w:val="15"/>
        <w:jc w:val="center"/>
        <w:rPr>
          <w:rFonts w:ascii="黑体" w:hAnsi="黑体" w:eastAsia="黑体"/>
          <w:color w:val="000000"/>
        </w:rPr>
      </w:pPr>
      <w:r>
        <w:rPr>
          <w:rFonts w:ascii="黑体" w:hAnsi="黑体" w:eastAsia="黑体"/>
          <w:color w:val="000000"/>
          <w:lang w:val="zh-CN"/>
        </w:rPr>
        <w:t>目</w:t>
      </w:r>
      <w:r>
        <w:rPr>
          <w:rFonts w:hint="eastAsia" w:ascii="黑体" w:hAnsi="黑体" w:eastAsia="黑体"/>
          <w:color w:val="000000"/>
          <w:lang w:val="zh-CN"/>
        </w:rPr>
        <w:t xml:space="preserve"> </w:t>
      </w:r>
      <w:r>
        <w:rPr>
          <w:rFonts w:ascii="黑体" w:hAnsi="黑体" w:eastAsia="黑体"/>
          <w:color w:val="000000"/>
          <w:lang w:val="zh-CN"/>
        </w:rPr>
        <w:t>录</w:t>
      </w:r>
    </w:p>
    <w:p>
      <w:pPr>
        <w:pStyle w:val="5"/>
        <w:rPr>
          <w:rFonts w:ascii="Calibri" w:hAnsi="Calibri" w:eastAsia="宋体" w:cs="Times New Roman"/>
        </w:rPr>
      </w:pPr>
      <w:r>
        <w:fldChar w:fldCharType="begin"/>
      </w:r>
      <w:r>
        <w:instrText xml:space="preserve"> TOC \o "1-3" \h \z \u </w:instrText>
      </w:r>
      <w:r>
        <w:fldChar w:fldCharType="separate"/>
      </w:r>
      <w:r>
        <w:fldChar w:fldCharType="begin"/>
      </w:r>
      <w:r>
        <w:instrText xml:space="preserve"> HYPERLINK \l "_Toc112448002" </w:instrText>
      </w:r>
      <w:r>
        <w:fldChar w:fldCharType="separate"/>
      </w:r>
      <w:r>
        <w:rPr>
          <w:rStyle w:val="9"/>
          <w:rFonts w:ascii="黑体" w:hAnsi="黑体" w:eastAsia="黑体" w:cs="宋体"/>
          <w:b/>
          <w:bCs/>
          <w:kern w:val="0"/>
        </w:rPr>
        <w:t>一、基本职能及主要工作</w:t>
      </w:r>
      <w:r>
        <w:tab/>
      </w:r>
      <w:r>
        <w:fldChar w:fldCharType="begin"/>
      </w:r>
      <w:r>
        <w:instrText xml:space="preserve"> PAGEREF _Toc112448002 \h </w:instrText>
      </w:r>
      <w:r>
        <w:fldChar w:fldCharType="separate"/>
      </w:r>
      <w:r>
        <w:t>1</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"_Toc112448003" </w:instrText>
      </w:r>
      <w:r>
        <w:fldChar w:fldCharType="separate"/>
      </w:r>
      <w:r>
        <w:rPr>
          <w:rStyle w:val="9"/>
          <w:rFonts w:ascii="宋体" w:hAnsi="宋体" w:eastAsia="宋体" w:cs="宋体"/>
          <w:kern w:val="0"/>
        </w:rPr>
        <w:t>（一）基本职能</w:t>
      </w:r>
      <w:r>
        <w:rPr>
          <w:rStyle w:val="9"/>
          <w:rFonts w:ascii="宋体" w:hAnsi="宋体" w:eastAsia="宋体" w:cs="仿宋_GB2312"/>
          <w:b/>
        </w:rPr>
        <w:t>：</w:t>
      </w:r>
      <w:r>
        <w:tab/>
      </w:r>
      <w:r>
        <w:fldChar w:fldCharType="begin"/>
      </w:r>
      <w:r>
        <w:instrText xml:space="preserve"> PAGEREF _Toc112448003 \h </w:instrText>
      </w:r>
      <w:r>
        <w:fldChar w:fldCharType="separate"/>
      </w:r>
      <w:r>
        <w:t>1</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"_Toc112448004" </w:instrText>
      </w:r>
      <w:r>
        <w:fldChar w:fldCharType="separate"/>
      </w:r>
      <w:r>
        <w:rPr>
          <w:rStyle w:val="9"/>
          <w:rFonts w:ascii="宋体" w:hAnsi="宋体" w:eastAsia="宋体" w:cs="宋体"/>
          <w:kern w:val="0"/>
        </w:rPr>
        <w:t>（二）财政所</w:t>
      </w:r>
      <w:r>
        <w:rPr>
          <w:rStyle w:val="9"/>
          <w:rFonts w:hint="eastAsia" w:ascii="宋体" w:hAnsi="宋体" w:eastAsia="宋体" w:cs="宋体"/>
          <w:kern w:val="0"/>
          <w:lang w:eastAsia="zh-CN"/>
        </w:rPr>
        <w:t>2024</w:t>
      </w:r>
      <w:r>
        <w:rPr>
          <w:rStyle w:val="9"/>
          <w:rFonts w:ascii="宋体" w:hAnsi="宋体" w:eastAsia="宋体" w:cs="宋体"/>
          <w:kern w:val="0"/>
        </w:rPr>
        <w:t>年重点工作</w:t>
      </w:r>
      <w:r>
        <w:tab/>
      </w:r>
      <w:r>
        <w:fldChar w:fldCharType="begin"/>
      </w:r>
      <w:r>
        <w:instrText xml:space="preserve"> PAGEREF _Toc112448004 \h </w:instrText>
      </w:r>
      <w:r>
        <w:fldChar w:fldCharType="separate"/>
      </w:r>
      <w:r>
        <w:t>1</w:t>
      </w:r>
      <w:r>
        <w:fldChar w:fldCharType="end"/>
      </w:r>
      <w:r>
        <w:fldChar w:fldCharType="end"/>
      </w:r>
    </w:p>
    <w:p>
      <w:pPr>
        <w:pStyle w:val="5"/>
        <w:rPr>
          <w:rFonts w:ascii="Calibri" w:hAnsi="Calibri" w:eastAsia="宋体" w:cs="Times New Roman"/>
        </w:rPr>
      </w:pPr>
      <w:r>
        <w:fldChar w:fldCharType="begin"/>
      </w:r>
      <w:r>
        <w:instrText xml:space="preserve"> HYPERLINK \l "_Toc112448005" </w:instrText>
      </w:r>
      <w:r>
        <w:fldChar w:fldCharType="separate"/>
      </w:r>
      <w:r>
        <w:rPr>
          <w:rStyle w:val="9"/>
          <w:rFonts w:ascii="黑体" w:hAnsi="黑体" w:eastAsia="黑体" w:cs="宋体"/>
          <w:b/>
          <w:bCs/>
          <w:kern w:val="0"/>
        </w:rPr>
        <w:t>二、部门预算单位构成</w:t>
      </w:r>
      <w:r>
        <w:tab/>
      </w:r>
      <w:r>
        <w:fldChar w:fldCharType="begin"/>
      </w:r>
      <w:r>
        <w:instrText xml:space="preserve"> PAGEREF _Toc112448005 \h </w:instrText>
      </w:r>
      <w:r>
        <w:fldChar w:fldCharType="separate"/>
      </w:r>
      <w:r>
        <w:t>2</w:t>
      </w:r>
      <w:r>
        <w:fldChar w:fldCharType="end"/>
      </w:r>
      <w:r>
        <w:fldChar w:fldCharType="end"/>
      </w:r>
    </w:p>
    <w:p>
      <w:pPr>
        <w:pStyle w:val="5"/>
        <w:rPr>
          <w:rFonts w:ascii="Calibri" w:hAnsi="Calibri" w:eastAsia="宋体" w:cs="Times New Roman"/>
        </w:rPr>
      </w:pPr>
      <w:r>
        <w:fldChar w:fldCharType="begin"/>
      </w:r>
      <w:r>
        <w:instrText xml:space="preserve"> HYPERLINK \l "_Toc112448006" </w:instrText>
      </w:r>
      <w:r>
        <w:fldChar w:fldCharType="separate"/>
      </w:r>
      <w:r>
        <w:rPr>
          <w:rStyle w:val="9"/>
          <w:rFonts w:ascii="黑体" w:hAnsi="黑体" w:eastAsia="黑体" w:cs="宋体"/>
          <w:b/>
          <w:bCs/>
          <w:kern w:val="0"/>
        </w:rPr>
        <w:t>三、收支预算情况说明</w:t>
      </w:r>
      <w:r>
        <w:tab/>
      </w:r>
      <w:r>
        <w:fldChar w:fldCharType="begin"/>
      </w:r>
      <w:r>
        <w:instrText xml:space="preserve"> PAGEREF _Toc112448006 \h </w:instrText>
      </w:r>
      <w:r>
        <w:fldChar w:fldCharType="separate"/>
      </w:r>
      <w:r>
        <w:t>2</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"_Toc112448007" </w:instrText>
      </w:r>
      <w:r>
        <w:fldChar w:fldCharType="separate"/>
      </w:r>
      <w:r>
        <w:rPr>
          <w:rStyle w:val="9"/>
          <w:rFonts w:ascii="宋体" w:hAnsi="宋体" w:eastAsia="宋体" w:cs="宋体"/>
          <w:kern w:val="0"/>
        </w:rPr>
        <w:t>（一）收入预算情况</w:t>
      </w:r>
      <w:r>
        <w:tab/>
      </w:r>
      <w:r>
        <w:fldChar w:fldCharType="begin"/>
      </w:r>
      <w:r>
        <w:instrText xml:space="preserve"> PAGEREF _Toc112448007 \h </w:instrText>
      </w:r>
      <w:r>
        <w:fldChar w:fldCharType="separate"/>
      </w:r>
      <w:r>
        <w:t>2</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"_Toc112448008" </w:instrText>
      </w:r>
      <w:r>
        <w:fldChar w:fldCharType="separate"/>
      </w:r>
      <w:r>
        <w:rPr>
          <w:rStyle w:val="9"/>
          <w:rFonts w:ascii="宋体" w:hAnsi="宋体" w:eastAsia="宋体" w:cs="宋体"/>
          <w:kern w:val="0"/>
        </w:rPr>
        <w:t>（二）支出预算情况</w:t>
      </w:r>
      <w:r>
        <w:tab/>
      </w:r>
      <w:r>
        <w:fldChar w:fldCharType="begin"/>
      </w:r>
      <w:r>
        <w:instrText xml:space="preserve"> PAGEREF _Toc112448008 \h </w:instrText>
      </w:r>
      <w:r>
        <w:fldChar w:fldCharType="separate"/>
      </w:r>
      <w:r>
        <w:t>2</w:t>
      </w:r>
      <w:r>
        <w:fldChar w:fldCharType="end"/>
      </w:r>
      <w:r>
        <w:fldChar w:fldCharType="end"/>
      </w:r>
    </w:p>
    <w:p>
      <w:pPr>
        <w:pStyle w:val="5"/>
        <w:rPr>
          <w:rFonts w:ascii="Calibri" w:hAnsi="Calibri" w:eastAsia="宋体" w:cs="Times New Roman"/>
        </w:rPr>
      </w:pPr>
      <w:r>
        <w:fldChar w:fldCharType="begin"/>
      </w:r>
      <w:r>
        <w:instrText xml:space="preserve"> HYPERLINK \l "_Toc112448009" </w:instrText>
      </w:r>
      <w:r>
        <w:fldChar w:fldCharType="separate"/>
      </w:r>
      <w:r>
        <w:rPr>
          <w:rStyle w:val="9"/>
          <w:rFonts w:ascii="黑体" w:hAnsi="黑体" w:eastAsia="黑体" w:cs="宋体"/>
          <w:b/>
          <w:bCs/>
          <w:kern w:val="0"/>
        </w:rPr>
        <w:t>四、财政拨款收支预算情况说明</w:t>
      </w:r>
      <w:r>
        <w:tab/>
      </w:r>
      <w:r>
        <w:fldChar w:fldCharType="begin"/>
      </w:r>
      <w:r>
        <w:instrText xml:space="preserve"> PAGEREF _Toc112448009 \h </w:instrText>
      </w:r>
      <w:r>
        <w:fldChar w:fldCharType="separate"/>
      </w:r>
      <w:r>
        <w:t>3</w:t>
      </w:r>
      <w:r>
        <w:fldChar w:fldCharType="end"/>
      </w:r>
      <w:r>
        <w:fldChar w:fldCharType="end"/>
      </w:r>
    </w:p>
    <w:p>
      <w:pPr>
        <w:pStyle w:val="5"/>
        <w:rPr>
          <w:rFonts w:ascii="Calibri" w:hAnsi="Calibri" w:eastAsia="宋体" w:cs="Times New Roman"/>
        </w:rPr>
      </w:pPr>
      <w:r>
        <w:fldChar w:fldCharType="begin"/>
      </w:r>
      <w:r>
        <w:instrText xml:space="preserve"> HYPERLINK \l "_Toc112448010" </w:instrText>
      </w:r>
      <w:r>
        <w:fldChar w:fldCharType="separate"/>
      </w:r>
      <w:r>
        <w:rPr>
          <w:rStyle w:val="9"/>
          <w:rFonts w:ascii="黑体" w:hAnsi="黑体" w:eastAsia="黑体" w:cs="宋体"/>
          <w:b/>
          <w:bCs/>
          <w:kern w:val="0"/>
        </w:rPr>
        <w:t>五、一般公共预算当年拨款情况说明</w:t>
      </w:r>
      <w:r>
        <w:tab/>
      </w:r>
      <w:r>
        <w:fldChar w:fldCharType="begin"/>
      </w:r>
      <w:r>
        <w:instrText xml:space="preserve"> PAGEREF _Toc112448010 \h </w:instrText>
      </w:r>
      <w:r>
        <w:fldChar w:fldCharType="separate"/>
      </w:r>
      <w:r>
        <w:t>3</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"_Toc112448011" </w:instrText>
      </w:r>
      <w:r>
        <w:fldChar w:fldCharType="separate"/>
      </w:r>
      <w:r>
        <w:rPr>
          <w:rStyle w:val="9"/>
          <w:rFonts w:ascii="宋体" w:hAnsi="宋体" w:eastAsia="宋体" w:cs="宋体"/>
          <w:kern w:val="0"/>
        </w:rPr>
        <w:t>（一）一般公共预算当年拨款规模变化情况</w:t>
      </w:r>
      <w:r>
        <w:tab/>
      </w:r>
      <w:r>
        <w:fldChar w:fldCharType="begin"/>
      </w:r>
      <w:r>
        <w:instrText xml:space="preserve"> PAGEREF _Toc112448011 \h </w:instrText>
      </w:r>
      <w:r>
        <w:fldChar w:fldCharType="separate"/>
      </w:r>
      <w:r>
        <w:t>3</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"_Toc112448012" </w:instrText>
      </w:r>
      <w:r>
        <w:fldChar w:fldCharType="separate"/>
      </w:r>
      <w:r>
        <w:rPr>
          <w:rStyle w:val="9"/>
          <w:rFonts w:ascii="宋体" w:hAnsi="宋体" w:eastAsia="宋体" w:cs="宋体"/>
          <w:kern w:val="0"/>
        </w:rPr>
        <w:t>（二）一般公共预算当年拨款结构情况</w:t>
      </w:r>
      <w:r>
        <w:tab/>
      </w:r>
      <w:r>
        <w:fldChar w:fldCharType="begin"/>
      </w:r>
      <w:r>
        <w:instrText xml:space="preserve"> PAGEREF _Toc112448012 \h </w:instrText>
      </w:r>
      <w:r>
        <w:fldChar w:fldCharType="separate"/>
      </w:r>
      <w:r>
        <w:t>3</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"_Toc112448013" </w:instrText>
      </w:r>
      <w:r>
        <w:fldChar w:fldCharType="separate"/>
      </w:r>
      <w:r>
        <w:rPr>
          <w:rStyle w:val="9"/>
          <w:rFonts w:ascii="宋体" w:hAnsi="宋体" w:eastAsia="宋体" w:cs="宋体"/>
          <w:kern w:val="0"/>
        </w:rPr>
        <w:t>（三）一般公共预算当年拨款具体使用情况</w:t>
      </w:r>
      <w:r>
        <w:tab/>
      </w:r>
      <w:r>
        <w:fldChar w:fldCharType="begin"/>
      </w:r>
      <w:r>
        <w:instrText xml:space="preserve"> PAGEREF _Toc112448013 \h </w:instrText>
      </w:r>
      <w:r>
        <w:fldChar w:fldCharType="separate"/>
      </w:r>
      <w:r>
        <w:t>3</w:t>
      </w:r>
      <w:r>
        <w:fldChar w:fldCharType="end"/>
      </w:r>
      <w:r>
        <w:fldChar w:fldCharType="end"/>
      </w:r>
    </w:p>
    <w:p>
      <w:pPr>
        <w:pStyle w:val="5"/>
        <w:rPr>
          <w:rFonts w:ascii="Calibri" w:hAnsi="Calibri" w:eastAsia="宋体" w:cs="Times New Roman"/>
        </w:rPr>
      </w:pPr>
      <w:r>
        <w:fldChar w:fldCharType="begin"/>
      </w:r>
      <w:r>
        <w:instrText xml:space="preserve"> HYPERLINK \l "_Toc112448014" </w:instrText>
      </w:r>
      <w:r>
        <w:fldChar w:fldCharType="separate"/>
      </w:r>
      <w:r>
        <w:rPr>
          <w:rStyle w:val="9"/>
          <w:rFonts w:ascii="黑体" w:hAnsi="黑体" w:eastAsia="黑体" w:cs="宋体"/>
          <w:kern w:val="0"/>
        </w:rPr>
        <w:t>六、一般公共预算基本支出情况说明</w:t>
      </w:r>
      <w:r>
        <w:tab/>
      </w:r>
      <w:r>
        <w:fldChar w:fldCharType="begin"/>
      </w:r>
      <w:r>
        <w:instrText xml:space="preserve"> PAGEREF _Toc112448014 \h </w:instrText>
      </w:r>
      <w:r>
        <w:fldChar w:fldCharType="separate"/>
      </w:r>
      <w:r>
        <w:t>4</w:t>
      </w:r>
      <w:r>
        <w:fldChar w:fldCharType="end"/>
      </w:r>
      <w:r>
        <w:fldChar w:fldCharType="end"/>
      </w:r>
    </w:p>
    <w:p>
      <w:pPr>
        <w:pStyle w:val="5"/>
        <w:rPr>
          <w:rFonts w:ascii="Calibri" w:hAnsi="Calibri" w:eastAsia="宋体" w:cs="Times New Roman"/>
        </w:rPr>
      </w:pPr>
      <w:r>
        <w:fldChar w:fldCharType="begin"/>
      </w:r>
      <w:r>
        <w:instrText xml:space="preserve"> HYPERLINK \l "_Toc112448015" </w:instrText>
      </w:r>
      <w:r>
        <w:fldChar w:fldCharType="separate"/>
      </w:r>
      <w:r>
        <w:rPr>
          <w:rStyle w:val="9"/>
          <w:rFonts w:ascii="黑体" w:hAnsi="黑体" w:eastAsia="黑体" w:cs="宋体"/>
          <w:b/>
          <w:bCs/>
          <w:kern w:val="0"/>
        </w:rPr>
        <w:t>七、“三公”经费财政拨款预算安排情况说明</w:t>
      </w:r>
      <w:r>
        <w:tab/>
      </w:r>
      <w:r>
        <w:fldChar w:fldCharType="begin"/>
      </w:r>
      <w:r>
        <w:instrText xml:space="preserve"> PAGEREF _Toc112448015 \h </w:instrText>
      </w:r>
      <w:r>
        <w:fldChar w:fldCharType="separate"/>
      </w:r>
      <w:r>
        <w:t>4</w:t>
      </w:r>
      <w:r>
        <w:fldChar w:fldCharType="end"/>
      </w:r>
      <w:r>
        <w:fldChar w:fldCharType="end"/>
      </w:r>
    </w:p>
    <w:p>
      <w:pPr>
        <w:pStyle w:val="5"/>
        <w:rPr>
          <w:rFonts w:ascii="Calibri" w:hAnsi="Calibri" w:eastAsia="宋体" w:cs="Times New Roman"/>
        </w:rPr>
      </w:pPr>
      <w:r>
        <w:fldChar w:fldCharType="begin"/>
      </w:r>
      <w:r>
        <w:instrText xml:space="preserve"> HYPERLINK \l "_Toc112448016" </w:instrText>
      </w:r>
      <w:r>
        <w:fldChar w:fldCharType="separate"/>
      </w:r>
      <w:r>
        <w:rPr>
          <w:rStyle w:val="9"/>
          <w:rFonts w:ascii="黑体" w:hAnsi="黑体" w:eastAsia="黑体" w:cs="宋体"/>
          <w:kern w:val="0"/>
        </w:rPr>
        <w:t>八、政府性基金预算支出情况说明</w:t>
      </w:r>
      <w:r>
        <w:tab/>
      </w:r>
      <w:r>
        <w:fldChar w:fldCharType="begin"/>
      </w:r>
      <w:r>
        <w:instrText xml:space="preserve"> PAGEREF _Toc112448016 \h </w:instrText>
      </w:r>
      <w:r>
        <w:fldChar w:fldCharType="separate"/>
      </w:r>
      <w:r>
        <w:t>5</w:t>
      </w:r>
      <w:r>
        <w:fldChar w:fldCharType="end"/>
      </w:r>
      <w:r>
        <w:fldChar w:fldCharType="end"/>
      </w:r>
    </w:p>
    <w:p>
      <w:pPr>
        <w:pStyle w:val="5"/>
        <w:rPr>
          <w:rFonts w:ascii="Calibri" w:hAnsi="Calibri" w:eastAsia="宋体" w:cs="Times New Roman"/>
        </w:rPr>
      </w:pPr>
      <w:r>
        <w:fldChar w:fldCharType="begin"/>
      </w:r>
      <w:r>
        <w:instrText xml:space="preserve"> HYPERLINK \l "_Toc112448017" </w:instrText>
      </w:r>
      <w:r>
        <w:fldChar w:fldCharType="separate"/>
      </w:r>
      <w:r>
        <w:rPr>
          <w:rStyle w:val="9"/>
          <w:rFonts w:ascii="黑体" w:hAnsi="黑体" w:eastAsia="黑体" w:cs="宋体"/>
          <w:kern w:val="0"/>
        </w:rPr>
        <w:t>九、其他重要事项的情况说明</w:t>
      </w:r>
      <w:r>
        <w:tab/>
      </w:r>
      <w:r>
        <w:fldChar w:fldCharType="begin"/>
      </w:r>
      <w:r>
        <w:instrText xml:space="preserve"> PAGEREF _Toc112448017 \h </w:instrText>
      </w:r>
      <w:r>
        <w:fldChar w:fldCharType="separate"/>
      </w:r>
      <w:r>
        <w:t>5</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"_Toc112448018" </w:instrText>
      </w:r>
      <w:r>
        <w:fldChar w:fldCharType="separate"/>
      </w:r>
      <w:r>
        <w:rPr>
          <w:rStyle w:val="9"/>
          <w:rFonts w:ascii="宋体" w:hAnsi="宋体" w:eastAsia="宋体"/>
        </w:rPr>
        <w:t>（一）机关运行经费。</w:t>
      </w:r>
      <w:r>
        <w:tab/>
      </w:r>
      <w:r>
        <w:fldChar w:fldCharType="begin"/>
      </w:r>
      <w:r>
        <w:instrText xml:space="preserve"> PAGEREF _Toc112448018 \h </w:instrText>
      </w:r>
      <w:r>
        <w:fldChar w:fldCharType="separate"/>
      </w:r>
      <w:r>
        <w:t>5</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"_Toc112448019" </w:instrText>
      </w:r>
      <w:r>
        <w:fldChar w:fldCharType="separate"/>
      </w:r>
      <w:r>
        <w:rPr>
          <w:rStyle w:val="9"/>
          <w:rFonts w:ascii="宋体" w:hAnsi="宋体" w:eastAsia="宋体"/>
        </w:rPr>
        <w:t>（二）政府采购情况。</w:t>
      </w:r>
      <w:r>
        <w:tab/>
      </w:r>
      <w:r>
        <w:fldChar w:fldCharType="begin"/>
      </w:r>
      <w:r>
        <w:instrText xml:space="preserve"> PAGEREF _Toc112448019 \h </w:instrText>
      </w:r>
      <w:r>
        <w:fldChar w:fldCharType="separate"/>
      </w:r>
      <w:r>
        <w:t>5</w:t>
      </w:r>
      <w:r>
        <w:fldChar w:fldCharType="end"/>
      </w:r>
      <w:r>
        <w:fldChar w:fldCharType="end"/>
      </w:r>
    </w:p>
    <w:p>
      <w:pPr>
        <w:pStyle w:val="6"/>
        <w:tabs>
          <w:tab w:val="right" w:leader="dot" w:pos="8296"/>
        </w:tabs>
        <w:rPr>
          <w:rFonts w:ascii="Calibri" w:hAnsi="Calibri" w:eastAsia="宋体" w:cs="Times New Roman"/>
        </w:rPr>
      </w:pPr>
      <w:r>
        <w:fldChar w:fldCharType="begin"/>
      </w:r>
      <w:r>
        <w:instrText xml:space="preserve"> HYPERLINK \l "_Toc112448020" </w:instrText>
      </w:r>
      <w:r>
        <w:fldChar w:fldCharType="separate"/>
      </w:r>
      <w:r>
        <w:rPr>
          <w:rStyle w:val="9"/>
          <w:rFonts w:ascii="宋体" w:hAnsi="宋体" w:eastAsia="宋体" w:cs="宋体"/>
          <w:kern w:val="0"/>
        </w:rPr>
        <w:t>（三）绩效目标设置情况</w:t>
      </w:r>
      <w:r>
        <w:tab/>
      </w:r>
      <w:r>
        <w:fldChar w:fldCharType="begin"/>
      </w:r>
      <w:r>
        <w:instrText xml:space="preserve"> PAGEREF _Toc112448020 \h </w:instrText>
      </w:r>
      <w:r>
        <w:fldChar w:fldCharType="separate"/>
      </w:r>
      <w:r>
        <w:t>5</w:t>
      </w:r>
      <w:r>
        <w:fldChar w:fldCharType="end"/>
      </w:r>
      <w:r>
        <w:fldChar w:fldCharType="end"/>
      </w:r>
    </w:p>
    <w:p>
      <w:pPr>
        <w:pStyle w:val="5"/>
        <w:rPr>
          <w:rFonts w:ascii="Calibri" w:hAnsi="Calibri" w:eastAsia="宋体" w:cs="Times New Roman"/>
        </w:rPr>
      </w:pPr>
      <w:r>
        <w:fldChar w:fldCharType="begin"/>
      </w:r>
      <w:r>
        <w:instrText xml:space="preserve"> HYPERLINK \l "_Toc112448021" </w:instrText>
      </w:r>
      <w:r>
        <w:fldChar w:fldCharType="separate"/>
      </w:r>
      <w:r>
        <w:rPr>
          <w:rStyle w:val="9"/>
          <w:rFonts w:ascii="黑体" w:hAnsi="黑体" w:eastAsia="黑体" w:cs="Times New Roman"/>
          <w:bCs/>
          <w:kern w:val="44"/>
        </w:rPr>
        <w:t>十、名词解释</w:t>
      </w:r>
      <w:r>
        <w:tab/>
      </w:r>
      <w:r>
        <w:fldChar w:fldCharType="begin"/>
      </w:r>
      <w:r>
        <w:instrText xml:space="preserve"> PAGEREF _Toc112448021 \h </w:instrText>
      </w:r>
      <w:r>
        <w:fldChar w:fldCharType="separate"/>
      </w:r>
      <w:r>
        <w:t>5</w:t>
      </w:r>
      <w:r>
        <w:fldChar w:fldCharType="end"/>
      </w:r>
      <w:r>
        <w:fldChar w:fldCharType="end"/>
      </w:r>
    </w:p>
    <w:p>
      <w:r>
        <w:rPr>
          <w:b/>
          <w:bCs/>
          <w:lang w:val="zh-CN"/>
        </w:rPr>
        <w:fldChar w:fldCharType="end"/>
      </w:r>
    </w:p>
    <w:p/>
    <w:p>
      <w:pPr>
        <w:rPr>
          <w:rFonts w:ascii="仿宋_GB2312" w:hAnsi="宋体" w:eastAsia="仿宋_GB2312" w:cs="宋体"/>
          <w:color w:val="000000"/>
          <w:kern w:val="0"/>
          <w:sz w:val="32"/>
          <w:szCs w:val="32"/>
        </w:rPr>
      </w:pPr>
    </w:p>
    <w:p>
      <w:pPr>
        <w:rPr>
          <w:rFonts w:ascii="仿宋_GB2312" w:hAnsi="宋体" w:eastAsia="仿宋_GB2312" w:cs="宋体"/>
          <w:color w:val="000000"/>
          <w:kern w:val="0"/>
          <w:sz w:val="32"/>
          <w:szCs w:val="32"/>
        </w:rPr>
        <w:sectPr>
          <w:footerReference r:id="rId7" w:type="default"/>
          <w:pgSz w:w="11906" w:h="16838"/>
          <w:pgMar w:top="1440" w:right="1800" w:bottom="1440" w:left="1800" w:header="851" w:footer="992" w:gutter="0"/>
          <w:cols w:space="720" w:num="1"/>
          <w:docGrid w:type="lines" w:linePitch="312" w:charSpace="0"/>
        </w:sectPr>
      </w:pPr>
    </w:p>
    <w:p>
      <w:r>
        <w:rPr>
          <w:rFonts w:hint="eastAsia" w:ascii="仿宋_GB2312" w:hAnsi="宋体" w:eastAsia="仿宋_GB2312" w:cs="宋体"/>
          <w:color w:val="000000"/>
          <w:kern w:val="0"/>
          <w:sz w:val="32"/>
          <w:szCs w:val="32"/>
        </w:rPr>
        <w:t xml:space="preserve">附件： </w:t>
      </w:r>
      <w:r>
        <w:rPr>
          <w:rFonts w:hint="eastAsia" w:ascii="仿宋_GB2312" w:hAnsi="宋体" w:eastAsia="仿宋_GB2312" w:cs="宋体"/>
          <w:color w:val="000000"/>
          <w:kern w:val="0"/>
          <w:sz w:val="32"/>
          <w:szCs w:val="32"/>
          <w:lang w:eastAsia="zh-CN"/>
        </w:rPr>
        <w:t>2024</w:t>
      </w:r>
      <w:r>
        <w:rPr>
          <w:rFonts w:hint="eastAsia" w:ascii="仿宋_GB2312" w:hAnsi="宋体" w:eastAsia="仿宋_GB2312" w:cs="宋体"/>
          <w:color w:val="000000"/>
          <w:kern w:val="0"/>
          <w:sz w:val="32"/>
          <w:szCs w:val="32"/>
        </w:rPr>
        <w:t>年部门预算公开报表</w:t>
      </w:r>
    </w:p>
    <w:p>
      <w:pPr>
        <w:tabs>
          <w:tab w:val="right" w:leader="dot" w:pos="8296"/>
        </w:tabs>
        <w:adjustRightInd w:val="0"/>
        <w:snapToGrid w:val="0"/>
        <w:spacing w:line="480" w:lineRule="auto"/>
        <w:ind w:left="420" w:leftChars="200"/>
        <w:jc w:val="left"/>
        <w:rPr>
          <w:rFonts w:ascii="仿宋" w:hAnsi="仿宋" w:eastAsia="仿宋"/>
          <w:sz w:val="28"/>
          <w:szCs w:val="28"/>
        </w:rPr>
      </w:pPr>
      <w:r>
        <w:rPr>
          <w:rFonts w:ascii="Times New Roman" w:hAnsi="Times New Roman" w:eastAsia="宋体" w:cs="Times New Roman"/>
          <w:sz w:val="28"/>
          <w:szCs w:val="28"/>
        </w:rPr>
        <w:t xml:space="preserve">                                 </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一、</w:t>
      </w:r>
      <w:r>
        <w:rPr>
          <w:rFonts w:ascii="Times New Roman" w:hAnsi="Times New Roman" w:eastAsia="宋体" w:cs="Times New Roman"/>
          <w:sz w:val="28"/>
          <w:szCs w:val="28"/>
        </w:rPr>
        <w:t>部门收支总表</w:t>
      </w:r>
    </w:p>
    <w:p>
      <w:pPr>
        <w:tabs>
          <w:tab w:val="right" w:leader="dot" w:pos="8296"/>
        </w:tabs>
        <w:adjustRightInd w:val="0"/>
        <w:snapToGrid w:val="0"/>
        <w:spacing w:line="480" w:lineRule="auto"/>
        <w:ind w:left="420" w:leftChars="20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-1</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收入</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firstLine="280" w:firstLineChars="100"/>
        <w:jc w:val="left"/>
        <w:rPr>
          <w:rFonts w:ascii="仿宋" w:hAnsi="仿宋" w:eastAsia="仿宋"/>
          <w:sz w:val="28"/>
          <w:szCs w:val="28"/>
        </w:rPr>
      </w:pPr>
      <w:r>
        <w:rPr>
          <w:rFonts w:hint="eastAsia" w:ascii="仿宋" w:hAnsi="仿宋" w:eastAsia="仿宋" w:cs="Times New Roman"/>
          <w:sz w:val="28"/>
          <w:szCs w:val="28"/>
        </w:rPr>
        <w:t>1</w:t>
      </w:r>
      <w:r>
        <w:rPr>
          <w:rFonts w:ascii="仿宋" w:hAnsi="仿宋" w:eastAsia="仿宋" w:cs="Times New Roman"/>
          <w:sz w:val="28"/>
          <w:szCs w:val="28"/>
        </w:rPr>
        <w:t>-2</w:t>
      </w:r>
      <w:r>
        <w:rPr>
          <w:rFonts w:hint="eastAsia" w:ascii="仿宋" w:hAnsi="仿宋" w:eastAsia="仿宋" w:cs="Times New Roman"/>
          <w:sz w:val="28"/>
          <w:szCs w:val="28"/>
        </w:rPr>
        <w:t>、部门</w:t>
      </w:r>
      <w:r>
        <w:rPr>
          <w:rFonts w:hint="eastAsia" w:ascii="Times New Roman" w:hAnsi="Times New Roman" w:eastAsia="宋体" w:cs="Times New Roman"/>
          <w:sz w:val="28"/>
          <w:szCs w:val="28"/>
        </w:rPr>
        <w:t>支出</w:t>
      </w:r>
      <w:r>
        <w:rPr>
          <w:rFonts w:hint="eastAsia" w:ascii="仿宋" w:hAnsi="仿宋" w:eastAsia="仿宋" w:cs="Times New Roman"/>
          <w:sz w:val="28"/>
          <w:szCs w:val="28"/>
        </w:rPr>
        <w:t>总</w:t>
      </w:r>
      <w:r>
        <w:rPr>
          <w:rFonts w:hint="eastAsia" w:ascii="Times New Roman" w:hAnsi="Times New Roman" w:eastAsia="宋体" w:cs="Times New Roman"/>
          <w:sz w:val="28"/>
          <w:szCs w:val="28"/>
        </w:rPr>
        <w:t>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二、</w:t>
      </w:r>
      <w:r>
        <w:rPr>
          <w:rFonts w:hint="eastAsia" w:ascii="Times New Roman" w:hAnsi="Times New Roman" w:eastAsia="宋体" w:cs="Times New Roman"/>
          <w:sz w:val="28"/>
          <w:szCs w:val="28"/>
        </w:rPr>
        <w:t>财政拨款收支预算总表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三、一般公共预算支出预算表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仿宋" w:hAnsi="仿宋" w:eastAsia="仿宋" w:cs="Times New Roman"/>
          <w:sz w:val="28"/>
          <w:szCs w:val="28"/>
        </w:rPr>
        <w:t xml:space="preserve">  3-1</w:t>
      </w:r>
      <w:r>
        <w:rPr>
          <w:rFonts w:hint="eastAsia" w:ascii="仿宋" w:hAnsi="仿宋" w:eastAsia="仿宋" w:cs="Times New Roman"/>
          <w:sz w:val="28"/>
          <w:szCs w:val="28"/>
        </w:rPr>
        <w:t>、一</w:t>
      </w:r>
      <w:r>
        <w:rPr>
          <w:rFonts w:hint="eastAsia" w:ascii="Times New Roman" w:hAnsi="Times New Roman" w:eastAsia="宋体" w:cs="Times New Roman"/>
          <w:sz w:val="28"/>
          <w:szCs w:val="28"/>
        </w:rPr>
        <w:t>般公共预算基本支出预算表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3-2</w:t>
      </w:r>
      <w:r>
        <w:rPr>
          <w:rFonts w:hint="eastAsia" w:ascii="Times New Roman" w:hAnsi="Times New Roman" w:eastAsia="宋体" w:cs="Times New Roman"/>
          <w:sz w:val="28"/>
          <w:szCs w:val="28"/>
        </w:rPr>
        <w:t>、一般公共预算项目支出预算表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3-3</w:t>
      </w:r>
      <w:r>
        <w:rPr>
          <w:rFonts w:hint="eastAsia" w:ascii="Times New Roman" w:hAnsi="Times New Roman" w:eastAsia="宋体" w:cs="Times New Roman"/>
          <w:sz w:val="28"/>
          <w:szCs w:val="28"/>
        </w:rPr>
        <w:t>、一般公共预算“三公”经费支出预算表</w:t>
      </w:r>
    </w:p>
    <w:p>
      <w:pPr>
        <w:tabs>
          <w:tab w:val="right" w:leader="dot" w:pos="8296"/>
        </w:tabs>
        <w:adjustRightInd w:val="0"/>
        <w:snapToGrid w:val="0"/>
        <w:spacing w:line="480" w:lineRule="auto"/>
        <w:ind w:left="420" w:leftChars="200"/>
        <w:jc w:val="left"/>
        <w:rPr>
          <w:rFonts w:ascii="仿宋" w:hAnsi="仿宋" w:eastAsia="仿宋" w:cs="Times New Roman"/>
          <w:sz w:val="28"/>
          <w:szCs w:val="28"/>
        </w:rPr>
      </w:pPr>
      <w:r>
        <w:rPr>
          <w:rFonts w:hint="eastAsia" w:ascii="仿宋" w:hAnsi="仿宋" w:eastAsia="仿宋" w:cs="Times New Roman"/>
          <w:sz w:val="28"/>
          <w:szCs w:val="28"/>
        </w:rPr>
        <w:t>四、政府性基金支出预算表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4-1</w:t>
      </w:r>
      <w:r>
        <w:rPr>
          <w:rFonts w:hint="eastAsia" w:ascii="Times New Roman" w:hAnsi="Times New Roman" w:eastAsia="宋体" w:cs="Times New Roman"/>
          <w:sz w:val="28"/>
          <w:szCs w:val="28"/>
        </w:rPr>
        <w:t>、政府性基金预算“三公”经费支出预算表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五、</w:t>
      </w:r>
      <w:r>
        <w:rPr>
          <w:rFonts w:hint="eastAsia" w:ascii="Times New Roman" w:hAnsi="Times New Roman" w:eastAsia="宋体" w:cs="Times New Roman"/>
          <w:sz w:val="28"/>
          <w:szCs w:val="28"/>
        </w:rPr>
        <w:t>国有资本经营预算支出预算表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六、</w:t>
      </w:r>
      <w:r>
        <w:rPr>
          <w:rFonts w:ascii="Times New Roman" w:hAnsi="Times New Roman" w:eastAsia="宋体" w:cs="Times New Roman"/>
          <w:sz w:val="28"/>
          <w:szCs w:val="28"/>
        </w:rPr>
        <w:t>202</w:t>
      </w:r>
      <w:r>
        <w:rPr>
          <w:rFonts w:hint="eastAsia" w:ascii="Times New Roman" w:hAnsi="Times New Roman" w:eastAsia="宋体" w:cs="Times New Roman"/>
          <w:sz w:val="28"/>
          <w:szCs w:val="28"/>
          <w:lang w:val="en-US" w:eastAsia="zh-CN"/>
        </w:rPr>
        <w:t>3</w:t>
      </w:r>
      <w:r>
        <w:rPr>
          <w:rFonts w:ascii="Times New Roman" w:hAnsi="Times New Roman" w:eastAsia="宋体" w:cs="Times New Roman"/>
          <w:sz w:val="28"/>
          <w:szCs w:val="28"/>
        </w:rPr>
        <w:t>年部门（单位）整体支出绩效目标申报表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hint="eastAsia" w:ascii="仿宋" w:hAnsi="仿宋" w:eastAsia="仿宋" w:cs="Times New Roman"/>
          <w:sz w:val="28"/>
          <w:szCs w:val="28"/>
        </w:rPr>
        <w:t>七、</w:t>
      </w:r>
      <w:r>
        <w:rPr>
          <w:rFonts w:hint="eastAsia" w:ascii="Times New Roman" w:hAnsi="Times New Roman" w:eastAsia="宋体" w:cs="Times New Roman"/>
          <w:sz w:val="28"/>
          <w:szCs w:val="28"/>
        </w:rPr>
        <w:t>项目支出绩效预算目标表</w:t>
      </w:r>
    </w:p>
    <w:p>
      <w:pPr>
        <w:spacing w:line="560" w:lineRule="exact"/>
        <w:rPr>
          <w:rFonts w:ascii="黑体" w:hAnsi="黑体" w:eastAsia="黑体" w:cs="宋体"/>
          <w:b/>
          <w:bCs/>
          <w:color w:val="000000"/>
          <w:kern w:val="0"/>
          <w:sz w:val="32"/>
          <w:szCs w:val="32"/>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tabs>
          <w:tab w:val="center" w:pos="4153"/>
          <w:tab w:val="right" w:pos="8306"/>
        </w:tabs>
        <w:snapToGrid w:val="0"/>
        <w:jc w:val="left"/>
        <w:rPr>
          <w:sz w:val="18"/>
          <w:szCs w:val="18"/>
        </w:rPr>
      </w:pPr>
    </w:p>
    <w:p>
      <w:pPr>
        <w:widowControl/>
        <w:spacing w:line="480" w:lineRule="atLeast"/>
        <w:jc w:val="left"/>
        <w:rPr>
          <w:rFonts w:ascii="黑体" w:hAnsi="黑体" w:eastAsia="黑体" w:cs="宋体"/>
          <w:b/>
          <w:bCs/>
          <w:color w:val="000000"/>
          <w:kern w:val="0"/>
          <w:sz w:val="32"/>
          <w:szCs w:val="32"/>
        </w:rPr>
        <w:sectPr>
          <w:footerReference r:id="rId8" w:type="default"/>
          <w:pgSz w:w="11906" w:h="16838"/>
          <w:pgMar w:top="1440" w:right="1800" w:bottom="1440" w:left="1800" w:header="851" w:footer="992" w:gutter="0"/>
          <w:cols w:space="720" w:num="1"/>
          <w:docGrid w:type="lines" w:linePitch="312" w:charSpace="0"/>
        </w:sectPr>
      </w:pPr>
    </w:p>
    <w:p>
      <w:pPr>
        <w:widowControl/>
        <w:spacing w:before="312" w:beforeLines="100" w:after="312" w:afterLines="100" w:line="560" w:lineRule="exact"/>
        <w:jc w:val="left"/>
        <w:outlineLvl w:val="0"/>
        <w:rPr>
          <w:rFonts w:ascii="仿宋_GB2312" w:hAnsi="宋体" w:eastAsia="仿宋_GB2312" w:cs="宋体"/>
          <w:b/>
          <w:bCs/>
          <w:color w:val="000000"/>
          <w:kern w:val="0"/>
          <w:sz w:val="32"/>
          <w:szCs w:val="32"/>
        </w:rPr>
      </w:pPr>
      <w:bookmarkStart w:id="11" w:name="_Toc112448002"/>
      <w:r>
        <w:rPr>
          <w:rFonts w:hint="eastAsia" w:ascii="黑体" w:hAnsi="黑体" w:eastAsia="黑体" w:cs="宋体"/>
          <w:b/>
          <w:bCs/>
          <w:color w:val="000000"/>
          <w:kern w:val="0"/>
          <w:sz w:val="32"/>
          <w:szCs w:val="32"/>
        </w:rPr>
        <w:t>一、基本职能及主要工作</w:t>
      </w:r>
      <w:bookmarkEnd w:id="11"/>
    </w:p>
    <w:p>
      <w:pPr>
        <w:widowControl/>
        <w:spacing w:line="560" w:lineRule="atLeast"/>
        <w:ind w:firstLine="560" w:firstLineChars="200"/>
        <w:jc w:val="left"/>
        <w:outlineLvl w:val="1"/>
        <w:rPr>
          <w:rFonts w:ascii="宋体" w:hAnsi="宋体" w:eastAsia="宋体" w:cs="仿宋_GB2312"/>
          <w:b/>
          <w:sz w:val="28"/>
          <w:szCs w:val="28"/>
        </w:rPr>
      </w:pPr>
      <w:bookmarkStart w:id="12" w:name="_Toc112448003"/>
      <w:r>
        <w:rPr>
          <w:rFonts w:hint="eastAsia" w:ascii="宋体" w:hAnsi="宋体" w:eastAsia="宋体" w:cs="宋体"/>
          <w:color w:val="000000"/>
          <w:kern w:val="0"/>
          <w:sz w:val="28"/>
          <w:szCs w:val="28"/>
        </w:rPr>
        <w:t>（一）基本职能</w:t>
      </w:r>
      <w:r>
        <w:rPr>
          <w:rFonts w:hint="eastAsia" w:ascii="宋体" w:hAnsi="宋体" w:eastAsia="宋体" w:cs="仿宋_GB2312"/>
          <w:b/>
          <w:sz w:val="28"/>
          <w:szCs w:val="28"/>
        </w:rPr>
        <w:t>：</w:t>
      </w:r>
      <w:bookmarkEnd w:id="12"/>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bCs/>
          <w:sz w:val="24"/>
          <w:szCs w:val="24"/>
        </w:rPr>
        <w:t>1、</w:t>
      </w:r>
      <w:r>
        <w:rPr>
          <w:rFonts w:hint="eastAsia" w:ascii="宋体" w:hAnsi="宋体" w:eastAsia="宋体" w:cs="仿宋_GB2312"/>
          <w:sz w:val="24"/>
          <w:szCs w:val="24"/>
        </w:rPr>
        <w:t>负责贯彻执行各类财经纪律规定。</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2、负责编制财政预算、决算并严格执行；</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3、负责各项惠民资金的审核发放和项目资金监管；</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4、负责管理本镇国有资产和政府性债权债务；</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5、负责指导本镇行政事业单位财务管理；</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6、负责督导各村（社区）财务信息公开工作；</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7、负责村账镇管工作；</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8、负责农村土地流转、集体资产的监督管理工作</w:t>
      </w:r>
    </w:p>
    <w:p>
      <w:pPr>
        <w:widowControl/>
        <w:wordWrap w:val="0"/>
        <w:spacing w:line="560" w:lineRule="atLeast"/>
        <w:ind w:firstLine="480" w:firstLineChars="200"/>
        <w:jc w:val="left"/>
        <w:rPr>
          <w:rFonts w:ascii="宋体" w:hAnsi="宋体" w:eastAsia="宋体" w:cs="仿宋_GB2312"/>
          <w:sz w:val="24"/>
          <w:szCs w:val="24"/>
        </w:rPr>
      </w:pPr>
      <w:r>
        <w:rPr>
          <w:rFonts w:hint="eastAsia" w:ascii="宋体" w:hAnsi="宋体" w:eastAsia="宋体" w:cs="仿宋_GB2312"/>
          <w:sz w:val="24"/>
          <w:szCs w:val="24"/>
        </w:rPr>
        <w:t>9、负责向财政、农业等部门争取资金工作；</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仿宋_GB2312"/>
          <w:sz w:val="24"/>
          <w:szCs w:val="24"/>
        </w:rPr>
        <w:t>10、负责工资管理工作；负责党委政府安排的其他临时工作。</w:t>
      </w:r>
      <w:r>
        <w:rPr>
          <w:rFonts w:hint="eastAsia" w:ascii="宋体" w:hAnsi="宋体" w:eastAsia="宋体" w:cs="宋体"/>
          <w:color w:val="000000"/>
          <w:kern w:val="0"/>
          <w:sz w:val="24"/>
          <w:szCs w:val="24"/>
        </w:rPr>
        <w:t>　　</w:t>
      </w:r>
    </w:p>
    <w:p>
      <w:pPr>
        <w:widowControl/>
        <w:spacing w:line="560" w:lineRule="atLeast"/>
        <w:ind w:firstLine="560" w:firstLineChars="200"/>
        <w:jc w:val="left"/>
        <w:outlineLvl w:val="1"/>
        <w:rPr>
          <w:rFonts w:ascii="宋体" w:hAnsi="宋体" w:eastAsia="宋体" w:cs="宋体"/>
          <w:color w:val="000000"/>
          <w:kern w:val="0"/>
          <w:sz w:val="32"/>
          <w:szCs w:val="32"/>
        </w:rPr>
      </w:pPr>
      <w:bookmarkStart w:id="13" w:name="_Toc112448004"/>
      <w:r>
        <w:rPr>
          <w:rFonts w:hint="eastAsia" w:ascii="宋体" w:hAnsi="宋体" w:eastAsia="宋体" w:cs="宋体"/>
          <w:color w:val="000000"/>
          <w:kern w:val="0"/>
          <w:sz w:val="28"/>
          <w:szCs w:val="28"/>
        </w:rPr>
        <w:t>（二）财政所</w:t>
      </w:r>
      <w:r>
        <w:rPr>
          <w:rFonts w:hint="eastAsia" w:ascii="宋体" w:hAnsi="宋体" w:eastAsia="宋体" w:cs="宋体"/>
          <w:color w:val="000000"/>
          <w:kern w:val="0"/>
          <w:sz w:val="28"/>
          <w:szCs w:val="28"/>
          <w:lang w:eastAsia="zh-CN"/>
        </w:rPr>
        <w:t>2024</w:t>
      </w:r>
      <w:r>
        <w:rPr>
          <w:rFonts w:hint="eastAsia" w:ascii="宋体" w:hAnsi="宋体" w:eastAsia="宋体" w:cs="宋体"/>
          <w:color w:val="000000"/>
          <w:kern w:val="0"/>
          <w:sz w:val="28"/>
          <w:szCs w:val="28"/>
        </w:rPr>
        <w:t>年重点工作</w:t>
      </w:r>
      <w:bookmarkEnd w:id="13"/>
    </w:p>
    <w:p>
      <w:pPr>
        <w:widowControl/>
        <w:wordWrap w:val="0"/>
        <w:spacing w:line="560" w:lineRule="atLeast"/>
        <w:ind w:firstLine="480" w:firstLineChars="200"/>
        <w:jc w:val="left"/>
        <w:rPr>
          <w:rFonts w:ascii="宋体" w:hAnsi="宋体" w:eastAsia="宋体"/>
          <w:sz w:val="24"/>
          <w:szCs w:val="24"/>
        </w:rPr>
      </w:pPr>
      <w:r>
        <w:rPr>
          <w:rFonts w:hint="eastAsia" w:ascii="宋体" w:hAnsi="宋体" w:eastAsia="宋体" w:cs="宋体"/>
          <w:color w:val="000000"/>
          <w:kern w:val="0"/>
          <w:sz w:val="24"/>
          <w:szCs w:val="24"/>
        </w:rPr>
        <w:t>一是：加强财政队伍建设，建立健全各种制度，我们积极参加区财政局、镇党委政府组织的各种政治和业务学习，不断提高政策和业务水平。按照上级要求，我们制定了与财政业务有关各项工作、学习、考勤、内部管理制度，要求所里财政干部遵照执行。</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二是</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积极调整和优化支出结构，科学合理安排资金，分轻重缓急，做到确保工资按时发放，确保机关正常运转、保证重点项目支出，大力压缩公用经费支出，根据单位各项工作任务、财力情况，做到有保有压，确保重点，统筹安排，从而把有限的财力更多地用于人民群众生产、生活急需的项目上，不断加大对农业及基础设施建设的投入力度，有效地促进全镇经济和社会事业协调发展。</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三是：努力做好镇年度预算编制工作，本着积极稳妥“量入为出、收支平衡”的原则，根据年初各部门预算安排，制定出全镇预算编制情况。</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四是：严格票据管理，指定专人负责，建立严格领缴签字手续，并定期进行审核，预防漏洞发生。</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五是：按时按质完成行政事业单位、村社区和各类专账的账务规范处理，严格遵守财经纪律，把好审核关。</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六是：</w:t>
      </w:r>
      <w:r>
        <w:rPr>
          <w:rFonts w:hint="eastAsia" w:ascii="宋体" w:hAnsi="宋体" w:eastAsia="宋体" w:cs="宋体"/>
          <w:color w:val="000000"/>
          <w:kern w:val="0"/>
          <w:sz w:val="24"/>
          <w:szCs w:val="24"/>
          <w:lang w:val="en-US" w:eastAsia="zh-CN"/>
        </w:rPr>
        <w:t>继续</w:t>
      </w:r>
      <w:r>
        <w:rPr>
          <w:rFonts w:hint="eastAsia" w:ascii="宋体" w:hAnsi="宋体" w:eastAsia="宋体" w:cs="宋体"/>
          <w:color w:val="000000"/>
          <w:kern w:val="0"/>
          <w:sz w:val="24"/>
          <w:szCs w:val="24"/>
        </w:rPr>
        <w:t>做好村级建制调整改革“后半篇文章”，镇村公有资产盘活与管理工作</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充分发挥闲置资产的使用效益。</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七</w:t>
      </w:r>
      <w:r>
        <w:rPr>
          <w:rFonts w:hint="eastAsia" w:ascii="宋体" w:hAnsi="宋体" w:eastAsia="宋体" w:cs="宋体"/>
          <w:color w:val="000000"/>
          <w:kern w:val="0"/>
          <w:sz w:val="24"/>
          <w:szCs w:val="24"/>
        </w:rPr>
        <w:t>是：学习、规范、完善预算管理一体化平台建设</w:t>
      </w:r>
      <w:r>
        <w:rPr>
          <w:rFonts w:hint="eastAsia" w:ascii="宋体" w:hAnsi="宋体" w:eastAsia="宋体" w:cs="宋体"/>
          <w:color w:val="000000"/>
          <w:kern w:val="0"/>
          <w:sz w:val="24"/>
          <w:szCs w:val="24"/>
          <w:lang w:val="en-US" w:eastAsia="zh-CN"/>
        </w:rPr>
        <w:t>和</w:t>
      </w:r>
      <w:r>
        <w:rPr>
          <w:rFonts w:hint="eastAsia" w:ascii="宋体" w:hAnsi="宋体" w:eastAsia="宋体" w:cs="宋体"/>
          <w:color w:val="000000"/>
          <w:kern w:val="0"/>
          <w:sz w:val="24"/>
          <w:szCs w:val="24"/>
        </w:rPr>
        <w:t>三资管理平台建设。</w:t>
      </w:r>
    </w:p>
    <w:p>
      <w:pPr>
        <w:widowControl/>
        <w:spacing w:before="312" w:beforeLines="100" w:after="312" w:afterLines="100" w:line="560" w:lineRule="exact"/>
        <w:jc w:val="left"/>
        <w:outlineLvl w:val="0"/>
        <w:rPr>
          <w:rFonts w:ascii="仿宋_GB2312" w:hAnsi="宋体" w:eastAsia="仿宋_GB2312" w:cs="宋体"/>
          <w:b/>
          <w:bCs/>
          <w:color w:val="000000"/>
          <w:kern w:val="0"/>
          <w:sz w:val="32"/>
          <w:szCs w:val="32"/>
        </w:rPr>
      </w:pPr>
      <w:bookmarkStart w:id="14" w:name="_Toc112448005"/>
      <w:r>
        <w:rPr>
          <w:rFonts w:hint="eastAsia" w:ascii="黑体" w:hAnsi="黑体" w:eastAsia="黑体" w:cs="宋体"/>
          <w:b/>
          <w:bCs/>
          <w:color w:val="000000"/>
          <w:kern w:val="0"/>
          <w:sz w:val="32"/>
          <w:szCs w:val="32"/>
        </w:rPr>
        <w:t>二、部门预算单位构成</w:t>
      </w:r>
      <w:bookmarkEnd w:id="14"/>
    </w:p>
    <w:p>
      <w:pPr>
        <w:widowControl/>
        <w:wordWrap w:val="0"/>
        <w:spacing w:line="48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人民政府财政所是行政单位</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，属于二级预算单位。</w:t>
      </w:r>
    </w:p>
    <w:p>
      <w:pPr>
        <w:widowControl/>
        <w:spacing w:before="312" w:beforeLines="100" w:after="312" w:afterLines="100" w:line="560" w:lineRule="exact"/>
        <w:jc w:val="left"/>
        <w:outlineLvl w:val="0"/>
        <w:rPr>
          <w:rFonts w:ascii="仿宋_GB2312" w:hAnsi="宋体" w:eastAsia="仿宋_GB2312" w:cs="宋体"/>
          <w:b/>
          <w:bCs/>
          <w:color w:val="000000"/>
          <w:kern w:val="0"/>
          <w:sz w:val="32"/>
          <w:szCs w:val="32"/>
        </w:rPr>
      </w:pPr>
      <w:bookmarkStart w:id="15" w:name="_Toc112448006"/>
      <w:r>
        <w:rPr>
          <w:rFonts w:hint="eastAsia" w:ascii="黑体" w:hAnsi="黑体" w:eastAsia="黑体" w:cs="宋体"/>
          <w:b/>
          <w:bCs/>
          <w:color w:val="000000"/>
          <w:kern w:val="0"/>
          <w:sz w:val="32"/>
          <w:szCs w:val="32"/>
        </w:rPr>
        <w:t>三、收支预算情况说明</w:t>
      </w:r>
      <w:bookmarkEnd w:id="15"/>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按照综合预算的原则，财政所所有收入和支出均纳入部门预算管理。收入包括：一般公共预算拨款收入、上年补助收入；支出包括：一般公共服务支出、社会保障和就业支出、</w:t>
      </w:r>
      <w:r>
        <w:rPr>
          <w:rFonts w:hint="eastAsia" w:ascii="宋体" w:hAnsi="宋体" w:eastAsia="宋体" w:cs="宋体"/>
          <w:color w:val="000000"/>
          <w:kern w:val="0"/>
          <w:sz w:val="24"/>
          <w:szCs w:val="24"/>
          <w:lang w:val="en-US" w:eastAsia="zh-CN"/>
        </w:rPr>
        <w:t>卫生健康支出</w:t>
      </w:r>
      <w:r>
        <w:rPr>
          <w:rFonts w:hint="eastAsia" w:ascii="宋体" w:hAnsi="宋体" w:eastAsia="宋体" w:cs="宋体"/>
          <w:color w:val="000000"/>
          <w:kern w:val="0"/>
          <w:sz w:val="24"/>
          <w:szCs w:val="24"/>
        </w:rPr>
        <w:t>、住房保障支出。</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年收支总预算</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w:t>
      </w:r>
    </w:p>
    <w:p>
      <w:pPr>
        <w:widowControl/>
        <w:wordWrap w:val="0"/>
        <w:spacing w:line="560" w:lineRule="exact"/>
        <w:ind w:firstLine="560" w:firstLineChars="200"/>
        <w:jc w:val="left"/>
        <w:outlineLvl w:val="1"/>
        <w:rPr>
          <w:rFonts w:ascii="宋体" w:hAnsi="宋体" w:eastAsia="宋体" w:cs="宋体"/>
          <w:color w:val="000000"/>
          <w:kern w:val="0"/>
          <w:sz w:val="28"/>
          <w:szCs w:val="28"/>
        </w:rPr>
      </w:pPr>
      <w:bookmarkStart w:id="16" w:name="_Toc112448007"/>
      <w:r>
        <w:rPr>
          <w:rFonts w:hint="eastAsia" w:ascii="宋体" w:hAnsi="宋体" w:eastAsia="宋体" w:cs="宋体"/>
          <w:color w:val="000000"/>
          <w:kern w:val="0"/>
          <w:sz w:val="28"/>
          <w:szCs w:val="28"/>
        </w:rPr>
        <w:t>（一）收入预算情况</w:t>
      </w:r>
      <w:bookmarkEnd w:id="16"/>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年收入预算</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万元，其中：上级补助收入0万元，占</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0%；一般公共预算拨款收入</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万元，占100%。</w:t>
      </w:r>
    </w:p>
    <w:p>
      <w:pPr>
        <w:widowControl/>
        <w:wordWrap w:val="0"/>
        <w:spacing w:line="560" w:lineRule="exact"/>
        <w:ind w:firstLine="560" w:firstLineChars="200"/>
        <w:jc w:val="left"/>
        <w:outlineLvl w:val="1"/>
        <w:rPr>
          <w:rFonts w:ascii="宋体" w:hAnsi="宋体" w:eastAsia="宋体" w:cs="宋体"/>
          <w:color w:val="000000"/>
          <w:kern w:val="0"/>
          <w:sz w:val="28"/>
          <w:szCs w:val="28"/>
        </w:rPr>
      </w:pPr>
      <w:bookmarkStart w:id="17" w:name="_Toc112448008"/>
      <w:r>
        <w:rPr>
          <w:rFonts w:hint="eastAsia" w:ascii="宋体" w:hAnsi="宋体" w:eastAsia="宋体" w:cs="宋体"/>
          <w:color w:val="000000"/>
          <w:kern w:val="0"/>
          <w:sz w:val="28"/>
          <w:szCs w:val="28"/>
        </w:rPr>
        <w:t>（二）支出预算情况</w:t>
      </w:r>
      <w:bookmarkEnd w:id="17"/>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年支出预算</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万元，其中：基本支出</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万元，占100</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%；项目支出</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0万元，占0%。</w:t>
      </w:r>
    </w:p>
    <w:p>
      <w:pPr>
        <w:widowControl/>
        <w:spacing w:before="312" w:beforeLines="100" w:after="312" w:afterLines="100" w:line="560" w:lineRule="exact"/>
        <w:jc w:val="left"/>
        <w:outlineLvl w:val="0"/>
        <w:rPr>
          <w:rFonts w:ascii="黑体" w:hAnsi="黑体" w:eastAsia="黑体" w:cs="宋体"/>
          <w:b/>
          <w:bCs/>
          <w:color w:val="000000"/>
          <w:kern w:val="0"/>
          <w:sz w:val="32"/>
          <w:szCs w:val="32"/>
        </w:rPr>
      </w:pPr>
      <w:bookmarkStart w:id="18" w:name="_Toc112448009"/>
      <w:r>
        <w:rPr>
          <w:rFonts w:hint="eastAsia" w:ascii="黑体" w:hAnsi="黑体" w:eastAsia="黑体" w:cs="宋体"/>
          <w:b/>
          <w:bCs/>
          <w:color w:val="000000"/>
          <w:kern w:val="0"/>
          <w:sz w:val="32"/>
          <w:szCs w:val="32"/>
        </w:rPr>
        <w:t>四、财政拨款收支预算情况说明</w:t>
      </w:r>
      <w:bookmarkEnd w:id="18"/>
    </w:p>
    <w:p>
      <w:pPr>
        <w:widowControl/>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年财政拨款收支总预算</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万元。收入包括：本年一般公共预算拨款收入</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万元；支出包括：一般公共服务支出</w:t>
      </w:r>
      <w:r>
        <w:rPr>
          <w:rFonts w:hint="eastAsia" w:ascii="宋体" w:hAnsi="宋体" w:eastAsia="宋体" w:cs="宋体"/>
          <w:color w:val="000000"/>
          <w:kern w:val="0"/>
          <w:sz w:val="24"/>
          <w:szCs w:val="24"/>
          <w:lang w:val="en-US" w:eastAsia="zh-CN"/>
        </w:rPr>
        <w:t>54.9</w:t>
      </w:r>
      <w:r>
        <w:rPr>
          <w:rFonts w:hint="eastAsia" w:ascii="宋体" w:hAnsi="宋体" w:eastAsia="宋体" w:cs="宋体"/>
          <w:color w:val="000000"/>
          <w:kern w:val="0"/>
          <w:sz w:val="24"/>
          <w:szCs w:val="24"/>
        </w:rPr>
        <w:t>万元、社会保障和就业支出</w:t>
      </w:r>
      <w:r>
        <w:rPr>
          <w:rFonts w:hint="eastAsia" w:ascii="宋体" w:hAnsi="宋体" w:eastAsia="宋体" w:cs="宋体"/>
          <w:color w:val="000000"/>
          <w:kern w:val="0"/>
          <w:sz w:val="24"/>
          <w:szCs w:val="24"/>
          <w:lang w:val="en-US" w:eastAsia="zh-CN"/>
        </w:rPr>
        <w:t>5.42</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val="en-US" w:eastAsia="zh-CN"/>
        </w:rPr>
        <w:t>卫生健康支出1.94</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eastAsia="zh-CN"/>
        </w:rPr>
        <w:t>，住房保障支出</w:t>
      </w:r>
      <w:r>
        <w:rPr>
          <w:rFonts w:hint="eastAsia" w:ascii="宋体" w:hAnsi="宋体" w:eastAsia="宋体" w:cs="宋体"/>
          <w:color w:val="000000"/>
          <w:kern w:val="0"/>
          <w:sz w:val="24"/>
          <w:szCs w:val="24"/>
          <w:lang w:val="en-US" w:eastAsia="zh-CN"/>
        </w:rPr>
        <w:t>4.72万元</w:t>
      </w:r>
      <w:r>
        <w:rPr>
          <w:rFonts w:hint="eastAsia" w:ascii="宋体" w:hAnsi="宋体" w:eastAsia="宋体" w:cs="宋体"/>
          <w:color w:val="000000"/>
          <w:kern w:val="0"/>
          <w:sz w:val="24"/>
          <w:szCs w:val="24"/>
        </w:rPr>
        <w:t>。</w:t>
      </w:r>
    </w:p>
    <w:p>
      <w:pPr>
        <w:widowControl/>
        <w:spacing w:before="312" w:beforeLines="100" w:after="312" w:afterLines="100" w:line="560" w:lineRule="exact"/>
        <w:jc w:val="left"/>
        <w:outlineLvl w:val="0"/>
        <w:rPr>
          <w:rFonts w:ascii="黑体" w:hAnsi="黑体" w:eastAsia="黑体" w:cs="宋体"/>
          <w:b/>
          <w:bCs/>
          <w:color w:val="000000"/>
          <w:kern w:val="0"/>
          <w:sz w:val="32"/>
          <w:szCs w:val="32"/>
        </w:rPr>
      </w:pPr>
      <w:bookmarkStart w:id="19" w:name="_Toc112448010"/>
      <w:r>
        <w:rPr>
          <w:rFonts w:hint="eastAsia" w:ascii="黑体" w:hAnsi="黑体" w:eastAsia="黑体" w:cs="宋体"/>
          <w:b/>
          <w:bCs/>
          <w:color w:val="000000"/>
          <w:kern w:val="0"/>
          <w:sz w:val="32"/>
          <w:szCs w:val="32"/>
        </w:rPr>
        <w:t>五、一般公共预算当年拨款情况说明</w:t>
      </w:r>
      <w:bookmarkEnd w:id="19"/>
    </w:p>
    <w:p>
      <w:pPr>
        <w:widowControl/>
        <w:wordWrap w:val="0"/>
        <w:spacing w:line="560" w:lineRule="exact"/>
        <w:ind w:firstLine="560" w:firstLineChars="200"/>
        <w:jc w:val="left"/>
        <w:outlineLvl w:val="1"/>
        <w:rPr>
          <w:rFonts w:ascii="宋体" w:hAnsi="宋体" w:eastAsia="宋体" w:cs="宋体"/>
          <w:color w:val="000000"/>
          <w:kern w:val="0"/>
          <w:sz w:val="28"/>
          <w:szCs w:val="28"/>
        </w:rPr>
      </w:pPr>
      <w:bookmarkStart w:id="20" w:name="_Toc112448011"/>
      <w:r>
        <w:rPr>
          <w:rFonts w:hint="eastAsia" w:ascii="宋体" w:hAnsi="宋体" w:eastAsia="宋体" w:cs="宋体"/>
          <w:color w:val="000000"/>
          <w:kern w:val="0"/>
          <w:sz w:val="28"/>
          <w:szCs w:val="28"/>
        </w:rPr>
        <w:t>（一）一般公共预算当年拨款规模变化情况</w:t>
      </w:r>
      <w:bookmarkEnd w:id="20"/>
    </w:p>
    <w:p>
      <w:pPr>
        <w:widowControl/>
        <w:wordWrap w:val="0"/>
        <w:spacing w:line="560" w:lineRule="atLeast"/>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年一般公共预算当年拨款</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w:t>
      </w:r>
    </w:p>
    <w:p>
      <w:pPr>
        <w:widowControl/>
        <w:wordWrap w:val="0"/>
        <w:spacing w:line="560" w:lineRule="exact"/>
        <w:ind w:firstLine="560" w:firstLineChars="200"/>
        <w:jc w:val="left"/>
        <w:outlineLvl w:val="1"/>
        <w:rPr>
          <w:rFonts w:ascii="宋体" w:hAnsi="宋体" w:eastAsia="宋体" w:cs="宋体"/>
          <w:color w:val="000000"/>
          <w:kern w:val="0"/>
          <w:sz w:val="28"/>
          <w:szCs w:val="28"/>
        </w:rPr>
      </w:pPr>
      <w:bookmarkStart w:id="21" w:name="_Toc112448012"/>
      <w:r>
        <w:rPr>
          <w:rFonts w:hint="eastAsia" w:ascii="宋体" w:hAnsi="宋体" w:eastAsia="宋体" w:cs="宋体"/>
          <w:color w:val="000000"/>
          <w:kern w:val="0"/>
          <w:sz w:val="28"/>
          <w:szCs w:val="28"/>
        </w:rPr>
        <w:t>（二）一般公共预算当年拨款结构情况</w:t>
      </w:r>
      <w:bookmarkEnd w:id="21"/>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一般公共服务支出</w:t>
      </w:r>
      <w:r>
        <w:rPr>
          <w:rFonts w:hint="eastAsia" w:ascii="宋体" w:hAnsi="宋体" w:eastAsia="宋体" w:cs="宋体"/>
          <w:color w:val="000000"/>
          <w:kern w:val="0"/>
          <w:sz w:val="24"/>
          <w:szCs w:val="24"/>
          <w:lang w:val="en-US" w:eastAsia="zh-CN"/>
        </w:rPr>
        <w:t>54.9</w:t>
      </w:r>
      <w:r>
        <w:rPr>
          <w:rFonts w:hint="eastAsia" w:ascii="宋体" w:hAnsi="宋体" w:eastAsia="宋体" w:cs="宋体"/>
          <w:color w:val="000000"/>
          <w:kern w:val="0"/>
          <w:sz w:val="24"/>
          <w:szCs w:val="24"/>
        </w:rPr>
        <w:t>万元、社会保障和就业支出</w:t>
      </w:r>
      <w:r>
        <w:rPr>
          <w:rFonts w:hint="eastAsia" w:ascii="宋体" w:hAnsi="宋体" w:eastAsia="宋体" w:cs="宋体"/>
          <w:color w:val="000000"/>
          <w:kern w:val="0"/>
          <w:sz w:val="24"/>
          <w:szCs w:val="24"/>
          <w:lang w:val="en-US" w:eastAsia="zh-CN"/>
        </w:rPr>
        <w:t>5.42</w:t>
      </w:r>
      <w:r>
        <w:rPr>
          <w:rFonts w:hint="eastAsia" w:ascii="宋体" w:hAnsi="宋体" w:eastAsia="宋体" w:cs="宋体"/>
          <w:color w:val="000000"/>
          <w:kern w:val="0"/>
          <w:sz w:val="24"/>
          <w:szCs w:val="24"/>
        </w:rPr>
        <w:t>万元、</w:t>
      </w:r>
      <w:r>
        <w:rPr>
          <w:rFonts w:hint="eastAsia" w:ascii="宋体" w:hAnsi="宋体" w:eastAsia="宋体" w:cs="宋体"/>
          <w:color w:val="000000"/>
          <w:kern w:val="0"/>
          <w:sz w:val="24"/>
          <w:szCs w:val="24"/>
          <w:lang w:val="en-US" w:eastAsia="zh-CN"/>
        </w:rPr>
        <w:t>卫生健康支出1.94</w:t>
      </w:r>
      <w:r>
        <w:rPr>
          <w:rFonts w:hint="eastAsia" w:ascii="宋体" w:hAnsi="宋体" w:eastAsia="宋体" w:cs="宋体"/>
          <w:color w:val="000000"/>
          <w:kern w:val="0"/>
          <w:sz w:val="24"/>
          <w:szCs w:val="24"/>
        </w:rPr>
        <w:t>万</w:t>
      </w:r>
      <w:r>
        <w:rPr>
          <w:rFonts w:hint="eastAsia" w:ascii="宋体" w:hAnsi="宋体" w:eastAsia="宋体" w:cs="宋体"/>
          <w:color w:val="000000"/>
          <w:kern w:val="0"/>
          <w:sz w:val="24"/>
          <w:szCs w:val="24"/>
          <w:lang w:eastAsia="zh-CN"/>
        </w:rPr>
        <w:t>元，住房保障支出</w:t>
      </w:r>
      <w:r>
        <w:rPr>
          <w:rFonts w:hint="eastAsia" w:ascii="宋体" w:hAnsi="宋体" w:eastAsia="宋体" w:cs="宋体"/>
          <w:color w:val="000000"/>
          <w:kern w:val="0"/>
          <w:sz w:val="24"/>
          <w:szCs w:val="24"/>
          <w:lang w:val="en-US" w:eastAsia="zh-CN"/>
        </w:rPr>
        <w:t>4.72万元</w:t>
      </w:r>
      <w:r>
        <w:rPr>
          <w:rFonts w:hint="eastAsia" w:ascii="宋体" w:hAnsi="宋体" w:eastAsia="宋体" w:cs="宋体"/>
          <w:color w:val="000000"/>
          <w:kern w:val="0"/>
          <w:sz w:val="24"/>
          <w:szCs w:val="24"/>
        </w:rPr>
        <w:t>。</w:t>
      </w:r>
    </w:p>
    <w:p>
      <w:pPr>
        <w:widowControl/>
        <w:wordWrap w:val="0"/>
        <w:spacing w:line="560" w:lineRule="exact"/>
        <w:ind w:firstLine="560" w:firstLineChars="200"/>
        <w:jc w:val="left"/>
        <w:outlineLvl w:val="1"/>
        <w:rPr>
          <w:rFonts w:ascii="宋体" w:hAnsi="宋体" w:eastAsia="宋体" w:cs="宋体"/>
          <w:color w:val="000000"/>
          <w:kern w:val="0"/>
          <w:sz w:val="28"/>
          <w:szCs w:val="28"/>
        </w:rPr>
      </w:pPr>
      <w:bookmarkStart w:id="22" w:name="_Toc112448013"/>
      <w:r>
        <w:rPr>
          <w:rFonts w:hint="eastAsia" w:ascii="宋体" w:hAnsi="宋体" w:eastAsia="宋体" w:cs="宋体"/>
          <w:color w:val="000000"/>
          <w:kern w:val="0"/>
          <w:sz w:val="28"/>
          <w:szCs w:val="28"/>
        </w:rPr>
        <w:t>（三）一般公共预算当年拨款具体使用情况</w:t>
      </w:r>
      <w:bookmarkEnd w:id="22"/>
    </w:p>
    <w:p>
      <w:pPr>
        <w:widowControl/>
        <w:wordWrap w:val="0"/>
        <w:spacing w:line="560" w:lineRule="atLeast"/>
        <w:ind w:firstLine="480" w:firstLineChars="200"/>
        <w:jc w:val="left"/>
        <w:rPr>
          <w:rFonts w:ascii="宋体" w:hAnsi="宋体" w:eastAsia="宋体"/>
          <w:color w:val="000000"/>
          <w:sz w:val="24"/>
          <w:szCs w:val="24"/>
          <w:shd w:val="clear" w:color="auto" w:fill="FFFFFF"/>
        </w:rPr>
      </w:pPr>
      <w:r>
        <w:rPr>
          <w:rFonts w:hint="eastAsia" w:ascii="宋体" w:hAnsi="宋体" w:eastAsia="宋体"/>
          <w:color w:val="000000"/>
          <w:sz w:val="24"/>
          <w:szCs w:val="24"/>
        </w:rPr>
        <w:t>1、</w:t>
      </w:r>
      <w:r>
        <w:rPr>
          <w:rFonts w:hint="eastAsia" w:ascii="宋体" w:hAnsi="宋体" w:eastAsia="宋体"/>
          <w:color w:val="000000"/>
          <w:sz w:val="24"/>
          <w:szCs w:val="24"/>
          <w:shd w:val="clear" w:color="auto" w:fill="FFFFFF"/>
        </w:rPr>
        <w:t>一般公共服务(类)财政事务(款)行政运行(项)</w:t>
      </w: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年预算数为</w:t>
      </w:r>
      <w:r>
        <w:rPr>
          <w:rFonts w:hint="eastAsia" w:ascii="宋体" w:hAnsi="宋体" w:eastAsia="宋体"/>
          <w:color w:val="000000"/>
          <w:sz w:val="24"/>
          <w:szCs w:val="24"/>
          <w:shd w:val="clear" w:color="auto" w:fill="FFFFFF"/>
          <w:lang w:val="en-US" w:eastAsia="zh-CN"/>
        </w:rPr>
        <w:t>54.9</w:t>
      </w:r>
      <w:r>
        <w:rPr>
          <w:rFonts w:hint="eastAsia" w:ascii="宋体" w:hAnsi="宋体" w:eastAsia="宋体"/>
          <w:color w:val="000000"/>
          <w:sz w:val="24"/>
          <w:szCs w:val="24"/>
          <w:shd w:val="clear" w:color="auto" w:fill="FFFFFF"/>
        </w:rPr>
        <w:t>万元；主要用于财政所正常运转的基本支出,包括基本工资、津贴补贴等人员经费以及办公费、水电及差旅费等日常公用经费。</w:t>
      </w:r>
    </w:p>
    <w:p>
      <w:pPr>
        <w:widowControl/>
        <w:wordWrap w:val="0"/>
        <w:spacing w:line="560" w:lineRule="atLeast"/>
        <w:ind w:firstLine="480" w:firstLineChars="200"/>
        <w:jc w:val="left"/>
        <w:rPr>
          <w:rFonts w:ascii="宋体" w:hAnsi="宋体" w:eastAsia="宋体"/>
          <w:color w:val="000000"/>
          <w:sz w:val="24"/>
          <w:szCs w:val="24"/>
          <w:shd w:val="clear" w:color="auto" w:fill="FFFFFF"/>
        </w:rPr>
      </w:pPr>
      <w:r>
        <w:rPr>
          <w:rFonts w:hint="eastAsia" w:ascii="宋体" w:hAnsi="宋体" w:eastAsia="宋体"/>
          <w:color w:val="000000"/>
          <w:sz w:val="24"/>
          <w:szCs w:val="24"/>
        </w:rPr>
        <w:t>2、</w:t>
      </w:r>
      <w:r>
        <w:rPr>
          <w:rFonts w:hint="eastAsia" w:ascii="宋体" w:hAnsi="宋体" w:eastAsia="宋体"/>
          <w:color w:val="000000"/>
          <w:sz w:val="24"/>
          <w:szCs w:val="24"/>
          <w:shd w:val="clear" w:color="auto" w:fill="FFFFFF"/>
        </w:rPr>
        <w:t>社会保障和就业支出(类)行政事业单位离退休(款)机关事业单位基本养老保险缴费支出(项)</w:t>
      </w: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年预算数为</w:t>
      </w:r>
      <w:r>
        <w:rPr>
          <w:rFonts w:hint="eastAsia" w:ascii="宋体" w:hAnsi="宋体" w:eastAsia="宋体"/>
          <w:color w:val="000000"/>
          <w:sz w:val="24"/>
          <w:szCs w:val="24"/>
          <w:shd w:val="clear" w:color="auto" w:fill="FFFFFF"/>
          <w:lang w:val="en-US" w:eastAsia="zh-CN"/>
        </w:rPr>
        <w:t>5.42</w:t>
      </w:r>
      <w:r>
        <w:rPr>
          <w:rFonts w:hint="eastAsia" w:ascii="宋体" w:hAnsi="宋体" w:eastAsia="宋体"/>
          <w:color w:val="000000"/>
          <w:sz w:val="24"/>
          <w:szCs w:val="24"/>
          <w:shd w:val="clear" w:color="auto" w:fill="FFFFFF"/>
        </w:rPr>
        <w:t>万元，主要用于：实施养老保险制度后，部门按规定由单位缴纳的基本养老保险费支出。</w:t>
      </w:r>
    </w:p>
    <w:p>
      <w:pPr>
        <w:widowControl/>
        <w:wordWrap w:val="0"/>
        <w:spacing w:line="560" w:lineRule="atLeast"/>
        <w:ind w:firstLine="480" w:firstLineChars="200"/>
        <w:jc w:val="left"/>
        <w:rPr>
          <w:rFonts w:ascii="宋体" w:hAnsi="宋体" w:eastAsia="宋体"/>
          <w:color w:val="000000"/>
          <w:sz w:val="24"/>
          <w:szCs w:val="24"/>
          <w:shd w:val="clear" w:color="auto" w:fill="FFFFFF"/>
        </w:rPr>
      </w:pPr>
      <w:r>
        <w:rPr>
          <w:rFonts w:hint="eastAsia" w:ascii="宋体" w:hAnsi="宋体" w:eastAsia="宋体"/>
          <w:color w:val="000000"/>
          <w:sz w:val="24"/>
          <w:szCs w:val="24"/>
          <w:shd w:val="clear" w:color="auto" w:fill="FFFFFF"/>
        </w:rPr>
        <w:t>3、</w:t>
      </w:r>
      <w:r>
        <w:rPr>
          <w:rFonts w:hint="eastAsia" w:ascii="宋体" w:hAnsi="宋体" w:eastAsia="宋体"/>
          <w:color w:val="000000"/>
          <w:sz w:val="24"/>
          <w:szCs w:val="24"/>
          <w:shd w:val="clear" w:color="auto" w:fill="FFFFFF"/>
          <w:lang w:val="en-US" w:eastAsia="zh-CN"/>
        </w:rPr>
        <w:t>卫生健康</w:t>
      </w:r>
      <w:r>
        <w:rPr>
          <w:rFonts w:hint="eastAsia" w:ascii="宋体" w:hAnsi="宋体" w:eastAsia="宋体"/>
          <w:color w:val="000000"/>
          <w:sz w:val="24"/>
          <w:szCs w:val="24"/>
          <w:shd w:val="clear" w:color="auto" w:fill="FFFFFF"/>
        </w:rPr>
        <w:t>支出(类)行政事业单位医疗(款)行政单位医疗</w:t>
      </w:r>
      <w:r>
        <w:rPr>
          <w:rFonts w:hint="eastAsia" w:ascii="宋体" w:hAnsi="宋体" w:eastAsia="宋体"/>
          <w:color w:val="000000"/>
          <w:sz w:val="24"/>
          <w:szCs w:val="24"/>
          <w:shd w:val="clear" w:color="auto" w:fill="FFFFFF"/>
          <w:lang w:eastAsia="zh-CN"/>
        </w:rPr>
        <w:t>、</w:t>
      </w:r>
      <w:r>
        <w:rPr>
          <w:rFonts w:hint="eastAsia" w:ascii="宋体" w:hAnsi="宋体" w:eastAsia="宋体"/>
          <w:color w:val="000000"/>
          <w:sz w:val="24"/>
          <w:szCs w:val="24"/>
          <w:shd w:val="clear" w:color="auto" w:fill="FFFFFF"/>
        </w:rPr>
        <w:t>公务员医疗补助</w:t>
      </w:r>
      <w:r>
        <w:rPr>
          <w:rFonts w:ascii="宋体" w:hAnsi="宋体" w:eastAsia="宋体"/>
          <w:color w:val="000000"/>
          <w:sz w:val="24"/>
          <w:szCs w:val="24"/>
          <w:shd w:val="clear" w:color="auto" w:fill="FFFFFF"/>
        </w:rPr>
        <w:t>支出</w:t>
      </w:r>
      <w:r>
        <w:rPr>
          <w:rFonts w:hint="eastAsia" w:ascii="宋体" w:hAnsi="宋体" w:eastAsia="宋体"/>
          <w:color w:val="000000"/>
          <w:sz w:val="24"/>
          <w:szCs w:val="24"/>
          <w:shd w:val="clear" w:color="auto" w:fill="FFFFFF"/>
        </w:rPr>
        <w:t>(项)</w:t>
      </w: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年预算数为</w:t>
      </w:r>
      <w:r>
        <w:rPr>
          <w:rFonts w:hint="eastAsia" w:ascii="宋体" w:hAnsi="宋体" w:eastAsia="宋体"/>
          <w:color w:val="000000"/>
          <w:sz w:val="24"/>
          <w:szCs w:val="24"/>
          <w:shd w:val="clear" w:color="auto" w:fill="FFFFFF"/>
          <w:lang w:val="en-US" w:eastAsia="zh-CN"/>
        </w:rPr>
        <w:t>1.941</w:t>
      </w:r>
      <w:r>
        <w:rPr>
          <w:rFonts w:hint="eastAsia" w:ascii="宋体" w:hAnsi="宋体" w:eastAsia="宋体"/>
          <w:color w:val="000000"/>
          <w:sz w:val="24"/>
          <w:szCs w:val="24"/>
          <w:shd w:val="clear" w:color="auto" w:fill="FFFFFF"/>
        </w:rPr>
        <w:t>万元，主要用于机关单位基本医疗保险缴费支出</w:t>
      </w:r>
      <w:r>
        <w:rPr>
          <w:rFonts w:hint="eastAsia" w:ascii="宋体" w:hAnsi="宋体" w:eastAsia="宋体"/>
          <w:color w:val="000000"/>
          <w:sz w:val="24"/>
          <w:szCs w:val="24"/>
          <w:shd w:val="clear" w:color="auto" w:fill="FFFFFF"/>
          <w:lang w:eastAsia="zh-CN"/>
        </w:rPr>
        <w:t>、</w:t>
      </w:r>
      <w:r>
        <w:rPr>
          <w:rFonts w:hint="eastAsia" w:ascii="宋体" w:hAnsi="宋体" w:eastAsia="宋体"/>
          <w:color w:val="000000"/>
          <w:sz w:val="24"/>
          <w:szCs w:val="24"/>
          <w:shd w:val="clear" w:color="auto" w:fill="FFFFFF"/>
        </w:rPr>
        <w:t>安排公务员医疗补助</w:t>
      </w:r>
      <w:r>
        <w:rPr>
          <w:rFonts w:ascii="宋体" w:hAnsi="宋体" w:eastAsia="宋体"/>
          <w:color w:val="000000"/>
          <w:sz w:val="24"/>
          <w:szCs w:val="24"/>
          <w:shd w:val="clear" w:color="auto" w:fill="FFFFFF"/>
        </w:rPr>
        <w:t>支出</w:t>
      </w:r>
      <w:r>
        <w:rPr>
          <w:rFonts w:hint="eastAsia" w:ascii="宋体" w:hAnsi="宋体" w:eastAsia="宋体"/>
          <w:color w:val="000000"/>
          <w:sz w:val="24"/>
          <w:szCs w:val="24"/>
          <w:shd w:val="clear" w:color="auto" w:fill="FFFFFF"/>
          <w:lang w:eastAsia="zh-CN"/>
        </w:rPr>
        <w:t>。</w:t>
      </w:r>
    </w:p>
    <w:p>
      <w:pPr>
        <w:widowControl/>
        <w:wordWrap w:val="0"/>
        <w:spacing w:before="312" w:beforeLines="100" w:after="312" w:afterLines="100" w:line="560" w:lineRule="atLeast"/>
        <w:jc w:val="left"/>
        <w:outlineLvl w:val="0"/>
        <w:rPr>
          <w:rFonts w:ascii="仿宋_GB2312" w:hAnsi="宋体" w:eastAsia="仿宋_GB2312" w:cs="宋体"/>
          <w:color w:val="000000"/>
          <w:kern w:val="0"/>
          <w:sz w:val="32"/>
          <w:szCs w:val="32"/>
        </w:rPr>
      </w:pPr>
      <w:bookmarkStart w:id="23" w:name="_Toc112448014"/>
      <w:r>
        <w:rPr>
          <w:rFonts w:hint="eastAsia" w:ascii="黑体" w:hAnsi="黑体" w:eastAsia="黑体" w:cs="宋体"/>
          <w:color w:val="000000"/>
          <w:kern w:val="0"/>
          <w:sz w:val="32"/>
          <w:szCs w:val="32"/>
        </w:rPr>
        <w:t>六、一般公共预算基本支出情况说明</w:t>
      </w:r>
      <w:bookmarkEnd w:id="23"/>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年一般公共预算基本支出</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万元，其中：</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人员经费</w:t>
      </w:r>
      <w:r>
        <w:rPr>
          <w:rFonts w:hint="eastAsia" w:ascii="宋体" w:hAnsi="宋体" w:eastAsia="宋体" w:cs="宋体"/>
          <w:color w:val="000000"/>
          <w:kern w:val="0"/>
          <w:sz w:val="24"/>
          <w:szCs w:val="24"/>
          <w:lang w:val="en-US" w:eastAsia="zh-CN"/>
        </w:rPr>
        <w:t>59.32</w:t>
      </w:r>
      <w:r>
        <w:rPr>
          <w:rFonts w:hint="eastAsia" w:ascii="宋体" w:hAnsi="宋体" w:eastAsia="宋体" w:cs="宋体"/>
          <w:color w:val="000000"/>
          <w:kern w:val="0"/>
          <w:sz w:val="24"/>
          <w:szCs w:val="24"/>
        </w:rPr>
        <w:t>万元，主要包括：基本工资、津贴补贴、奖金、社会保险缴费、机关事业单位基本养老保险缴费、住房公积金、生活补助、奖励金。</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公用经费</w:t>
      </w:r>
      <w:r>
        <w:rPr>
          <w:rFonts w:hint="eastAsia" w:ascii="宋体" w:hAnsi="宋体" w:eastAsia="宋体" w:cs="宋体"/>
          <w:color w:val="000000"/>
          <w:kern w:val="0"/>
          <w:sz w:val="24"/>
          <w:szCs w:val="24"/>
          <w:lang w:val="en-US" w:eastAsia="zh-CN"/>
        </w:rPr>
        <w:t>7.66</w:t>
      </w:r>
      <w:r>
        <w:rPr>
          <w:rFonts w:hint="eastAsia" w:ascii="宋体" w:hAnsi="宋体" w:eastAsia="宋体" w:cs="宋体"/>
          <w:color w:val="000000"/>
          <w:kern w:val="0"/>
          <w:sz w:val="24"/>
          <w:szCs w:val="24"/>
        </w:rPr>
        <w:t>万元，主要包括：办公费、印刷费、水费、电费、邮电费、</w:t>
      </w:r>
      <w:bookmarkStart w:id="38" w:name="_GoBack"/>
      <w:bookmarkEnd w:id="38"/>
      <w:r>
        <w:rPr>
          <w:rFonts w:hint="eastAsia" w:ascii="宋体" w:hAnsi="宋体" w:eastAsia="宋体" w:cs="宋体"/>
          <w:color w:val="000000"/>
          <w:kern w:val="0"/>
          <w:sz w:val="24"/>
          <w:szCs w:val="24"/>
        </w:rPr>
        <w:t>差旅费、培训费、劳务费、工会经费、其他交通费。</w:t>
      </w:r>
    </w:p>
    <w:p>
      <w:pPr>
        <w:widowControl/>
        <w:wordWrap w:val="0"/>
        <w:spacing w:before="312" w:beforeLines="100" w:after="312" w:afterLines="100" w:line="560" w:lineRule="atLeast"/>
        <w:outlineLvl w:val="0"/>
        <w:rPr>
          <w:rFonts w:ascii="仿宋_GB2312" w:hAnsi="宋体" w:eastAsia="仿宋_GB2312" w:cs="宋体"/>
          <w:b/>
          <w:bCs/>
          <w:color w:val="000000"/>
          <w:kern w:val="0"/>
          <w:sz w:val="32"/>
          <w:szCs w:val="32"/>
        </w:rPr>
      </w:pPr>
      <w:bookmarkStart w:id="24" w:name="_Toc112448015"/>
      <w:r>
        <w:rPr>
          <w:rFonts w:hint="eastAsia" w:ascii="黑体" w:hAnsi="黑体" w:eastAsia="黑体" w:cs="宋体"/>
          <w:b/>
          <w:bCs/>
          <w:color w:val="000000"/>
          <w:kern w:val="0"/>
          <w:sz w:val="32"/>
          <w:szCs w:val="32"/>
        </w:rPr>
        <w:t>七、“三公”经费财政拨款预算安排情况说明</w:t>
      </w:r>
      <w:bookmarkEnd w:id="24"/>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年“三公”经费财政拨款预算数0</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万元，其中：因公出国（境）经费0</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万元，公务接待费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0万元，公务用车购置及运行维护费</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0万元。</w:t>
      </w:r>
    </w:p>
    <w:p>
      <w:pPr>
        <w:widowControl/>
        <w:wordWrap w:val="0"/>
        <w:spacing w:line="560" w:lineRule="atLeas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财政所无因公出国（境）经费。</w:t>
      </w:r>
    </w:p>
    <w:p>
      <w:pPr>
        <w:widowControl/>
        <w:wordWrap w:val="0"/>
        <w:spacing w:line="480" w:lineRule="atLeast"/>
        <w:ind w:firstLine="426"/>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年财政所没预算公务接待费。</w:t>
      </w:r>
    </w:p>
    <w:p>
      <w:pPr>
        <w:widowControl/>
        <w:wordWrap w:val="0"/>
        <w:spacing w:line="480" w:lineRule="atLeast"/>
        <w:ind w:firstLine="426"/>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年财政所无公务用车购置及运行维护费。</w:t>
      </w:r>
    </w:p>
    <w:p>
      <w:pPr>
        <w:spacing w:before="312" w:beforeLines="100" w:after="312" w:afterLines="100"/>
        <w:outlineLvl w:val="0"/>
        <w:rPr>
          <w:rFonts w:ascii="仿宋_GB2312" w:hAnsi="宋体" w:eastAsia="仿宋_GB2312" w:cs="宋体"/>
          <w:color w:val="000000"/>
          <w:kern w:val="0"/>
          <w:sz w:val="32"/>
          <w:szCs w:val="32"/>
        </w:rPr>
      </w:pPr>
      <w:bookmarkStart w:id="25" w:name="_Toc112448016"/>
      <w:r>
        <w:rPr>
          <w:rFonts w:hint="eastAsia" w:ascii="黑体" w:hAnsi="黑体" w:eastAsia="黑体" w:cs="宋体"/>
          <w:color w:val="000000"/>
          <w:kern w:val="0"/>
          <w:sz w:val="32"/>
          <w:szCs w:val="32"/>
        </w:rPr>
        <w:t>八、政府性基金预算支出情况说明</w:t>
      </w:r>
      <w:bookmarkEnd w:id="25"/>
    </w:p>
    <w:p>
      <w:pPr>
        <w:spacing w:line="5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财政所</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年没有使用政府性基金预算拨款安排的支出。</w:t>
      </w:r>
    </w:p>
    <w:p>
      <w:pPr>
        <w:spacing w:before="312" w:beforeLines="100" w:after="312" w:afterLines="100" w:line="560" w:lineRule="exact"/>
        <w:outlineLvl w:val="0"/>
        <w:rPr>
          <w:rFonts w:ascii="仿宋_GB2312" w:hAnsi="宋体" w:eastAsia="仿宋_GB2312" w:cs="宋体"/>
          <w:color w:val="000000"/>
          <w:kern w:val="0"/>
          <w:sz w:val="32"/>
          <w:szCs w:val="32"/>
        </w:rPr>
      </w:pPr>
      <w:bookmarkStart w:id="26" w:name="_Toc112448017"/>
      <w:r>
        <w:rPr>
          <w:rFonts w:hint="eastAsia" w:ascii="黑体" w:hAnsi="黑体" w:eastAsia="黑体" w:cs="宋体"/>
          <w:color w:val="000000"/>
          <w:kern w:val="0"/>
          <w:sz w:val="32"/>
          <w:szCs w:val="32"/>
        </w:rPr>
        <w:t>九、其他重要事项的情况说明</w:t>
      </w:r>
      <w:bookmarkEnd w:id="26"/>
    </w:p>
    <w:p>
      <w:pPr>
        <w:spacing w:line="560" w:lineRule="exact"/>
        <w:ind w:firstLine="560" w:firstLineChars="200"/>
        <w:jc w:val="left"/>
        <w:outlineLvl w:val="1"/>
        <w:rPr>
          <w:rFonts w:ascii="宋体" w:hAnsi="宋体" w:eastAsia="宋体"/>
          <w:color w:val="000000"/>
          <w:sz w:val="28"/>
          <w:szCs w:val="28"/>
        </w:rPr>
      </w:pPr>
      <w:bookmarkStart w:id="27" w:name="_Toc112448018"/>
      <w:r>
        <w:rPr>
          <w:rFonts w:hint="eastAsia" w:ascii="宋体" w:hAnsi="宋体" w:eastAsia="宋体"/>
          <w:color w:val="000000"/>
          <w:sz w:val="28"/>
          <w:szCs w:val="28"/>
        </w:rPr>
        <w:t>（一）机关运行经费。</w:t>
      </w:r>
      <w:bookmarkEnd w:id="27"/>
    </w:p>
    <w:p>
      <w:pPr>
        <w:spacing w:line="560" w:lineRule="exact"/>
        <w:ind w:firstLine="480" w:firstLineChars="200"/>
        <w:jc w:val="left"/>
        <w:rPr>
          <w:rFonts w:ascii="宋体" w:hAnsi="宋体" w:eastAsia="宋体"/>
          <w:color w:val="000000"/>
          <w:sz w:val="24"/>
          <w:szCs w:val="24"/>
        </w:rPr>
      </w:pP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年，机关运行经费财政拨款预算为</w:t>
      </w:r>
      <w:r>
        <w:rPr>
          <w:rFonts w:hint="eastAsia" w:ascii="宋体" w:hAnsi="宋体" w:eastAsia="宋体"/>
          <w:color w:val="000000"/>
          <w:sz w:val="24"/>
          <w:szCs w:val="24"/>
          <w:shd w:val="clear" w:color="auto" w:fill="FFFFFF"/>
          <w:lang w:val="en-US" w:eastAsia="zh-CN"/>
        </w:rPr>
        <w:t>66.98</w:t>
      </w:r>
      <w:r>
        <w:rPr>
          <w:rFonts w:hint="eastAsia" w:ascii="宋体" w:hAnsi="宋体" w:eastAsia="宋体"/>
          <w:color w:val="000000"/>
          <w:sz w:val="24"/>
          <w:szCs w:val="24"/>
          <w:shd w:val="clear" w:color="auto" w:fill="FFFFFF"/>
        </w:rPr>
        <w:t>万元。</w:t>
      </w:r>
    </w:p>
    <w:p>
      <w:pPr>
        <w:spacing w:line="560" w:lineRule="exact"/>
        <w:ind w:firstLine="560" w:firstLineChars="200"/>
        <w:jc w:val="left"/>
        <w:outlineLvl w:val="1"/>
        <w:rPr>
          <w:rFonts w:ascii="宋体" w:hAnsi="宋体" w:eastAsia="宋体"/>
          <w:b/>
          <w:bCs/>
          <w:color w:val="000000"/>
          <w:sz w:val="28"/>
          <w:szCs w:val="28"/>
        </w:rPr>
      </w:pPr>
      <w:bookmarkStart w:id="28" w:name="_Toc112448019"/>
      <w:r>
        <w:rPr>
          <w:rFonts w:hint="eastAsia" w:ascii="宋体" w:hAnsi="宋体" w:eastAsia="宋体"/>
          <w:color w:val="000000"/>
          <w:sz w:val="28"/>
          <w:szCs w:val="28"/>
        </w:rPr>
        <w:t>（二）政府采购情况。</w:t>
      </w:r>
      <w:bookmarkEnd w:id="28"/>
    </w:p>
    <w:p>
      <w:pPr>
        <w:spacing w:line="360" w:lineRule="auto"/>
        <w:ind w:firstLine="480" w:firstLineChars="200"/>
        <w:rPr>
          <w:rFonts w:ascii="Times New Roman" w:hAnsi="Times New Roman" w:eastAsia="宋体" w:cs="Times New Roman"/>
          <w:sz w:val="24"/>
          <w:szCs w:val="24"/>
        </w:rPr>
      </w:pPr>
      <w:r>
        <w:rPr>
          <w:rFonts w:hint="eastAsia" w:ascii="宋体" w:hAnsi="宋体" w:eastAsia="宋体"/>
          <w:color w:val="000000"/>
          <w:sz w:val="24"/>
          <w:szCs w:val="24"/>
          <w:shd w:val="clear" w:color="auto" w:fill="FFFFFF"/>
          <w:lang w:eastAsia="zh-CN"/>
        </w:rPr>
        <w:t>2024</w:t>
      </w:r>
      <w:r>
        <w:rPr>
          <w:rFonts w:hint="eastAsia" w:ascii="宋体" w:hAnsi="宋体" w:eastAsia="宋体"/>
          <w:color w:val="000000"/>
          <w:sz w:val="24"/>
          <w:szCs w:val="24"/>
          <w:shd w:val="clear" w:color="auto" w:fill="FFFFFF"/>
        </w:rPr>
        <w:t>年，没有安排政府采购预算。</w:t>
      </w:r>
      <w:r>
        <w:rPr>
          <w:rFonts w:hint="eastAsia" w:ascii="Times New Roman" w:hAnsi="Times New Roman" w:eastAsia="宋体" w:cs="Times New Roman"/>
          <w:sz w:val="24"/>
          <w:szCs w:val="24"/>
          <w:lang w:val="en-US" w:eastAsia="zh-CN"/>
        </w:rPr>
        <w:t>若有采购意向，年中进行采购预算调剂。</w:t>
      </w:r>
      <w:r>
        <w:rPr>
          <w:rFonts w:ascii="Times New Roman" w:hAnsi="Times New Roman" w:eastAsia="宋体" w:cs="Times New Roman"/>
          <w:sz w:val="24"/>
          <w:szCs w:val="24"/>
        </w:rPr>
        <w:t>　　　　</w:t>
      </w:r>
    </w:p>
    <w:p>
      <w:pPr>
        <w:spacing w:line="560" w:lineRule="exact"/>
        <w:ind w:firstLine="560" w:firstLineChars="200"/>
        <w:jc w:val="left"/>
        <w:outlineLvl w:val="1"/>
        <w:rPr>
          <w:rFonts w:ascii="宋体" w:hAnsi="宋体" w:eastAsia="宋体" w:cs="宋体"/>
          <w:color w:val="000000"/>
          <w:kern w:val="0"/>
          <w:sz w:val="28"/>
          <w:szCs w:val="28"/>
        </w:rPr>
      </w:pPr>
      <w:bookmarkStart w:id="29" w:name="_Toc112448020"/>
      <w:r>
        <w:rPr>
          <w:rFonts w:hint="eastAsia" w:ascii="宋体" w:hAnsi="宋体" w:eastAsia="宋体" w:cs="宋体"/>
          <w:color w:val="000000"/>
          <w:kern w:val="0"/>
          <w:sz w:val="28"/>
          <w:szCs w:val="28"/>
        </w:rPr>
        <w:t>（三）绩效目标设置情况</w:t>
      </w:r>
      <w:bookmarkEnd w:id="29"/>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年财政部门通用项目和专用项目均按要求实行绩效目标管理，涉及一般公共预算当年拨款</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66.98</w:t>
      </w:r>
      <w:r>
        <w:rPr>
          <w:rFonts w:hint="eastAsia" w:ascii="宋体" w:hAnsi="宋体" w:eastAsia="宋体" w:cs="宋体"/>
          <w:color w:val="000000"/>
          <w:kern w:val="0"/>
          <w:sz w:val="24"/>
          <w:szCs w:val="24"/>
        </w:rPr>
        <w:t>万元。</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附件： </w:t>
      </w:r>
      <w:r>
        <w:rPr>
          <w:rFonts w:hint="eastAsia" w:ascii="宋体" w:hAnsi="宋体" w:eastAsia="宋体" w:cs="宋体"/>
          <w:color w:val="000000"/>
          <w:kern w:val="0"/>
          <w:sz w:val="24"/>
          <w:szCs w:val="24"/>
          <w:lang w:eastAsia="zh-CN"/>
        </w:rPr>
        <w:t>2024</w:t>
      </w:r>
      <w:r>
        <w:rPr>
          <w:rFonts w:hint="eastAsia" w:ascii="宋体" w:hAnsi="宋体" w:eastAsia="宋体" w:cs="宋体"/>
          <w:color w:val="000000"/>
          <w:kern w:val="0"/>
          <w:sz w:val="24"/>
          <w:szCs w:val="24"/>
        </w:rPr>
        <w:t>年部门预算公开报表</w:t>
      </w:r>
      <w:bookmarkStart w:id="30" w:name="_Toc106830092"/>
      <w:bookmarkStart w:id="31" w:name="_Toc106828882"/>
      <w:bookmarkStart w:id="32" w:name="_Toc15377225"/>
      <w:bookmarkStart w:id="33" w:name="_Toc29991"/>
      <w:bookmarkStart w:id="34" w:name="_Toc106830158"/>
      <w:bookmarkStart w:id="35" w:name="_Toc106830587"/>
      <w:bookmarkStart w:id="36" w:name="_Toc15396613"/>
    </w:p>
    <w:p>
      <w:pPr>
        <w:spacing w:before="312" w:beforeLines="100" w:after="312" w:afterLines="100" w:line="560" w:lineRule="exact"/>
        <w:jc w:val="left"/>
        <w:outlineLvl w:val="0"/>
        <w:rPr>
          <w:rFonts w:ascii="黑体" w:hAnsi="黑体" w:eastAsia="黑体" w:cs="Times New Roman"/>
          <w:b/>
          <w:bCs/>
          <w:sz w:val="32"/>
          <w:szCs w:val="32"/>
        </w:rPr>
      </w:pPr>
      <w:bookmarkStart w:id="37" w:name="_Toc112448021"/>
      <w:r>
        <w:rPr>
          <w:rStyle w:val="12"/>
          <w:rFonts w:hint="eastAsia" w:ascii="黑体" w:hAnsi="黑体" w:eastAsia="黑体" w:cs="Times New Roman"/>
          <w:b w:val="0"/>
          <w:bCs/>
          <w:sz w:val="32"/>
          <w:szCs w:val="32"/>
        </w:rPr>
        <w:t>十、</w:t>
      </w:r>
      <w:r>
        <w:rPr>
          <w:rStyle w:val="12"/>
          <w:rFonts w:ascii="黑体" w:hAnsi="黑体" w:eastAsia="黑体" w:cs="Times New Roman"/>
          <w:b w:val="0"/>
          <w:bCs/>
          <w:sz w:val="32"/>
          <w:szCs w:val="32"/>
        </w:rPr>
        <w:t>名词解释</w:t>
      </w:r>
      <w:bookmarkEnd w:id="30"/>
      <w:bookmarkEnd w:id="31"/>
      <w:bookmarkEnd w:id="32"/>
      <w:bookmarkEnd w:id="33"/>
      <w:bookmarkEnd w:id="34"/>
      <w:bookmarkEnd w:id="35"/>
      <w:bookmarkEnd w:id="36"/>
      <w:bookmarkEnd w:id="37"/>
    </w:p>
    <w:p>
      <w:pPr>
        <w:pStyle w:val="13"/>
        <w:spacing w:line="560" w:lineRule="exact"/>
        <w:ind w:firstLine="480" w:firstLineChars="200"/>
        <w:rPr>
          <w:rFonts w:ascii="宋体" w:hAnsi="宋体" w:eastAsia="宋体" w:cs="宋体"/>
        </w:rPr>
      </w:pPr>
      <w:r>
        <w:rPr>
          <w:rFonts w:hint="eastAsia" w:ascii="宋体" w:hAnsi="宋体" w:eastAsia="宋体" w:cs="宋体"/>
        </w:rPr>
        <w:t>1、</w:t>
      </w:r>
      <w:r>
        <w:rPr>
          <w:rFonts w:ascii="宋体" w:hAnsi="宋体" w:eastAsia="宋体" w:cs="宋体"/>
        </w:rPr>
        <w:t>财政拨款收入：指单位从同级财政部门取得的财政预算资金。</w:t>
      </w:r>
    </w:p>
    <w:p>
      <w:pPr>
        <w:pStyle w:val="13"/>
        <w:spacing w:line="560" w:lineRule="exact"/>
        <w:ind w:firstLine="480" w:firstLineChars="200"/>
        <w:rPr>
          <w:rFonts w:ascii="宋体" w:hAnsi="宋体" w:eastAsia="宋体" w:cs="宋体"/>
        </w:rPr>
      </w:pPr>
      <w:r>
        <w:rPr>
          <w:rFonts w:hint="eastAsia" w:ascii="宋体" w:hAnsi="宋体" w:eastAsia="宋体" w:cs="宋体"/>
        </w:rPr>
        <w:t>2、</w:t>
      </w:r>
      <w:r>
        <w:rPr>
          <w:rFonts w:ascii="宋体" w:hAnsi="宋体" w:eastAsia="宋体" w:cs="宋体"/>
        </w:rPr>
        <w:t>事业收入：指事业单位开展专业业务活动及辅助活动取得的收入。</w:t>
      </w:r>
    </w:p>
    <w:p>
      <w:pPr>
        <w:pStyle w:val="13"/>
        <w:spacing w:line="560" w:lineRule="exact"/>
        <w:ind w:firstLine="480" w:firstLineChars="200"/>
        <w:rPr>
          <w:rFonts w:ascii="宋体" w:hAnsi="宋体" w:eastAsia="宋体" w:cs="宋体"/>
        </w:rPr>
      </w:pPr>
      <w:r>
        <w:rPr>
          <w:rFonts w:hint="eastAsia" w:ascii="宋体" w:hAnsi="宋体" w:eastAsia="宋体" w:cs="宋体"/>
        </w:rPr>
        <w:t>3、</w:t>
      </w:r>
      <w:r>
        <w:rPr>
          <w:rFonts w:ascii="宋体" w:hAnsi="宋体" w:eastAsia="宋体" w:cs="宋体"/>
        </w:rPr>
        <w:t>经营收入：指事业单位在专业业务活动及其辅助活动之外开展非独立核算经营活动取得的收入。</w:t>
      </w:r>
    </w:p>
    <w:p>
      <w:pPr>
        <w:pStyle w:val="13"/>
        <w:spacing w:line="560" w:lineRule="exact"/>
        <w:ind w:firstLine="480" w:firstLineChars="200"/>
        <w:rPr>
          <w:rFonts w:ascii="宋体" w:hAnsi="宋体" w:eastAsia="宋体" w:cs="宋体"/>
        </w:rPr>
      </w:pPr>
      <w:r>
        <w:rPr>
          <w:rFonts w:hint="eastAsia" w:ascii="宋体" w:hAnsi="宋体" w:eastAsia="宋体" w:cs="宋体"/>
        </w:rPr>
        <w:t>4、</w:t>
      </w:r>
      <w:r>
        <w:rPr>
          <w:rFonts w:ascii="宋体" w:hAnsi="宋体" w:eastAsia="宋体" w:cs="宋体"/>
        </w:rPr>
        <w:t>其他收入：指单位取得的除上述收入以外的各项收入。</w:t>
      </w:r>
    </w:p>
    <w:p>
      <w:pPr>
        <w:pStyle w:val="13"/>
        <w:spacing w:line="560" w:lineRule="exact"/>
        <w:ind w:firstLine="480" w:firstLineChars="200"/>
        <w:rPr>
          <w:rFonts w:ascii="宋体" w:hAnsi="宋体" w:eastAsia="宋体" w:cs="宋体"/>
        </w:rPr>
      </w:pPr>
      <w:r>
        <w:rPr>
          <w:rFonts w:hint="eastAsia" w:ascii="宋体" w:hAnsi="宋体" w:eastAsia="宋体" w:cs="宋体"/>
        </w:rPr>
        <w:t>5、</w:t>
      </w:r>
      <w:r>
        <w:rPr>
          <w:rFonts w:ascii="宋体" w:hAnsi="宋体" w:eastAsia="宋体" w:cs="宋体"/>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3"/>
        <w:spacing w:line="560" w:lineRule="exact"/>
        <w:ind w:firstLine="480" w:firstLineChars="200"/>
        <w:rPr>
          <w:rFonts w:ascii="宋体" w:hAnsi="宋体" w:eastAsia="宋体" w:cs="宋体"/>
        </w:rPr>
      </w:pPr>
      <w:r>
        <w:rPr>
          <w:rFonts w:hint="eastAsia" w:ascii="宋体" w:hAnsi="宋体" w:eastAsia="宋体" w:cs="宋体"/>
        </w:rPr>
        <w:t>6、</w:t>
      </w:r>
      <w:r>
        <w:rPr>
          <w:rFonts w:ascii="宋体" w:hAnsi="宋体" w:eastAsia="宋体" w:cs="宋体"/>
        </w:rPr>
        <w:t xml:space="preserve">年初结转和结余：指以前年度尚未完成、结转到本年按有关规定继续使用的资金。 </w:t>
      </w:r>
    </w:p>
    <w:p>
      <w:pPr>
        <w:pStyle w:val="13"/>
        <w:spacing w:line="560" w:lineRule="exact"/>
        <w:ind w:firstLine="480" w:firstLineChars="200"/>
        <w:rPr>
          <w:rFonts w:ascii="宋体" w:hAnsi="宋体" w:eastAsia="宋体" w:cs="宋体"/>
        </w:rPr>
      </w:pPr>
      <w:r>
        <w:rPr>
          <w:rFonts w:hint="eastAsia" w:ascii="宋体" w:hAnsi="宋体" w:eastAsia="宋体" w:cs="宋体"/>
        </w:rPr>
        <w:t>7、</w:t>
      </w:r>
      <w:r>
        <w:rPr>
          <w:rFonts w:ascii="宋体" w:hAnsi="宋体" w:eastAsia="宋体" w:cs="宋体"/>
        </w:rPr>
        <w:t>结余分配：指事业单位按照事业单位会计制度的规定从非财政补助结余中分配的事业基金和职工福利基金等。</w:t>
      </w:r>
    </w:p>
    <w:p>
      <w:pPr>
        <w:pStyle w:val="13"/>
        <w:spacing w:line="560" w:lineRule="exact"/>
        <w:ind w:firstLine="480" w:firstLineChars="200"/>
        <w:rPr>
          <w:rFonts w:ascii="宋体" w:hAnsi="宋体" w:eastAsia="宋体" w:cs="宋体"/>
        </w:rPr>
      </w:pPr>
      <w:r>
        <w:rPr>
          <w:rFonts w:hint="eastAsia" w:ascii="宋体" w:hAnsi="宋体" w:eastAsia="宋体" w:cs="宋体"/>
        </w:rPr>
        <w:t>8、</w:t>
      </w:r>
      <w:r>
        <w:rPr>
          <w:rFonts w:ascii="宋体" w:hAnsi="宋体" w:eastAsia="宋体" w:cs="宋体"/>
        </w:rPr>
        <w:t>年末结转和结余：指单位按有关规定结转到下年或以后年度继续使用的资金。</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r>
        <w:rPr>
          <w:rFonts w:ascii="宋体" w:hAnsi="宋体" w:eastAsia="宋体" w:cs="宋体"/>
          <w:color w:val="000000"/>
          <w:kern w:val="0"/>
          <w:sz w:val="24"/>
          <w:szCs w:val="24"/>
        </w:rPr>
        <w:t>一般公共服务（类）</w:t>
      </w:r>
      <w:r>
        <w:rPr>
          <w:rFonts w:hint="eastAsia" w:ascii="宋体" w:hAnsi="宋体" w:eastAsia="宋体" w:cs="宋体"/>
          <w:color w:val="000000"/>
          <w:kern w:val="0"/>
          <w:sz w:val="24"/>
          <w:szCs w:val="24"/>
        </w:rPr>
        <w:t>财政</w:t>
      </w:r>
      <w:r>
        <w:rPr>
          <w:rFonts w:ascii="宋体" w:hAnsi="宋体" w:eastAsia="宋体" w:cs="宋体"/>
          <w:color w:val="000000"/>
          <w:kern w:val="0"/>
          <w:sz w:val="24"/>
          <w:szCs w:val="24"/>
        </w:rPr>
        <w:t>事务（款）行政运行（项）: 指</w:t>
      </w:r>
      <w:r>
        <w:rPr>
          <w:rFonts w:hint="eastAsia" w:ascii="宋体" w:hAnsi="宋体" w:eastAsia="宋体" w:cs="宋体"/>
          <w:color w:val="000000"/>
          <w:kern w:val="0"/>
          <w:sz w:val="24"/>
          <w:szCs w:val="24"/>
        </w:rPr>
        <w:t>财政所</w:t>
      </w:r>
      <w:r>
        <w:rPr>
          <w:rFonts w:ascii="宋体" w:hAnsi="宋体" w:eastAsia="宋体" w:cs="宋体"/>
          <w:color w:val="000000"/>
          <w:kern w:val="0"/>
          <w:sz w:val="24"/>
          <w:szCs w:val="24"/>
        </w:rPr>
        <w:t>正常运转的基本支出，包括基本工资、津贴补贴等人员经费以及办公费、印刷费、水电费等日常公用经费。</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0</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社会保障和就业支出（类）行政事业单位离退休（款）机关事业单位基本养老保险缴费支出（项）:指实施养老保险制度后，部门按规定由单位缴纳的基本养老保险费支出。</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卫生健康支出（类）行政事业单位医疗（款）行政单位医疗（项）:指机关及参公管理事业单位基本医疗保险缴费支出。</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卫生健康支出（类）行政事业单位医疗（款）</w:t>
      </w:r>
      <w:r>
        <w:rPr>
          <w:rFonts w:hint="eastAsia" w:ascii="宋体" w:hAnsi="宋体" w:eastAsia="宋体" w:cs="宋体"/>
          <w:color w:val="000000"/>
          <w:kern w:val="0"/>
          <w:sz w:val="24"/>
          <w:szCs w:val="24"/>
        </w:rPr>
        <w:t>公务员</w:t>
      </w:r>
      <w:r>
        <w:rPr>
          <w:rFonts w:ascii="宋体" w:hAnsi="宋体" w:eastAsia="宋体" w:cs="宋体"/>
          <w:color w:val="000000"/>
          <w:kern w:val="0"/>
          <w:sz w:val="24"/>
          <w:szCs w:val="24"/>
        </w:rPr>
        <w:t>医疗</w:t>
      </w:r>
      <w:r>
        <w:rPr>
          <w:rFonts w:hint="eastAsia" w:ascii="宋体" w:hAnsi="宋体" w:eastAsia="宋体" w:cs="宋体"/>
          <w:color w:val="000000"/>
          <w:kern w:val="0"/>
          <w:sz w:val="24"/>
          <w:szCs w:val="24"/>
        </w:rPr>
        <w:t>补助</w:t>
      </w:r>
      <w:r>
        <w:rPr>
          <w:rFonts w:ascii="宋体" w:hAnsi="宋体" w:eastAsia="宋体" w:cs="宋体"/>
          <w:color w:val="000000"/>
          <w:kern w:val="0"/>
          <w:sz w:val="24"/>
          <w:szCs w:val="24"/>
        </w:rPr>
        <w:t>（项）:</w:t>
      </w:r>
      <w:r>
        <w:rPr>
          <w:rFonts w:hint="eastAsia" w:ascii="宋体" w:hAnsi="宋体" w:eastAsia="宋体" w:cs="宋体"/>
          <w:color w:val="000000"/>
          <w:kern w:val="0"/>
          <w:sz w:val="24"/>
          <w:szCs w:val="24"/>
        </w:rPr>
        <w:t>反映财政部门安排的公务员医疗补助经费</w:t>
      </w:r>
      <w:r>
        <w:rPr>
          <w:rFonts w:ascii="宋体" w:hAnsi="宋体" w:eastAsia="宋体" w:cs="宋体"/>
          <w:color w:val="000000"/>
          <w:kern w:val="0"/>
          <w:sz w:val="24"/>
          <w:szCs w:val="24"/>
        </w:rPr>
        <w:t>。</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住房保障（类）住房改革支出（款）住房公积金（项）:指部门按人力资源和社会保障部、财政部规定的基本工资和津贴补贴以及规定比例为职工缴纳的住房公积金支出。</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基本支出：指为保障机构正常运转、完成日常工作任务而发生的人员支出和公用支出。</w:t>
      </w:r>
    </w:p>
    <w:p>
      <w:pPr>
        <w:spacing w:line="560" w:lineRule="exact"/>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项目支出：指在基本支出之外为完成特定行政任务和事业发展目标所发生的支出。 </w:t>
      </w:r>
    </w:p>
    <w:p>
      <w:pPr>
        <w:pStyle w:val="13"/>
        <w:spacing w:line="560" w:lineRule="exact"/>
        <w:ind w:firstLine="480" w:firstLineChars="200"/>
        <w:rPr>
          <w:rFonts w:ascii="宋体" w:hAnsi="宋体" w:eastAsia="宋体" w:cs="宋体"/>
        </w:rPr>
      </w:pPr>
      <w:r>
        <w:rPr>
          <w:rFonts w:ascii="宋体" w:hAnsi="宋体" w:eastAsia="宋体" w:cs="宋体"/>
        </w:rPr>
        <w:t>16</w:t>
      </w:r>
      <w:r>
        <w:rPr>
          <w:rFonts w:hint="eastAsia" w:ascii="宋体" w:hAnsi="宋体" w:eastAsia="宋体" w:cs="宋体"/>
        </w:rPr>
        <w:t>、</w:t>
      </w:r>
      <w:r>
        <w:rPr>
          <w:rFonts w:ascii="宋体" w:hAnsi="宋体" w:eastAsia="宋体" w:cs="宋体"/>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3"/>
        <w:spacing w:line="560" w:lineRule="exact"/>
        <w:ind w:firstLine="480" w:firstLineChars="200"/>
        <w:rPr>
          <w:rFonts w:ascii="宋体" w:hAnsi="宋体" w:eastAsia="宋体" w:cs="宋体"/>
        </w:rPr>
      </w:pPr>
      <w:r>
        <w:rPr>
          <w:rFonts w:hint="eastAsia" w:ascii="宋体" w:hAnsi="宋体" w:eastAsia="宋体" w:cs="宋体"/>
        </w:rPr>
        <w:t>1</w:t>
      </w:r>
      <w:r>
        <w:rPr>
          <w:rFonts w:ascii="宋体" w:hAnsi="宋体" w:eastAsia="宋体" w:cs="宋体"/>
        </w:rPr>
        <w:t>7</w:t>
      </w:r>
      <w:r>
        <w:rPr>
          <w:rFonts w:hint="eastAsia" w:ascii="宋体" w:hAnsi="宋体" w:eastAsia="宋体" w:cs="宋体"/>
        </w:rPr>
        <w:t>、</w:t>
      </w:r>
      <w:r>
        <w:rPr>
          <w:rFonts w:ascii="宋体" w:hAnsi="宋体" w:eastAsia="宋体" w:cs="宋体"/>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仿宋_GB2312" w:hAnsi="宋体" w:eastAsia="仿宋_GB2312" w:cs="宋体"/>
          <w:color w:val="000000"/>
          <w:kern w:val="0"/>
          <w:sz w:val="32"/>
          <w:szCs w:val="32"/>
        </w:rPr>
      </w:pPr>
    </w:p>
    <w:sectPr>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宋体"/>
    <w:panose1 w:val="03000509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fldChar w:fldCharType="begin"/>
                          </w:r>
                          <w:r>
                            <w:instrText xml:space="preserve">PAGE   \* MERGEFORMAT</w:instrText>
                          </w:r>
                          <w:r>
                            <w:fldChar w:fldCharType="separate"/>
                          </w:r>
                          <w:r>
                            <w:rPr>
                              <w:lang w:val="zh-CN"/>
                            </w:rPr>
                            <w:t>1</w:t>
                          </w:r>
                          <w:r>
                            <w:fldChar w:fldCharType="end"/>
                          </w:r>
                        </w:p>
                      </w:txbxContent>
                    </wps:txbx>
                    <wps:bodyPr wrap="none" lIns="0" tIns="0" rIns="0" bIns="0" upright="1">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FQINMgBAACY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92V2&#10;pw9QY9N9wLY0vPND7pzygMkselDR5jfKIVhHb89Xb+WQiMgfrVfrdYUlgbX5gDjs4fMQIb2X3pIc&#10;NDTi5RVP+ekjpLF1bsnTnL/TxmCe18b9k0DMnGGZ+8gxR2nYDxPxvW/PqKfHe2+owzWnxHxwaGte&#10;kTmIc7Cfg2OI+tAhtWXhBeH2mJBE4ZYnjLDTYLywom5arrwRj8+l6+GH2v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BUCDTIAQAAmAMAAA4AAAAAAAAAAQAgAAAAHgEAAGRycy9lMm9Eb2Mu&#10;eG1sUEsFBgAAAAAGAAYAWQEAAFgFAAAAAA==&#10;">
              <v:fill on="f" focussize="0,0"/>
              <v:stroke on="f"/>
              <v:imagedata o:title=""/>
              <o:lock v:ext="edit" aspectratio="f"/>
              <v:textbox inset="0mm,0mm,0mm,0mm" style="mso-fit-shape-to-text:t;">
                <w:txbxContent>
                  <w:p>
                    <w:pPr>
                      <w:pStyle w:val="3"/>
                      <w:jc w:val="cente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B11138"/>
    <w:rsid w:val="0001254E"/>
    <w:rsid w:val="000D456F"/>
    <w:rsid w:val="000D541E"/>
    <w:rsid w:val="00141612"/>
    <w:rsid w:val="00301054"/>
    <w:rsid w:val="0044459A"/>
    <w:rsid w:val="00584C4C"/>
    <w:rsid w:val="005E34AA"/>
    <w:rsid w:val="006652B7"/>
    <w:rsid w:val="006B21C8"/>
    <w:rsid w:val="00705086"/>
    <w:rsid w:val="00766A73"/>
    <w:rsid w:val="00813DC3"/>
    <w:rsid w:val="008674D3"/>
    <w:rsid w:val="00874136"/>
    <w:rsid w:val="008B3827"/>
    <w:rsid w:val="008C264B"/>
    <w:rsid w:val="00942894"/>
    <w:rsid w:val="00B11138"/>
    <w:rsid w:val="00B44155"/>
    <w:rsid w:val="00C30164"/>
    <w:rsid w:val="00C36B18"/>
    <w:rsid w:val="00D235C6"/>
    <w:rsid w:val="00D923D3"/>
    <w:rsid w:val="00EF6578"/>
    <w:rsid w:val="00F44AF8"/>
    <w:rsid w:val="00F51D0B"/>
    <w:rsid w:val="00F87230"/>
    <w:rsid w:val="2DB372C8"/>
    <w:rsid w:val="39A6481B"/>
    <w:rsid w:val="417C1687"/>
    <w:rsid w:val="44CE1E59"/>
    <w:rsid w:val="574D2A21"/>
    <w:rsid w:val="59DD4764"/>
    <w:rsid w:val="6C2469A4"/>
    <w:rsid w:val="72CE01AC"/>
    <w:rsid w:val="7EE67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8296"/>
      </w:tabs>
    </w:pPr>
  </w:style>
  <w:style w:type="paragraph" w:styleId="6">
    <w:name w:val="toc 2"/>
    <w:basedOn w:val="1"/>
    <w:next w:val="1"/>
    <w:unhideWhenUsed/>
    <w:qFormat/>
    <w:uiPriority w:val="39"/>
    <w:pPr>
      <w:ind w:left="420" w:leftChars="200"/>
    </w:pPr>
  </w:style>
  <w:style w:type="character" w:styleId="9">
    <w:name w:val="Hyperlink"/>
    <w:unhideWhenUsed/>
    <w:qFormat/>
    <w:uiPriority w:val="99"/>
    <w:rPr>
      <w:color w:val="0563C1"/>
      <w:u w:val="single"/>
    </w:rPr>
  </w:style>
  <w:style w:type="character" w:customStyle="1" w:styleId="10">
    <w:name w:val="页脚 字符"/>
    <w:link w:val="3"/>
    <w:qFormat/>
    <w:uiPriority w:val="99"/>
    <w:rPr>
      <w:rFonts w:ascii="等线" w:hAnsi="等线" w:eastAsia="等线" w:cs="黑体"/>
      <w:sz w:val="18"/>
      <w:szCs w:val="18"/>
    </w:rPr>
  </w:style>
  <w:style w:type="character" w:customStyle="1" w:styleId="11">
    <w:name w:val="页眉 字符"/>
    <w:link w:val="4"/>
    <w:qFormat/>
    <w:uiPriority w:val="99"/>
    <w:rPr>
      <w:rFonts w:ascii="等线" w:hAnsi="等线" w:eastAsia="等线" w:cs="黑体"/>
      <w:sz w:val="18"/>
      <w:szCs w:val="18"/>
    </w:rPr>
  </w:style>
  <w:style w:type="character" w:customStyle="1" w:styleId="12">
    <w:name w:val="标题 1 Char"/>
    <w:qFormat/>
    <w:uiPriority w:val="0"/>
    <w:rPr>
      <w:b/>
      <w:kern w:val="44"/>
      <w:sz w:val="44"/>
    </w:rPr>
  </w:style>
  <w:style w:type="paragraph" w:customStyle="1" w:styleId="13">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4">
    <w:name w:val="标题 1 字符"/>
    <w:link w:val="2"/>
    <w:qFormat/>
    <w:uiPriority w:val="9"/>
    <w:rPr>
      <w:rFonts w:ascii="等线" w:hAnsi="等线" w:eastAsia="等线" w:cs="黑体"/>
      <w:b/>
      <w:bCs/>
      <w:kern w:val="44"/>
      <w:sz w:val="44"/>
      <w:szCs w:val="44"/>
    </w:rPr>
  </w:style>
  <w:style w:type="paragraph" w:customStyle="1" w:styleId="15">
    <w:name w:val="TOC Heading"/>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BDC0C-A0D0-452A-8D11-8CAC201DDC08}">
  <ds:schemaRefs/>
</ds:datastoreItem>
</file>

<file path=docProps/app.xml><?xml version="1.0" encoding="utf-8"?>
<Properties xmlns="http://schemas.openxmlformats.org/officeDocument/2006/extended-properties" xmlns:vt="http://schemas.openxmlformats.org/officeDocument/2006/docPropsVTypes">
  <Template>Normal</Template>
  <Pages>9</Pages>
  <Words>3592</Words>
  <Characters>3776</Characters>
  <Lines>39</Lines>
  <Paragraphs>11</Paragraphs>
  <TotalTime>41</TotalTime>
  <ScaleCrop>false</ScaleCrop>
  <LinksUpToDate>false</LinksUpToDate>
  <CharactersWithSpaces>3856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2021-10-11T04:27:00Z</dcterms:created>
  <dc:creator>Administrator</dc:creator>
  <cp:lastModifiedBy>Administrator</cp:lastModifiedBy>
  <dcterms:modified xsi:type="dcterms:W3CDTF">2024-05-22T07:44:13Z</dcterms:modified>
  <dc:title>　　2021年度</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1D1B406D4EC145D39BCA95DF9A765B9C_13</vt:lpwstr>
  </property>
</Properties>
</file>