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巴中市巴州区大罗镇农业综合服务中心</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p>
          <w:p>
            <w:pPr>
              <w:spacing w:before="0" w:beforeLines="0" w:after="0" w:afterLines="0" w:line="240" w:lineRule="auto"/>
              <w:ind w:left="0" w:leftChars="0" w:right="0" w:rightChars="0" w:firstLine="0" w:firstLineChars="0"/>
              <w:jc w:val="center"/>
            </w:pPr>
            <w:bookmarkStart w:id="0" w:name="_Toc21025_WPSOffice_Type3"/>
            <w:r>
              <w:rPr>
                <w:rFonts w:ascii="宋体" w:hAnsi="宋体" w:eastAsia="宋体"/>
                <w:sz w:val="21"/>
              </w:rPr>
              <w:t>目录</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d03a4a5-82a1-4114-90ae-8998214f4909}"/>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eccb63c-f5c7-4129-988c-911c80d88cb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w:t>
                </w:r>
                <w:r>
                  <w:rPr>
                    <w:rFonts w:hint="eastAsia"/>
                    <w:lang w:eastAsia="zh-CN"/>
                  </w:rPr>
                  <w:t>大罗</w:t>
                </w:r>
                <w:r>
                  <w:rPr>
                    <w:rFonts w:hint="eastAsia"/>
                  </w:rPr>
                  <w:t>镇</w:t>
                </w:r>
                <w:r>
                  <w:rPr>
                    <w:rFonts w:hint="eastAsia"/>
                    <w:lang w:eastAsia="zh-CN"/>
                  </w:rPr>
                  <w:t>农业综合</w:t>
                </w:r>
                <w:r>
                  <w:rPr>
                    <w:rFonts w:hint="eastAsia"/>
                  </w:rPr>
                  <w:t>服务中心职能简介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09b097e-bfa3-4a54-a8b1-d6546e0591f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大罗</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9d28a6b-e4ee-4163-a38d-3d7745285dd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ce6ec9e-769f-42ce-acf9-460b66ce9212}"/>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5</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81921d8e-e13c-4c9d-b343-55cea7e3c462}"/>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5</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8c3de9e-ba66-4e64-bcdd-5644ed6e1a9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de9a6ac-97dc-4b56-9130-644bfb59d916}"/>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f643d47-1eda-436e-b046-b8ba4ba57bf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5</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6</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04e46cc-4745-487e-920a-401581072223}"/>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6</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2dac52f0-c63f-48e3-832f-6be60c0b8d61}"/>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6</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bccc877-a698-4829-9a55-16523c9fff5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7</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f9a4fd5a-e2ef-4fd5-99e0-94e50ed35958}"/>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7</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01baf1e1-9dbc-49b7-a9c9-933bd215d38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8</w:t>
            </w:r>
          </w:p>
          <w:p>
            <w:pPr>
              <w:pStyle w:val="13"/>
              <w:tabs>
                <w:tab w:val="right" w:leader="dot" w:pos="8751"/>
              </w:tabs>
              <w:ind w:left="0" w:leftChars="0" w:firstLine="0" w:firstLineChars="0"/>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91011a45-e656-48a5-bae9-4b41bab5161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8</w:t>
            </w:r>
          </w:p>
          <w:bookmarkEnd w:id="0"/>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9fd6fdc-1571-4dc1-ad77-017b5983ad3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sdtContent>
          </w:sdt>
          <w:tbl>
            <w:tblPr>
              <w:tblStyle w:val="6"/>
              <w:tblW w:w="8710" w:type="dxa"/>
              <w:jc w:val="center"/>
              <w:tblCellSpacing w:w="0" w:type="dxa"/>
              <w:tblLayout w:type="fixed"/>
              <w:tblCellMar>
                <w:top w:w="0" w:type="dxa"/>
                <w:left w:w="0" w:type="dxa"/>
                <w:bottom w:w="0" w:type="dxa"/>
                <w:right w:w="0" w:type="dxa"/>
              </w:tblCellMar>
            </w:tblPr>
            <w:tblGrid>
              <w:gridCol w:w="8710"/>
            </w:tblGrid>
            <w:tr>
              <w:tblPrEx>
                <w:tblCellMar>
                  <w:top w:w="0" w:type="dxa"/>
                  <w:left w:w="0" w:type="dxa"/>
                  <w:bottom w:w="0" w:type="dxa"/>
                  <w:right w:w="0" w:type="dxa"/>
                </w:tblCellMar>
              </w:tblPrEx>
              <w:trPr>
                <w:trHeight w:val="7500" w:hRule="atLeast"/>
                <w:tblCellSpacing w:w="0" w:type="dxa"/>
                <w:jc w:val="center"/>
              </w:trPr>
              <w:tc>
                <w:tcPr>
                  <w:tcW w:w="8710" w:type="dxa"/>
                  <w:tcMar>
                    <w:top w:w="150" w:type="dxa"/>
                    <w:left w:w="0" w:type="dxa"/>
                    <w:bottom w:w="0" w:type="dxa"/>
                    <w:right w:w="0" w:type="dxa"/>
                  </w:tcMar>
                </w:tcPr>
                <w:p>
                  <w:pPr>
                    <w:pStyle w:val="2"/>
                    <w:adjustRightInd w:val="0"/>
                    <w:snapToGrid w:val="0"/>
                    <w:spacing w:before="93" w:line="600" w:lineRule="exact"/>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w:t>
                  </w:r>
                  <w:r>
                    <w:rPr>
                      <w:rFonts w:hint="eastAsia" w:ascii="黑体" w:hAnsi="黑体" w:eastAsia="黑体" w:cs="宋体"/>
                      <w:color w:val="000000" w:themeColor="text1"/>
                      <w:kern w:val="0"/>
                      <w:sz w:val="28"/>
                      <w:szCs w:val="28"/>
                      <w14:textFill>
                        <w14:solidFill>
                          <w14:schemeClr w14:val="tx1"/>
                        </w14:solidFill>
                      </w14:textFill>
                    </w:rPr>
                    <w:t>　一、基本职能及主要工作</w:t>
                  </w:r>
                </w:p>
                <w:p>
                  <w:pPr>
                    <w:pStyle w:val="2"/>
                    <w:adjustRightInd w:val="0"/>
                    <w:snapToGrid w:val="0"/>
                    <w:spacing w:before="93" w:line="600" w:lineRule="exact"/>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大罗镇农业综合服务中心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pStyle w:val="2"/>
                    <w:adjustRightInd w:val="0"/>
                    <w:snapToGrid w:val="0"/>
                    <w:spacing w:before="93" w:line="600" w:lineRule="exact"/>
                    <w:jc w:val="left"/>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农机站职能：一，农业机械购置补贴工作。二，农机新机具新技术推广工作。三，农业机械安全监督管理检验。四，农机技术培训技术咨询。五，乡村机耕道建设管理，六，乡村机电提灌站建设和管理。七，农村农机具销售，维修市场监督管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农技站职能：1、主持农技站全面工作，做好站务管理、财务管理工作。2、制订农技站年度目标责任制，做好全站干部职工的管理和考核工作。3、围绕农业结构调整，做好新品种、新技术试验、示范、推广工作。4、联系科技示范户，进行技术指导，做好农技辐射推广工作。5、搞好农业科普宣传、咨询、培训工作。6、做好上级部门和农业办公室领导交办的其他各项工作。工作纪律按照各项工作的要求及时完成，办事认真、高效，做到上情下达、下情上传，具体工作无重大失误;服务及时、高效、热情、到位;管理规范，监督有力，责任落实，任务完成。</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农经站工作职能：1、为农村合同经济健康发展提供管理保障，乡镇农经站工作职责。</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2、负责土地承包、村集体资产管理。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3、负责农村产业化经营、农村合作经济组织管理。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4、负责农民负担监督、农村财务管理工作。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5、负责农村经济统计、农村经济体系管理工作。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畜牧站职能：1、宣传贯彻国家有关发展畜牧兽医食品业的方针、政策、法规，协助乡政府制定全乡畜牧业发展规划、年度计划、具体措施并贯彻实施；2、指导全乡畜牧业科技推广计划、规化并组织实施，指导全乡畜牧业生产科技、培训村畜牧业科技员、基层干部和农民技术员进行科技示范，提供畜牧业技术服务；3、建立健全需求疫病防治、畜禽良种改良、饲料饲草开发利用、畜产品及流通等一系列配套服务；4、收集国内外行业技术信息和市场信息，提供信息服务和信息咨询；5、协同有关部门搞好全乡的畜产品及其产品的专业市场管理，健全交易市场体系；6、负责并组织对全乡的畜禽及其产品的产地、屠宰检疫工作，并加强运输和市场的监督力度；7、负责全乡的各种动物疫病监测、预防、控制、扑灭工作，并对兽药残留、饲料及其饲料添加剂安全使用进行监测。</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水管站职能：1、积极宣传贯彻执行水法、法规的各项水利方针、政策，树立全面优质服务，足进农村水利事业发展。</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2、结合本镇实际，统一管理水资源。协助镇人民政府制定水利发展规划和年度计划，组织施工、验收；落实各项水利管理责任制，建立各类工程卡片及挡案。</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3、组织群众进行防汛抗旱管理、防洪调度、除涝和农田水利基本建设，搞好农业基础建设的上报及水利信息的传递，管好、用好水利建设设施。</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4、搞好农村水利建设、水土保持提供技术与管理保障。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5、搞好农村水利工程（规划、勘测、设计）。</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6、搞好农村水利新技术示范推广。</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7、做好本镇水土流失治理工作。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8、承担县级水行政主管部门委托的代收和协助管理各项水行政事业性收费等。</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9、完成上级部门和镇政府领导交办的各项工作任务，做好建立健全各类工作挡案。</w:t>
                  </w:r>
                </w:p>
                <w:p>
                  <w:pPr>
                    <w:pStyle w:val="2"/>
                    <w:adjustRightInd w:val="0"/>
                    <w:snapToGrid w:val="0"/>
                    <w:spacing w:before="93" w:line="600" w:lineRule="exact"/>
                    <w:ind w:firstLine="560" w:firstLineChars="200"/>
                    <w:jc w:val="left"/>
                    <w:rPr>
                      <w:rFonts w:hint="eastAsia" w:ascii="仿宋_GB2312" w:eastAsia="仿宋_GB2312" w:hAnsiTheme="minorHAnsi" w:cstheme="minorBidi"/>
                      <w:color w:val="000000"/>
                      <w:kern w:val="2"/>
                      <w:sz w:val="28"/>
                      <w:szCs w:val="28"/>
                      <w:shd w:val="clear" w:color="auto" w:fill="FFFFFF"/>
                    </w:rPr>
                  </w:pPr>
                  <w:r>
                    <w:rPr>
                      <w:rFonts w:hint="eastAsia" w:ascii="仿宋_GB2312" w:eastAsia="仿宋_GB2312"/>
                      <w:color w:val="000000"/>
                      <w:sz w:val="28"/>
                      <w:szCs w:val="28"/>
                      <w:shd w:val="clear" w:color="auto" w:fill="FFFFFF"/>
                    </w:rPr>
                    <w:t>林业站职能：宣传与贯彻执行森林、植物资源保护等法律、法规和各项林业方针、政策；协助乡镇人民政府制定林业发展规划和年度计划，组织和指导农村集体、个人开展林业生产活动；配合林业主管部门做好森林防火、森林病虫害防治工作；建立健全乡村护林网络，负责护林队伍的建设；推广林业科学技术，开展林业技术培训、技术咨询和技术服务等林业服务。</w:t>
                  </w:r>
                </w:p>
                <w:p>
                  <w:pPr>
                    <w:ind w:firstLine="555"/>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大罗镇农业综合服务中心2024</w:t>
                  </w:r>
                  <w:r>
                    <w:rPr>
                      <w:rFonts w:hint="eastAsia" w:ascii="楷体_GB2312" w:hAnsi="宋体" w:eastAsia="楷体_GB2312" w:cs="宋体"/>
                      <w:color w:val="000000" w:themeColor="text1"/>
                      <w:kern w:val="0"/>
                      <w:sz w:val="28"/>
                      <w:szCs w:val="28"/>
                      <w14:textFill>
                        <w14:solidFill>
                          <w14:schemeClr w14:val="tx1"/>
                        </w14:solidFill>
                      </w14:textFill>
                    </w:rPr>
                    <w:t>年重点工作</w:t>
                  </w:r>
                </w:p>
                <w:p>
                  <w:pPr>
                    <w:ind w:firstLine="555"/>
                    <w:rPr>
                      <w:rFonts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　2020年在镇党委、政府的正确领导下，在上级业务主管部门的具体指导下，围绕实施乡村振兴战略，完成农业机械年度检审工作，农业机械推广工作，农机作业管理工作，在夏收夏种、秋收秋种工作中积极调度、合理调配机具，加强安全管理工作。压滤机滤布及时完成作业任务，未发生重大农机事故。有效地促进了农业生产，保证了农民生命和财产安全；试验示范的设计、实施、记载、统计分析、总结工作，全面完成农技站年初制订的工作任务目标，完成农业办公室下达的联系点工作指标；农村土地承包管理步入法制规范化轨道、全面加强完成农村土地承包经营权证补换发工作；努力发展畜牧业生产，大力推进标准化规模化养殖，积极开展动物疫病防控工作；不断加大林政管理工作力度，开展预防松材线虫病宣传和春秋季普查工作，森林防火工作严格实行全天候禁止一切野外用火，加大巡查力度。</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eastAsia="仿宋_GB2312"/>
                      <w:color w:val="000000"/>
                      <w:sz w:val="28"/>
                      <w:szCs w:val="28"/>
                      <w:shd w:val="clear" w:color="auto" w:fill="FFFFFF"/>
                    </w:rPr>
                    <w:t>属二级预算单位。</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pStyle w:val="11"/>
                    <w:spacing w:line="560" w:lineRule="exact"/>
                    <w:ind w:firstLine="627"/>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82.67</w:t>
                  </w:r>
                  <w:r>
                    <w:rPr>
                      <w:rFonts w:hint="eastAsia" w:ascii="仿宋_GB2312" w:hAnsi="宋体" w:eastAsia="仿宋_GB2312" w:cs="宋体"/>
                      <w:color w:val="000000" w:themeColor="text1"/>
                      <w:kern w:val="0"/>
                      <w:sz w:val="28"/>
                      <w:szCs w:val="28"/>
                      <w14:textFill>
                        <w14:solidFill>
                          <w14:schemeClr w14:val="tx1"/>
                        </w14:solidFill>
                      </w14:textFill>
                    </w:rPr>
                    <w:t>万元。</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pStyle w:val="11"/>
                    <w:spacing w:line="560" w:lineRule="exact"/>
                    <w:ind w:firstLine="627"/>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84.81</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84.81</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84.81</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84.81</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ascii="仿宋_GB2312" w:eastAsia="仿宋_GB2312"/>
                      <w:color w:val="000000"/>
                      <w:sz w:val="28"/>
                      <w:szCs w:val="28"/>
                      <w:shd w:val="clear" w:color="auto" w:fill="FFFFFF"/>
                    </w:rPr>
                    <w:t xml:space="preserve">。 </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84.81</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84.81</w:t>
                  </w:r>
                  <w:r>
                    <w:rPr>
                      <w:rFonts w:hint="eastAsia" w:ascii="仿宋_GB2312" w:eastAsia="仿宋_GB2312"/>
                      <w:color w:val="000000"/>
                      <w:sz w:val="28"/>
                      <w:szCs w:val="28"/>
                      <w:shd w:val="clear" w:color="auto" w:fill="FFFFFF"/>
                    </w:rPr>
                    <w:t>万元、上年结转一般公共预算拨款收入0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万元；支出包括：社会保障和就业支出</w:t>
                  </w:r>
                  <w:r>
                    <w:rPr>
                      <w:rFonts w:hint="eastAsia" w:ascii="仿宋_GB2312" w:eastAsia="仿宋_GB2312"/>
                      <w:color w:val="000000"/>
                      <w:sz w:val="28"/>
                      <w:szCs w:val="28"/>
                      <w:shd w:val="clear" w:color="auto" w:fill="FFFFFF"/>
                      <w:lang w:val="en-US" w:eastAsia="zh-CN"/>
                    </w:rPr>
                    <w:t>8.81</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3.85</w:t>
                  </w:r>
                  <w:r>
                    <w:rPr>
                      <w:rFonts w:hint="eastAsia" w:ascii="仿宋_GB2312" w:eastAsia="仿宋_GB2312"/>
                      <w:color w:val="000000"/>
                      <w:sz w:val="28"/>
                      <w:szCs w:val="28"/>
                      <w:shd w:val="clear" w:color="auto" w:fill="FFFFFF"/>
                    </w:rPr>
                    <w:t>万元、农林水支出</w:t>
                  </w:r>
                  <w:r>
                    <w:rPr>
                      <w:rFonts w:hint="eastAsia" w:ascii="仿宋_GB2312" w:eastAsia="仿宋_GB2312"/>
                      <w:color w:val="000000"/>
                      <w:sz w:val="28"/>
                      <w:szCs w:val="28"/>
                      <w:shd w:val="clear" w:color="auto" w:fill="FFFFFF"/>
                      <w:lang w:val="en-US" w:eastAsia="zh-CN"/>
                    </w:rPr>
                    <w:t>65.83</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6.96</w:t>
                  </w:r>
                  <w:r>
                    <w:rPr>
                      <w:rFonts w:hint="eastAsia" w:ascii="仿宋_GB2312" w:eastAsia="仿宋_GB2312"/>
                      <w:color w:val="000000"/>
                      <w:sz w:val="28"/>
                      <w:szCs w:val="28"/>
                      <w:shd w:val="clear" w:color="auto" w:fill="FFFFFF"/>
                    </w:rPr>
                    <w:t>万元。</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p>
                <w:p>
                  <w:pPr>
                    <w:pStyle w:val="11"/>
                    <w:spacing w:line="560" w:lineRule="exact"/>
                    <w:ind w:firstLine="627"/>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84.81</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增加2.13</w:t>
                  </w:r>
                  <w:r>
                    <w:rPr>
                      <w:rFonts w:hint="eastAsia" w:ascii="仿宋_GB2312" w:hAnsi="宋体" w:eastAsia="仿宋_GB2312" w:cs="宋体"/>
                      <w:color w:val="000000" w:themeColor="text1"/>
                      <w:kern w:val="0"/>
                      <w:sz w:val="28"/>
                      <w:szCs w:val="28"/>
                      <w14:textFill>
                        <w14:solidFill>
                          <w14:schemeClr w14:val="tx1"/>
                        </w14:solidFill>
                      </w14:textFill>
                    </w:rPr>
                    <w:t xml:space="preserve">万元。主要是根据部门年度工作计划，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因退休人员</w:t>
                  </w:r>
                  <w:r>
                    <w:rPr>
                      <w:rFonts w:hint="eastAsia" w:ascii="仿宋_GB2312" w:hAnsi="宋体" w:eastAsia="仿宋_GB2312" w:cs="宋体"/>
                      <w:color w:val="000000" w:themeColor="text1"/>
                      <w:kern w:val="0"/>
                      <w:sz w:val="28"/>
                      <w:szCs w:val="28"/>
                      <w14:textFill>
                        <w14:solidFill>
                          <w14:schemeClr w14:val="tx1"/>
                        </w14:solidFill>
                      </w14:textFill>
                    </w:rPr>
                    <w:t>有</w:t>
                  </w:r>
                  <w:r>
                    <w:rPr>
                      <w:rFonts w:hint="eastAsia" w:ascii="仿宋_GB2312" w:hAnsi="宋体" w:eastAsia="仿宋_GB2312" w:cs="宋体"/>
                      <w:color w:val="000000" w:themeColor="text1"/>
                      <w:kern w:val="0"/>
                      <w:sz w:val="28"/>
                      <w:szCs w:val="28"/>
                      <w:lang w:eastAsia="zh-CN"/>
                      <w14:textFill>
                        <w14:solidFill>
                          <w14:schemeClr w14:val="tx1"/>
                        </w14:solidFill>
                      </w14:textFill>
                    </w:rPr>
                    <w:t>所减少</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84.81</w:t>
                  </w:r>
                  <w:r>
                    <w:rPr>
                      <w:rFonts w:hint="eastAsia" w:ascii="仿宋_GB2312" w:eastAsia="仿宋_GB2312"/>
                      <w:color w:val="000000"/>
                      <w:sz w:val="28"/>
                      <w:szCs w:val="28"/>
                      <w:shd w:val="clear" w:color="auto" w:fill="FFFFFF"/>
                    </w:rPr>
                    <w:t>元，具体预算明细如下：社会保障和就业支出</w:t>
                  </w:r>
                  <w:r>
                    <w:rPr>
                      <w:rFonts w:hint="eastAsia" w:ascii="仿宋_GB2312" w:eastAsia="仿宋_GB2312"/>
                      <w:color w:val="000000"/>
                      <w:sz w:val="28"/>
                      <w:szCs w:val="28"/>
                      <w:shd w:val="clear" w:color="auto" w:fill="FFFFFF"/>
                      <w:lang w:val="en-US" w:eastAsia="zh-CN"/>
                    </w:rPr>
                    <w:t>8.81</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10.4</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医疗卫生与计划生育支出</w:t>
                  </w:r>
                  <w:r>
                    <w:rPr>
                      <w:rFonts w:hint="eastAsia" w:ascii="仿宋_GB2312" w:eastAsia="仿宋_GB2312"/>
                      <w:color w:val="000000"/>
                      <w:sz w:val="28"/>
                      <w:szCs w:val="28"/>
                      <w:shd w:val="clear" w:color="auto" w:fill="FFFFFF"/>
                      <w:lang w:val="en-US" w:eastAsia="zh-CN"/>
                    </w:rPr>
                    <w:t>3.85</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4.5</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农林水支出</w:t>
                  </w:r>
                  <w:r>
                    <w:rPr>
                      <w:rFonts w:hint="eastAsia" w:ascii="仿宋_GB2312" w:eastAsia="仿宋_GB2312"/>
                      <w:color w:val="000000"/>
                      <w:sz w:val="28"/>
                      <w:szCs w:val="28"/>
                      <w:shd w:val="clear" w:color="auto" w:fill="FFFFFF"/>
                      <w:lang w:val="en-US" w:eastAsia="zh-CN"/>
                    </w:rPr>
                    <w:t>65,83</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77.6</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6.96</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8.2</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sz w:val="28"/>
                      <w:szCs w:val="28"/>
                      <w:lang w:val="en-US" w:eastAsia="zh-CN"/>
                    </w:rPr>
                    <w:t>1</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8.81</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562" w:firstLineChars="200"/>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2</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（类）行政事业单位医疗（款）事业单位医疗（项）: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3.85</w:t>
                  </w:r>
                  <w:r>
                    <w:rPr>
                      <w:rFonts w:hint="eastAsia" w:ascii="仿宋_GB2312" w:hAnsi="宋体" w:eastAsia="仿宋_GB2312" w:cs="宋体"/>
                      <w:color w:val="000000"/>
                      <w:sz w:val="28"/>
                      <w:szCs w:val="28"/>
                    </w:rPr>
                    <w:t>万元，主要用于：部门下属事业单位基本医疗保险缴费支出。</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3</w:t>
                  </w:r>
                  <w:r>
                    <w:rPr>
                      <w:rFonts w:hint="eastAsia" w:ascii="仿宋_GB2312" w:hAnsi="宋体" w:eastAsia="仿宋_GB2312" w:cs="宋体"/>
                      <w:b/>
                      <w:color w:val="000000"/>
                      <w:sz w:val="28"/>
                      <w:szCs w:val="28"/>
                    </w:rPr>
                    <w:t>.农林水支出</w:t>
                  </w:r>
                  <w:r>
                    <w:rPr>
                      <w:rFonts w:hint="eastAsia" w:ascii="仿宋_GB2312" w:hAnsi="宋体" w:eastAsia="仿宋_GB2312" w:cs="宋体"/>
                      <w:b/>
                      <w:bCs/>
                      <w:color w:val="000000"/>
                      <w:sz w:val="28"/>
                      <w:szCs w:val="28"/>
                    </w:rPr>
                    <w:t>（类）农业农村（款）事业运行（项）: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65.83</w:t>
                  </w:r>
                  <w:r>
                    <w:rPr>
                      <w:rFonts w:hint="eastAsia" w:ascii="仿宋_GB2312" w:hAnsi="宋体" w:eastAsia="仿宋_GB2312" w:cs="宋体"/>
                      <w:color w:val="000000"/>
                      <w:sz w:val="28"/>
                      <w:szCs w:val="28"/>
                    </w:rPr>
                    <w:t>万元，主要用于：乡镇农业服务工作正常运转的基本支出，包括基本工资、津贴补贴等人员经费以及办公费、印刷费、水电费等日常公用经费。</w:t>
                  </w:r>
                </w:p>
                <w:p>
                  <w:pPr>
                    <w:widowControl/>
                    <w:wordWrap w:val="0"/>
                    <w:spacing w:line="480" w:lineRule="atLeast"/>
                    <w:ind w:firstLine="562" w:firstLineChars="200"/>
                    <w:rPr>
                      <w:rFonts w:hint="eastAsia" w:ascii="仿宋_GB2312" w:eastAsia="仿宋_GB2312"/>
                      <w:color w:val="000000"/>
                      <w:sz w:val="28"/>
                      <w:szCs w:val="28"/>
                      <w:shd w:val="clear" w:color="auto" w:fill="FFFFFF"/>
                      <w:lang w:eastAsia="zh-CN"/>
                    </w:rPr>
                  </w:pPr>
                  <w:r>
                    <w:rPr>
                      <w:rFonts w:hint="eastAsia" w:ascii="仿宋_GB2312" w:hAnsi="宋体" w:eastAsia="仿宋_GB2312" w:cs="宋体"/>
                      <w:b/>
                      <w:bCs/>
                      <w:color w:val="000000"/>
                      <w:sz w:val="28"/>
                      <w:szCs w:val="28"/>
                      <w:lang w:val="en-US" w:eastAsia="zh-CN"/>
                    </w:rPr>
                    <w:t>4</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6.96</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84.81</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79.08</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5.73</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eastAsia="仿宋_GB2312"/>
                      <w:color w:val="000000"/>
                      <w:sz w:val="28"/>
                      <w:szCs w:val="28"/>
                      <w:shd w:val="clear" w:color="auto" w:fill="FFFFFF"/>
                      <w:lang w:eastAsia="zh-CN"/>
                    </w:rPr>
                    <w:t>无</w:t>
                  </w:r>
                  <w:r>
                    <w:rPr>
                      <w:rFonts w:hint="eastAsia" w:ascii="仿宋_GB2312" w:hAnsi="宋体" w:eastAsia="仿宋_GB2312" w:cs="宋体"/>
                      <w:color w:val="000000" w:themeColor="text1"/>
                      <w:kern w:val="0"/>
                      <w:sz w:val="28"/>
                      <w:szCs w:val="28"/>
                      <w14:textFill>
                        <w14:solidFill>
                          <w14:schemeClr w14:val="tx1"/>
                        </w14:solidFill>
                      </w14:textFill>
                    </w:rPr>
                    <w:t>下属单位运行经费。</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84.81</w:t>
                  </w:r>
                  <w:bookmarkStart w:id="1" w:name="_GoBack"/>
                  <w:bookmarkEnd w:id="1"/>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p>
              </w:tc>
            </w:tr>
            <w:tr>
              <w:tblPrEx>
                <w:tblCellMar>
                  <w:top w:w="0" w:type="dxa"/>
                  <w:left w:w="0" w:type="dxa"/>
                  <w:bottom w:w="0" w:type="dxa"/>
                  <w:right w:w="0" w:type="dxa"/>
                </w:tblCellMar>
              </w:tblPrEx>
              <w:trPr>
                <w:tblCellSpacing w:w="0" w:type="dxa"/>
                <w:jc w:val="center"/>
              </w:trPr>
              <w:tc>
                <w:tcPr>
                  <w:tcW w:w="8710"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p>
        </w:tc>
      </w:tr>
      <w:tr>
        <w:tblPrEx>
          <w:tblCellMar>
            <w:top w:w="0" w:type="dxa"/>
            <w:left w:w="0" w:type="dxa"/>
            <w:bottom w:w="0" w:type="dxa"/>
            <w:right w:w="0" w:type="dxa"/>
          </w:tblCellMar>
        </w:tblPrEx>
        <w:trPr>
          <w:tblCellSpacing w:w="0" w:type="dxa"/>
          <w:jc w:val="center"/>
        </w:trPr>
        <w:tc>
          <w:tcPr>
            <w:tcW w:w="875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1ODIyMGU4ZGRhNDcyMzBiOTU2YzZhNzQ1N2MwN2Q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928137D"/>
    <w:rsid w:val="13565E02"/>
    <w:rsid w:val="1F461201"/>
    <w:rsid w:val="21BB3D55"/>
    <w:rsid w:val="2DF1692B"/>
    <w:rsid w:val="46475B70"/>
    <w:rsid w:val="4BD86685"/>
    <w:rsid w:val="4DAE5EE3"/>
    <w:rsid w:val="6AAD2380"/>
    <w:rsid w:val="75126802"/>
    <w:rsid w:val="765C4090"/>
    <w:rsid w:val="77826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d03a4a5-82a1-4114-90ae-8998214f4909}"/>
        <w:style w:val=""/>
        <w:category>
          <w:name w:val="常规"/>
          <w:gallery w:val="placeholder"/>
        </w:category>
        <w:types>
          <w:type w:val="bbPlcHdr"/>
        </w:types>
        <w:behaviors>
          <w:behavior w:val="content"/>
        </w:behaviors>
        <w:description w:val=""/>
        <w:guid w:val="{1d03a4a5-82a1-4114-90ae-8998214f4909}"/>
      </w:docPartPr>
      <w:docPartBody>
        <w:p>
          <w:r>
            <w:rPr>
              <w:color w:val="808080"/>
            </w:rPr>
            <w:t>单击此处输入文字。</w:t>
          </w:r>
        </w:p>
      </w:docPartBody>
    </w:docPart>
    <w:docPart>
      <w:docPartPr>
        <w:name w:val="{4eccb63c-f5c7-4129-988c-911c80d88cba}"/>
        <w:style w:val=""/>
        <w:category>
          <w:name w:val="常规"/>
          <w:gallery w:val="placeholder"/>
        </w:category>
        <w:types>
          <w:type w:val="bbPlcHdr"/>
        </w:types>
        <w:behaviors>
          <w:behavior w:val="content"/>
        </w:behaviors>
        <w:description w:val=""/>
        <w:guid w:val="{4eccb63c-f5c7-4129-988c-911c80d88cba}"/>
      </w:docPartPr>
      <w:docPartBody>
        <w:p>
          <w:r>
            <w:rPr>
              <w:color w:val="808080"/>
            </w:rPr>
            <w:t>单击此处输入文字。</w:t>
          </w:r>
        </w:p>
      </w:docPartBody>
    </w:docPart>
    <w:docPart>
      <w:docPartPr>
        <w:name w:val="{39d28a6b-e4ee-4163-a38d-3d7745285dda}"/>
        <w:style w:val=""/>
        <w:category>
          <w:name w:val="常规"/>
          <w:gallery w:val="placeholder"/>
        </w:category>
        <w:types>
          <w:type w:val="bbPlcHdr"/>
        </w:types>
        <w:behaviors>
          <w:behavior w:val="content"/>
        </w:behaviors>
        <w:description w:val=""/>
        <w:guid w:val="{39d28a6b-e4ee-4163-a38d-3d7745285dda}"/>
      </w:docPartPr>
      <w:docPartBody>
        <w:p>
          <w:r>
            <w:rPr>
              <w:color w:val="808080"/>
            </w:rPr>
            <w:t>单击此处输入文字。</w:t>
          </w:r>
        </w:p>
      </w:docPartBody>
    </w:docPart>
    <w:docPart>
      <w:docPartPr>
        <w:name w:val="{509b097e-bfa3-4a54-a8b1-d6546e0591f4}"/>
        <w:style w:val=""/>
        <w:category>
          <w:name w:val="常规"/>
          <w:gallery w:val="placeholder"/>
        </w:category>
        <w:types>
          <w:type w:val="bbPlcHdr"/>
        </w:types>
        <w:behaviors>
          <w:behavior w:val="content"/>
        </w:behaviors>
        <w:description w:val=""/>
        <w:guid w:val="{509b097e-bfa3-4a54-a8b1-d6546e0591f4}"/>
      </w:docPartPr>
      <w:docPartBody>
        <w:p>
          <w:r>
            <w:rPr>
              <w:color w:val="808080"/>
            </w:rPr>
            <w:t>单击此处输入文字。</w:t>
          </w:r>
        </w:p>
      </w:docPartBody>
    </w:docPart>
    <w:docPart>
      <w:docPartPr>
        <w:name w:val="{1ce6ec9e-769f-42ce-acf9-460b66ce9212}"/>
        <w:style w:val=""/>
        <w:category>
          <w:name w:val="常规"/>
          <w:gallery w:val="placeholder"/>
        </w:category>
        <w:types>
          <w:type w:val="bbPlcHdr"/>
        </w:types>
        <w:behaviors>
          <w:behavior w:val="content"/>
        </w:behaviors>
        <w:description w:val=""/>
        <w:guid w:val="{1ce6ec9e-769f-42ce-acf9-460b66ce9212}"/>
      </w:docPartPr>
      <w:docPartBody>
        <w:p>
          <w:r>
            <w:rPr>
              <w:color w:val="808080"/>
            </w:rPr>
            <w:t>单击此处输入文字。</w:t>
          </w:r>
        </w:p>
      </w:docPartBody>
    </w:docPart>
    <w:docPart>
      <w:docPartPr>
        <w:name w:val="{4de9a6ac-97dc-4b56-9130-644bfb59d916}"/>
        <w:style w:val=""/>
        <w:category>
          <w:name w:val="常规"/>
          <w:gallery w:val="placeholder"/>
        </w:category>
        <w:types>
          <w:type w:val="bbPlcHdr"/>
        </w:types>
        <w:behaviors>
          <w:behavior w:val="content"/>
        </w:behaviors>
        <w:description w:val=""/>
        <w:guid w:val="{4de9a6ac-97dc-4b56-9130-644bfb59d916}"/>
      </w:docPartPr>
      <w:docPartBody>
        <w:p>
          <w:r>
            <w:rPr>
              <w:color w:val="808080"/>
            </w:rPr>
            <w:t>单击此处输入文字。</w:t>
          </w:r>
        </w:p>
      </w:docPartBody>
    </w:docPart>
    <w:docPart>
      <w:docPartPr>
        <w:name w:val="{af643d47-1eda-436e-b046-b8ba4ba57bfb}"/>
        <w:style w:val=""/>
        <w:category>
          <w:name w:val="常规"/>
          <w:gallery w:val="placeholder"/>
        </w:category>
        <w:types>
          <w:type w:val="bbPlcHdr"/>
        </w:types>
        <w:behaviors>
          <w:behavior w:val="content"/>
        </w:behaviors>
        <w:description w:val=""/>
        <w:guid w:val="{af643d47-1eda-436e-b046-b8ba4ba57bfb}"/>
      </w:docPartPr>
      <w:docPartBody>
        <w:p>
          <w:r>
            <w:rPr>
              <w:color w:val="808080"/>
            </w:rPr>
            <w:t>单击此处输入文字。</w:t>
          </w:r>
        </w:p>
      </w:docPartBody>
    </w:docPart>
    <w:docPart>
      <w:docPartPr>
        <w:name w:val="{1bccc877-a698-4829-9a55-16523c9fff57}"/>
        <w:style w:val=""/>
        <w:category>
          <w:name w:val="常规"/>
          <w:gallery w:val="placeholder"/>
        </w:category>
        <w:types>
          <w:type w:val="bbPlcHdr"/>
        </w:types>
        <w:behaviors>
          <w:behavior w:val="content"/>
        </w:behaviors>
        <w:description w:val=""/>
        <w:guid w:val="{1bccc877-a698-4829-9a55-16523c9fff57}"/>
      </w:docPartPr>
      <w:docPartBody>
        <w:p>
          <w:r>
            <w:rPr>
              <w:color w:val="808080"/>
            </w:rPr>
            <w:t>单击此处输入文字。</w:t>
          </w:r>
        </w:p>
      </w:docPartBody>
    </w:docPart>
    <w:docPart>
      <w:docPartPr>
        <w:name w:val="{f9a4fd5a-e2ef-4fd5-99e0-94e50ed35958}"/>
        <w:style w:val=""/>
        <w:category>
          <w:name w:val="常规"/>
          <w:gallery w:val="placeholder"/>
        </w:category>
        <w:types>
          <w:type w:val="bbPlcHdr"/>
        </w:types>
        <w:behaviors>
          <w:behavior w:val="content"/>
        </w:behaviors>
        <w:description w:val=""/>
        <w:guid w:val="{f9a4fd5a-e2ef-4fd5-99e0-94e50ed35958}"/>
      </w:docPartPr>
      <w:docPartBody>
        <w:p>
          <w:r>
            <w:rPr>
              <w:color w:val="808080"/>
            </w:rPr>
            <w:t>单击此处输入文字。</w:t>
          </w:r>
        </w:p>
      </w:docPartBody>
    </w:docPart>
    <w:docPart>
      <w:docPartPr>
        <w:name w:val="{01baf1e1-9dbc-49b7-a9c9-933bd215d387}"/>
        <w:style w:val=""/>
        <w:category>
          <w:name w:val="常规"/>
          <w:gallery w:val="placeholder"/>
        </w:category>
        <w:types>
          <w:type w:val="bbPlcHdr"/>
        </w:types>
        <w:behaviors>
          <w:behavior w:val="content"/>
        </w:behaviors>
        <w:description w:val=""/>
        <w:guid w:val="{01baf1e1-9dbc-49b7-a9c9-933bd215d387}"/>
      </w:docPartPr>
      <w:docPartBody>
        <w:p>
          <w:r>
            <w:rPr>
              <w:color w:val="808080"/>
            </w:rPr>
            <w:t>单击此处输入文字。</w:t>
          </w:r>
        </w:p>
      </w:docPartBody>
    </w:docPart>
    <w:docPart>
      <w:docPartPr>
        <w:name w:val="{81921d8e-e13c-4c9d-b343-55cea7e3c462}"/>
        <w:style w:val=""/>
        <w:category>
          <w:name w:val="常规"/>
          <w:gallery w:val="placeholder"/>
        </w:category>
        <w:types>
          <w:type w:val="bbPlcHdr"/>
        </w:types>
        <w:behaviors>
          <w:behavior w:val="content"/>
        </w:behaviors>
        <w:description w:val=""/>
        <w:guid w:val="{81921d8e-e13c-4c9d-b343-55cea7e3c462}"/>
      </w:docPartPr>
      <w:docPartBody>
        <w:p>
          <w:r>
            <w:rPr>
              <w:color w:val="808080"/>
            </w:rPr>
            <w:t>单击此处输入文字。</w:t>
          </w:r>
        </w:p>
      </w:docPartBody>
    </w:docPart>
    <w:docPart>
      <w:docPartPr>
        <w:name w:val="{78c3de9e-ba66-4e64-bcdd-5644ed6e1a9a}"/>
        <w:style w:val=""/>
        <w:category>
          <w:name w:val="常规"/>
          <w:gallery w:val="placeholder"/>
        </w:category>
        <w:types>
          <w:type w:val="bbPlcHdr"/>
        </w:types>
        <w:behaviors>
          <w:behavior w:val="content"/>
        </w:behaviors>
        <w:description w:val=""/>
        <w:guid w:val="{78c3de9e-ba66-4e64-bcdd-5644ed6e1a9a}"/>
      </w:docPartPr>
      <w:docPartBody>
        <w:p>
          <w:r>
            <w:rPr>
              <w:color w:val="808080"/>
            </w:rPr>
            <w:t>单击此处输入文字。</w:t>
          </w:r>
        </w:p>
      </w:docPartBody>
    </w:docPart>
    <w:docPart>
      <w:docPartPr>
        <w:name w:val="{91011a45-e656-48a5-bae9-4b41bab51617}"/>
        <w:style w:val=""/>
        <w:category>
          <w:name w:val="常规"/>
          <w:gallery w:val="placeholder"/>
        </w:category>
        <w:types>
          <w:type w:val="bbPlcHdr"/>
        </w:types>
        <w:behaviors>
          <w:behavior w:val="content"/>
        </w:behaviors>
        <w:description w:val=""/>
        <w:guid w:val="{91011a45-e656-48a5-bae9-4b41bab51617}"/>
      </w:docPartPr>
      <w:docPartBody>
        <w:p>
          <w:r>
            <w:rPr>
              <w:color w:val="808080"/>
            </w:rPr>
            <w:t>单击此处输入文字。</w:t>
          </w:r>
        </w:p>
      </w:docPartBody>
    </w:docPart>
    <w:docPart>
      <w:docPartPr>
        <w:name w:val="{a04e46cc-4745-487e-920a-401581072223}"/>
        <w:style w:val=""/>
        <w:category>
          <w:name w:val="常规"/>
          <w:gallery w:val="placeholder"/>
        </w:category>
        <w:types>
          <w:type w:val="bbPlcHdr"/>
        </w:types>
        <w:behaviors>
          <w:behavior w:val="content"/>
        </w:behaviors>
        <w:description w:val=""/>
        <w:guid w:val="{a04e46cc-4745-487e-920a-401581072223}"/>
      </w:docPartPr>
      <w:docPartBody>
        <w:p>
          <w:r>
            <w:rPr>
              <w:color w:val="808080"/>
            </w:rPr>
            <w:t>单击此处输入文字。</w:t>
          </w:r>
        </w:p>
      </w:docPartBody>
    </w:docPart>
    <w:docPart>
      <w:docPartPr>
        <w:name w:val="{2dac52f0-c63f-48e3-832f-6be60c0b8d61}"/>
        <w:style w:val=""/>
        <w:category>
          <w:name w:val="常规"/>
          <w:gallery w:val="placeholder"/>
        </w:category>
        <w:types>
          <w:type w:val="bbPlcHdr"/>
        </w:types>
        <w:behaviors>
          <w:behavior w:val="content"/>
        </w:behaviors>
        <w:description w:val=""/>
        <w:guid w:val="{2dac52f0-c63f-48e3-832f-6be60c0b8d61}"/>
      </w:docPartPr>
      <w:docPartBody>
        <w:p>
          <w:r>
            <w:rPr>
              <w:color w:val="808080"/>
            </w:rPr>
            <w:t>单击此处输入文字。</w:t>
          </w:r>
        </w:p>
      </w:docPartBody>
    </w:docPart>
    <w:docPart>
      <w:docPartPr>
        <w:name w:val="{79fd6fdc-1571-4dc1-ad77-017b5983ad3f}"/>
        <w:style w:val=""/>
        <w:category>
          <w:name w:val="常规"/>
          <w:gallery w:val="placeholder"/>
        </w:category>
        <w:types>
          <w:type w:val="bbPlcHdr"/>
        </w:types>
        <w:behaviors>
          <w:behavior w:val="content"/>
        </w:behaviors>
        <w:description w:val=""/>
        <w:guid w:val="{79fd6fdc-1571-4dc1-ad77-017b5983ad3f}"/>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3977</Words>
  <Characters>4202</Characters>
  <Lines>17</Lines>
  <Paragraphs>4</Paragraphs>
  <TotalTime>6</TotalTime>
  <ScaleCrop>false</ScaleCrop>
  <LinksUpToDate>false</LinksUpToDate>
  <CharactersWithSpaces>4393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何春蓉</cp:lastModifiedBy>
  <cp:lastPrinted>2020-07-02T03:02:00Z</cp:lastPrinted>
  <dcterms:modified xsi:type="dcterms:W3CDTF">2024-06-04T04:08:56Z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EDF54C732DF144889AE7190A6ADDA57B</vt:lpwstr>
  </property>
</Properties>
</file>