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60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梁永镇人民政府</w:t>
            </w:r>
          </w:p>
          <w:p>
            <w:pPr>
              <w:keepNext w:val="0"/>
              <w:keepLines w:val="0"/>
              <w:pageBreakBefore w:val="0"/>
              <w:widowControl w:val="0"/>
              <w:kinsoku/>
              <w:wordWrap/>
              <w:overflowPunct/>
              <w:topLinePunct w:val="0"/>
              <w:autoSpaceDE/>
              <w:autoSpaceDN/>
              <w:bidi w:val="0"/>
              <w:adjustRightInd/>
              <w:snapToGrid/>
              <w:spacing w:line="600" w:lineRule="exact"/>
              <w:ind w:firstLine="2160" w:firstLineChars="600"/>
              <w:jc w:val="left"/>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楷体_GB2312" w:hAnsi="宋体" w:eastAsia="楷体_GB2312" w:cs="宋体"/>
                <w:color w:val="000000" w:themeColor="text1"/>
                <w:kern w:val="0"/>
                <w:sz w:val="28"/>
                <w:szCs w:val="28"/>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梁永镇人民政府</w:t>
            </w:r>
            <w:r>
              <w:rPr>
                <w:rFonts w:hint="eastAsia" w:ascii="楷体_GB2312" w:hAnsi="宋体" w:eastAsia="楷体_GB2312" w:cs="宋体"/>
                <w:color w:val="000000" w:themeColor="text1"/>
                <w:kern w:val="0"/>
                <w:sz w:val="28"/>
                <w:szCs w:val="28"/>
                <w14:textFill>
                  <w14:solidFill>
                    <w14:schemeClr w14:val="tx1"/>
                  </w14:solidFill>
                </w14:textFill>
              </w:rPr>
              <w:t>职能简介</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乡镇区划调整后，</w:t>
            </w:r>
            <w:r>
              <w:rPr>
                <w:rFonts w:hint="eastAsia" w:ascii="仿宋" w:hAnsi="仿宋" w:eastAsia="仿宋" w:cs="仿宋"/>
                <w:sz w:val="28"/>
                <w:szCs w:val="28"/>
                <w:lang w:val="en-US" w:eastAsia="zh-CN"/>
              </w:rPr>
              <w:t>2024</w:t>
            </w:r>
            <w:r>
              <w:rPr>
                <w:rFonts w:hint="eastAsia" w:ascii="仿宋" w:hAnsi="仿宋" w:eastAsia="仿宋" w:cs="仿宋"/>
                <w:sz w:val="28"/>
                <w:szCs w:val="28"/>
              </w:rPr>
              <w:t>年度部门</w:t>
            </w:r>
            <w:r>
              <w:rPr>
                <w:rFonts w:hint="eastAsia" w:ascii="仿宋" w:hAnsi="仿宋" w:eastAsia="仿宋" w:cs="仿宋"/>
                <w:sz w:val="28"/>
                <w:szCs w:val="28"/>
                <w:lang w:eastAsia="zh-CN"/>
              </w:rPr>
              <w:t>预算</w:t>
            </w:r>
            <w:r>
              <w:rPr>
                <w:rFonts w:hint="eastAsia" w:ascii="仿宋" w:hAnsi="仿宋" w:eastAsia="仿宋" w:cs="仿宋"/>
                <w:sz w:val="28"/>
                <w:szCs w:val="28"/>
              </w:rPr>
              <w:t>中枣林镇人民政府报表中含政府1个独立核算单位和村、社区各项收支。</w:t>
            </w:r>
          </w:p>
          <w:p>
            <w:pPr>
              <w:keepNext w:val="0"/>
              <w:keepLines w:val="0"/>
              <w:pageBreakBefore w:val="0"/>
              <w:kinsoku/>
              <w:overflowPunct/>
              <w:topLinePunct w:val="0"/>
              <w:autoSpaceDE/>
              <w:autoSpaceDN/>
              <w:bidi w:val="0"/>
              <w:adjustRightInd/>
              <w:snapToGrid/>
              <w:spacing w:line="600" w:lineRule="exact"/>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主要职能职责如下：</w:t>
            </w:r>
          </w:p>
          <w:p>
            <w:pPr>
              <w:keepNext w:val="0"/>
              <w:keepLines w:val="0"/>
              <w:pageBreakBefore w:val="0"/>
              <w:kinsoku/>
              <w:overflowPunct/>
              <w:topLinePunct w:val="0"/>
              <w:autoSpaceDE/>
              <w:autoSpaceDN/>
              <w:bidi w:val="0"/>
              <w:adjustRightInd/>
              <w:snapToGrid/>
              <w:spacing w:line="600" w:lineRule="exact"/>
              <w:ind w:firstLine="560" w:firstLineChars="200"/>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1. 贯彻执行党的路线、方针和政策，执行法律、法规、规章和上级政府的决定、命令、指示。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2.负责制定并实施本辖区经济发展规划，做好辖区内农村集体经济组织和其它经济组织的管理和服务工作；改善本辖区的投资和营商环境，为发展城市经济提供有效服务。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3.负责制定并实施街道社会发展规划，协助有关部门做好本辖区教育、文化、公共卫生、民族宗教、老龄、劳动就业、社会保障、扶困助残、社会福利、社会救济和计划生育等各项工作；负责征兵、预备役和拥军优属等工作。</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4．加强城市建设管理和综合行政监管，负责组织实施本辖区拆迁、安置工作，做好市容市貌、环境卫生、园林绿化、农贸市场、环境保护等工作；协助有关部门开展工商质监、食品药品、公共卫生、文化体育和劳动保障等监督检查工作；负责防火、防汛、防震、抢险、救灾、安全生产等日常监管工作；依据法律、法规、规章的授权，行使行政处罚权；对区域内各类专业执法工作组织开展群众监督和社会监督。          </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5.负责统筹落实社区发展的重大决策，制订并实施社区建设规划和年度计划；指导、支持社区居委会开展工作，动员各类派驻单位、社区组织和社区居民等社会力量参与社区治理；合理配置社区资源，整合辖区内各种社会力量为社区发展服务，协调解决社区建设中的困难和问题。</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6.管理乡镇财政，平衡收支预算，监督、协调街道和村、社区的经济工作；落实人力资源和社会保障、民政、教育、卫计等领域相关政策，发展公共服务事业。</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7.加强基层民主政治建设，指导辖区内社区居民（村民）委员会工作，健全自治平台，发挥基层群众性自治组织作用，开展群众性文化体育活动和爱国卫生运动。  </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8．负责辖区社会稳定、社会治安综合治理、法治建设、人民调解、法律服务、信访调处、流动人口管理，推进社区网格化管理，协助有关部门开展治安保卫工作。</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9.完成上级交办的其他任务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一、推动产业振兴</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r>
              <w:rPr>
                <w:rFonts w:hint="eastAsia" w:ascii="仿宋_GB2312" w:hAnsi="宋体" w:eastAsia="仿宋_GB2312" w:cs="宋体"/>
                <w:color w:val="000000" w:themeColor="text1"/>
                <w:kern w:val="0"/>
                <w:sz w:val="28"/>
                <w:szCs w:val="28"/>
                <w:lang w:eastAsia="zh-CN"/>
                <w14:textFill>
                  <w14:solidFill>
                    <w14:schemeClr w14:val="tx1"/>
                  </w14:solidFill>
                </w14:textFill>
              </w:rPr>
              <w:t>抓好干线巴药产业。全力抓实“巴梁”、“巴玉</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w:t>
            </w:r>
            <w:r>
              <w:rPr>
                <w:rFonts w:hint="eastAsia" w:ascii="仿宋_GB2312" w:hAnsi="宋体" w:eastAsia="仿宋_GB2312" w:cs="宋体"/>
                <w:color w:val="000000" w:themeColor="text1"/>
                <w:kern w:val="0"/>
                <w:sz w:val="28"/>
                <w:szCs w:val="28"/>
                <w:lang w:eastAsia="zh-CN"/>
                <w14:textFill>
                  <w14:solidFill>
                    <w14:schemeClr w14:val="tx1"/>
                  </w14:solidFill>
                </w14:textFill>
              </w:rPr>
              <w:t>、“梁顶”、“梁曾”四线巴药产业，达到业主、规模、管护三落实，确保提质增效。</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2、抓好产业园区建设。</w:t>
            </w:r>
            <w:r>
              <w:rPr>
                <w:rFonts w:hint="eastAsia" w:ascii="仿宋_GB2312" w:hAnsi="宋体" w:eastAsia="仿宋_GB2312" w:cs="宋体"/>
                <w:color w:val="000000" w:themeColor="text1"/>
                <w:kern w:val="0"/>
                <w:sz w:val="28"/>
                <w:szCs w:val="28"/>
                <w:lang w:eastAsia="zh-CN"/>
                <w14:textFill>
                  <w14:solidFill>
                    <w14:schemeClr w14:val="tx1"/>
                  </w14:solidFill>
                </w14:textFill>
              </w:rPr>
              <w:t>大力推进俊杰观光农业产业园、程家院生态农业旅游示范园建设，督促和指导落实精细管护，不断完善基础设施建设。</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3、抓好种养生态循环。</w:t>
            </w:r>
            <w:r>
              <w:rPr>
                <w:rFonts w:hint="eastAsia" w:ascii="仿宋_GB2312" w:hAnsi="宋体" w:eastAsia="仿宋_GB2312" w:cs="宋体"/>
                <w:color w:val="000000" w:themeColor="text1"/>
                <w:kern w:val="0"/>
                <w:sz w:val="28"/>
                <w:szCs w:val="28"/>
                <w:lang w:eastAsia="zh-CN"/>
                <w14:textFill>
                  <w14:solidFill>
                    <w14:schemeClr w14:val="tx1"/>
                  </w14:solidFill>
                </w14:textFill>
              </w:rPr>
              <w:t>督促规模养殖场落实种植发展面积（严格按照每养殖</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w:t>
            </w:r>
            <w:r>
              <w:rPr>
                <w:rFonts w:hint="eastAsia" w:ascii="仿宋_GB2312" w:hAnsi="宋体" w:eastAsia="仿宋_GB2312" w:cs="宋体"/>
                <w:color w:val="000000" w:themeColor="text1"/>
                <w:kern w:val="0"/>
                <w:sz w:val="28"/>
                <w:szCs w:val="28"/>
                <w:lang w:eastAsia="zh-CN"/>
                <w14:textFill>
                  <w14:solidFill>
                    <w14:schemeClr w14:val="tx1"/>
                  </w14:solidFill>
                </w14:textFill>
              </w:rPr>
              <w:t>头生猪流转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1亩土地），达到既带动农民增收，又有效消纳粪污。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二、推动人才振兴</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1、加大后备干部培养。每个村（社区）在农村致富带头人、退伍军人、优秀青年农民中发展党员不少于1名，培养后备干部不少于1名。</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2、加大技术技能培训。充分利用“农民夜校”，加大对农民种养殖技术和农民工技能培训。</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3、加大回引返乡创业。大力招引在外务工成功人士返乡创业，每村至少招引返乡创业1名。</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三、推动文化振兴</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1、开展文明创建活动。深入宣传社会主义核心价值观，广泛开展“文明家庭”“农村乡贤”“身边好人”等评选活动。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2、丰富群众文化生活。大力支持鼓励举办群众性文艺演出。</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3、大力开展移风易俗。重点遏制大操大办各类酒席、人情攀比等陋习。</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四、推动生态振兴</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1、打好“碧水保卫战”。全面落实“河长制”，层层压实责任，常态开展巡河（湖）。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2、打好“蓝天保卫战”。持续加压推进秸秆和露天垃圾禁烧。</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3、打好“净土保卫战”。推进“农村厕所革命”和聚居点污水处理，加大监管规模养殖场排污。</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五、推动组织振兴</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1、突出政治思想建设。深入学习贯彻党的十九届五中全会和省市区最新全会精神。</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2、抓好基层组织建设。实施好镇、村（社区）两级换届，选优配强镇村两级班子；加大对村组干部教育管理和培训。</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3、加强乡村法制建设。开展“法律七进”活动；深入推进“四议四评四调”。</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梁永镇人民政府属于一级预算单位，</w:t>
            </w:r>
            <w:r>
              <w:rPr>
                <w:rFonts w:hint="eastAsia" w:ascii="仿宋_GB2312" w:hAnsi="宋体" w:eastAsia="仿宋_GB2312" w:cs="宋体"/>
                <w:color w:val="000000" w:themeColor="text1"/>
                <w:kern w:val="0"/>
                <w:sz w:val="28"/>
                <w:szCs w:val="28"/>
                <w14:textFill>
                  <w14:solidFill>
                    <w14:schemeClr w14:val="tx1"/>
                  </w14:solidFill>
                </w14:textFill>
              </w:rPr>
              <w:t>下属二级预算单位</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w:t>
            </w:r>
            <w:r>
              <w:rPr>
                <w:rFonts w:hint="eastAsia" w:ascii="仿宋_GB2312" w:hAnsi="宋体" w:eastAsia="仿宋_GB2312" w:cs="宋体"/>
                <w:color w:val="000000" w:themeColor="text1"/>
                <w:kern w:val="0"/>
                <w:sz w:val="28"/>
                <w:szCs w:val="28"/>
                <w14:textFill>
                  <w14:solidFill>
                    <w14:schemeClr w14:val="tx1"/>
                  </w14:solidFill>
                </w14:textFill>
              </w:rPr>
              <w:t>个，其中行政单位</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w:t>
            </w:r>
            <w:r>
              <w:rPr>
                <w:rFonts w:hint="eastAsia" w:ascii="仿宋_GB2312" w:hAnsi="宋体" w:eastAsia="仿宋_GB2312" w:cs="宋体"/>
                <w:color w:val="000000" w:themeColor="text1"/>
                <w:kern w:val="0"/>
                <w:sz w:val="28"/>
                <w:szCs w:val="28"/>
                <w14:textFill>
                  <w14:solidFill>
                    <w14:schemeClr w14:val="tx1"/>
                  </w14:solidFill>
                </w14:textFill>
              </w:rPr>
              <w:t>个，其他事业单位</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color w:val="000000" w:themeColor="text1"/>
                <w:kern w:val="0"/>
                <w:sz w:val="28"/>
                <w:szCs w:val="28"/>
                <w14:textFill>
                  <w14:solidFill>
                    <w14:schemeClr w14:val="tx1"/>
                  </w14:solidFill>
                </w14:textFill>
              </w:rPr>
              <w:t>个。主要包括：</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梁永镇人民政府财政所、梁永镇便民服务中心、梁永镇农业综合服务中心、梁永镇农民工服务中心、梁永镇公共事务服务中心</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1006.93</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92.3</w:t>
            </w:r>
            <w:r>
              <w:rPr>
                <w:rFonts w:hint="eastAsia" w:ascii="仿宋_GB2312" w:hAnsi="宋体" w:eastAsia="仿宋_GB2312" w:cs="宋体"/>
                <w:color w:val="000000" w:themeColor="text1"/>
                <w:kern w:val="0"/>
                <w:sz w:val="28"/>
                <w:szCs w:val="28"/>
                <w14:textFill>
                  <w14:solidFill>
                    <w14:schemeClr w14:val="tx1"/>
                  </w14:solidFill>
                </w14:textFill>
              </w:rPr>
              <w:t>%；项目支出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84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7.7</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万元；支出包括：（一般公共服务支出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480.75</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40.41</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、卫生健康支出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25.05</w:t>
            </w:r>
            <w:r>
              <w:rPr>
                <w:rFonts w:hint="eastAsia" w:ascii="仿宋_GB2312" w:hAnsi="宋体" w:eastAsia="仿宋_GB2312" w:cs="宋体"/>
                <w:color w:val="000000" w:themeColor="text1"/>
                <w:kern w:val="0"/>
                <w:sz w:val="28"/>
                <w:szCs w:val="28"/>
                <w14:textFill>
                  <w14:solidFill>
                    <w14:schemeClr w14:val="tx1"/>
                  </w14:solidFill>
                </w14:textFill>
              </w:rPr>
              <w:t>万元、城乡社区支出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137.33万元 、农林水支出372.64万元、</w:t>
            </w:r>
            <w:r>
              <w:rPr>
                <w:rFonts w:hint="eastAsia" w:ascii="仿宋_GB2312" w:hAnsi="宋体" w:eastAsia="仿宋_GB2312" w:cs="宋体"/>
                <w:color w:val="000000" w:themeColor="text1"/>
                <w:kern w:val="0"/>
                <w:sz w:val="28"/>
                <w:szCs w:val="28"/>
                <w14:textFill>
                  <w14:solidFill>
                    <w14:schemeClr w14:val="tx1"/>
                  </w14:solidFill>
                </w14:textFill>
              </w:rPr>
              <w:t>住房保障支出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34.76</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　（一）一般公共预算当年拨款规模变化情况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梁永镇人民政府2024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68.71</w:t>
            </w:r>
            <w:r>
              <w:rPr>
                <w:rFonts w:hint="eastAsia" w:ascii="仿宋_GB2312" w:hAnsi="宋体" w:eastAsia="仿宋_GB2312" w:cs="宋体"/>
                <w:color w:val="000000" w:themeColor="text1"/>
                <w:kern w:val="0"/>
                <w:sz w:val="28"/>
                <w:szCs w:val="28"/>
                <w14:textFill>
                  <w14:solidFill>
                    <w14:schemeClr w14:val="tx1"/>
                  </w14:solidFill>
                </w14:textFill>
              </w:rPr>
              <w:t>万元。主要是</w:t>
            </w:r>
            <w:r>
              <w:rPr>
                <w:rFonts w:hint="eastAsia" w:ascii="仿宋_GB2312" w:hAnsi="宋体" w:eastAsia="仿宋_GB2312" w:cs="宋体"/>
                <w:color w:val="000000" w:themeColor="text1"/>
                <w:kern w:val="0"/>
                <w:sz w:val="28"/>
                <w:szCs w:val="28"/>
                <w:lang w:eastAsia="zh-CN"/>
                <w14:textFill>
                  <w14:solidFill>
                    <w14:schemeClr w14:val="tx1"/>
                  </w14:solidFill>
                </w14:textFill>
              </w:rPr>
              <w:t>村社合并以及项目的增少。</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1006.93</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92.3</w:t>
            </w:r>
            <w:r>
              <w:rPr>
                <w:rFonts w:hint="eastAsia" w:ascii="仿宋_GB2312" w:hAnsi="宋体" w:eastAsia="仿宋_GB2312" w:cs="宋体"/>
                <w:color w:val="000000" w:themeColor="text1"/>
                <w:kern w:val="0"/>
                <w:sz w:val="28"/>
                <w:szCs w:val="28"/>
                <w14:textFill>
                  <w14:solidFill>
                    <w14:schemeClr w14:val="tx1"/>
                  </w14:solidFill>
                </w14:textFill>
              </w:rPr>
              <w:t>%；项目支出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84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7.7</w:t>
            </w:r>
            <w:r>
              <w:rPr>
                <w:rFonts w:hint="eastAsia" w:ascii="仿宋_GB2312" w:hAnsi="宋体" w:eastAsia="仿宋_GB2312" w:cs="宋体"/>
                <w:color w:val="000000" w:themeColor="text1"/>
                <w:kern w:val="0"/>
                <w:sz w:val="28"/>
                <w:szCs w:val="28"/>
                <w14:textFill>
                  <w14:solidFill>
                    <w14:schemeClr w14:val="tx1"/>
                  </w14:solidFill>
                </w14:textFill>
              </w:rPr>
              <w:t>%</w:t>
            </w:r>
            <w:r>
              <w:rPr>
                <w:rFonts w:hint="eastAsia" w:ascii="仿宋_GB2312" w:hAnsi="宋体" w:eastAsia="仿宋_GB2312" w:cs="宋体"/>
                <w:color w:val="000000" w:themeColor="text1"/>
                <w:kern w:val="0"/>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4"/>
                <w:szCs w:val="24"/>
                <w14:textFill>
                  <w14:solidFill>
                    <w14:schemeClr w14:val="tx1"/>
                  </w14:solidFill>
                </w14:textFill>
              </w:rPr>
              <w:t>　</w:t>
            </w:r>
            <w:r>
              <w:rPr>
                <w:rFonts w:hint="eastAsia" w:ascii="仿宋_GB2312" w:hAnsi="宋体" w:eastAsia="仿宋_GB2312" w:cs="宋体"/>
                <w:b/>
                <w:bCs/>
                <w:color w:val="000000" w:themeColor="text1"/>
                <w:kern w:val="0"/>
                <w:sz w:val="24"/>
                <w:szCs w:val="24"/>
                <w14:textFill>
                  <w14:solidFill>
                    <w14:schemeClr w14:val="tx1"/>
                  </w14:solidFill>
                </w14:textFill>
              </w:rPr>
              <w:t>1.</w:t>
            </w:r>
            <w:r>
              <w:rPr>
                <w:rFonts w:ascii="方正小标宋简体" w:hAnsi="宋体" w:eastAsia="方正小标宋简体" w:cs="宋体"/>
                <w:color w:val="000000" w:themeColor="text1"/>
                <w:kern w:val="0"/>
                <w:sz w:val="24"/>
                <w:szCs w:val="24"/>
                <w14:textFill>
                  <w14:solidFill>
                    <w14:schemeClr w14:val="tx1"/>
                  </w14:solidFill>
                </w14:textFill>
              </w:rPr>
              <w:t xml:space="preserve"> </w:t>
            </w:r>
            <w:r>
              <w:rPr>
                <w:rFonts w:hint="eastAsia" w:ascii="仿宋_GB2312" w:hAnsi="宋体" w:eastAsia="仿宋_GB2312" w:cs="宋体"/>
                <w:b/>
                <w:bCs/>
                <w:color w:val="000000" w:themeColor="text1"/>
                <w:kern w:val="0"/>
                <w:sz w:val="24"/>
                <w:szCs w:val="24"/>
                <w14:textFill>
                  <w14:solidFill>
                    <w14:schemeClr w14:val="tx1"/>
                  </w14:solidFill>
                </w14:textFill>
              </w:rPr>
              <w:t>一般公共服务（类）</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人大事务</w:t>
            </w:r>
            <w:r>
              <w:rPr>
                <w:rFonts w:hint="eastAsia" w:ascii="仿宋_GB2312" w:hAnsi="宋体" w:eastAsia="仿宋_GB2312" w:cs="宋体"/>
                <w:b/>
                <w:bCs/>
                <w:color w:val="000000" w:themeColor="text1"/>
                <w:kern w:val="0"/>
                <w:sz w:val="24"/>
                <w:szCs w:val="24"/>
                <w14:textFill>
                  <w14:solidFill>
                    <w14:schemeClr w14:val="tx1"/>
                  </w14:solidFill>
                </w14:textFill>
              </w:rPr>
              <w:t>（款）</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行政运行</w:t>
            </w:r>
            <w:r>
              <w:rPr>
                <w:rFonts w:hint="eastAsia" w:ascii="仿宋_GB2312" w:hAnsi="宋体" w:eastAsia="仿宋_GB2312" w:cs="宋体"/>
                <w:b/>
                <w:bCs/>
                <w:color w:val="000000" w:themeColor="text1"/>
                <w:kern w:val="0"/>
                <w:sz w:val="24"/>
                <w:szCs w:val="24"/>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16.21</w:t>
            </w:r>
            <w:r>
              <w:rPr>
                <w:rFonts w:hint="eastAsia" w:ascii="仿宋_GB2312" w:hAnsi="宋体" w:eastAsia="仿宋_GB2312" w:cs="宋体"/>
                <w:color w:val="000000" w:themeColor="text1"/>
                <w:kern w:val="0"/>
                <w:sz w:val="28"/>
                <w:szCs w:val="28"/>
                <w14:textFill>
                  <w14:solidFill>
                    <w14:schemeClr w14:val="tx1"/>
                  </w14:solidFill>
                </w14:textFill>
              </w:rPr>
              <w:t>万元，主要用于：机关及所属单位正常运转的基本支出，包括基本工资、津贴补贴等人员经费以及办公费等日常公用经费。</w:t>
            </w:r>
          </w:p>
          <w:p>
            <w:pPr>
              <w:keepNext w:val="0"/>
              <w:keepLines w:val="0"/>
              <w:pageBreakBefore w:val="0"/>
              <w:widowControl w:val="0"/>
              <w:kinsoku/>
              <w:wordWrap/>
              <w:overflowPunct/>
              <w:topLinePunct w:val="0"/>
              <w:autoSpaceDE/>
              <w:autoSpaceDN/>
              <w:bidi w:val="0"/>
              <w:adjustRightInd/>
              <w:snapToGrid/>
              <w:spacing w:line="600" w:lineRule="exact"/>
              <w:ind w:firstLine="56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4"/>
                <w:szCs w:val="24"/>
                <w14:textFill>
                  <w14:solidFill>
                    <w14:schemeClr w14:val="tx1"/>
                  </w14:solidFill>
                </w14:textFill>
              </w:rPr>
              <w:t>2. 一般公共服务（类）政府办公厅（室）及相关机构事务（款）行政运行（项）: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290.88</w:t>
            </w:r>
            <w:r>
              <w:rPr>
                <w:rFonts w:hint="eastAsia" w:ascii="仿宋_GB2312" w:hAnsi="宋体" w:eastAsia="仿宋_GB2312" w:cs="宋体"/>
                <w:color w:val="000000" w:themeColor="text1"/>
                <w:kern w:val="0"/>
                <w:sz w:val="28"/>
                <w:szCs w:val="28"/>
                <w14:textFill>
                  <w14:solidFill>
                    <w14:schemeClr w14:val="tx1"/>
                  </w14:solidFill>
                </w14:textFill>
              </w:rPr>
              <w:t>万元，主要用于：机关及所属单位正常运转的基本支出，包括基本工资、津贴补贴等人员经费以及办公费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、培训费、电费、水费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1"/>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bidi="ar-SA"/>
                <w14:textFill>
                  <w14:solidFill>
                    <w14:schemeClr w14:val="tx1"/>
                  </w14:solidFill>
                </w14:textFill>
              </w:rPr>
              <w:t>3.</w:t>
            </w:r>
            <w:r>
              <w:rPr>
                <w:rFonts w:hint="eastAsia" w:ascii="仿宋_GB2312" w:hAnsi="宋体" w:eastAsia="仿宋_GB2312" w:cs="宋体"/>
                <w:b/>
                <w:bCs/>
                <w:color w:val="000000" w:themeColor="text1"/>
                <w:kern w:val="0"/>
                <w:sz w:val="24"/>
                <w:szCs w:val="24"/>
                <w:lang w:val="en-US" w:eastAsia="zh-CN" w:bidi="ar-SA"/>
                <w14:textFill>
                  <w14:solidFill>
                    <w14:schemeClr w14:val="tx1"/>
                  </w14:solidFill>
                </w14:textFill>
              </w:rPr>
              <w:t>一般公共服务（类）政府办公厅（室）及相关机构事务（款）一般行政管理事务（项）：</w:t>
            </w: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2024年预算数为50万元，主要用于：机关及所属单位正常运转的基本支出，包括基本工资、津贴补贴等人员经费以及办公费、培训费、电费、水费等日常公用经费。</w:t>
            </w:r>
          </w:p>
          <w:p>
            <w:pPr>
              <w:keepNext w:val="0"/>
              <w:keepLines w:val="0"/>
              <w:pageBreakBefore w:val="0"/>
              <w:kinsoku/>
              <w:overflowPunct/>
              <w:topLinePunct w:val="0"/>
              <w:autoSpaceDE/>
              <w:autoSpaceDN/>
              <w:bidi w:val="0"/>
              <w:adjustRightInd/>
              <w:snapToGrid/>
              <w:spacing w:line="600" w:lineRule="exact"/>
              <w:ind w:firstLine="482" w:firstLineChars="200"/>
              <w:textAlignment w:val="auto"/>
              <w:rPr>
                <w:rStyle w:val="7"/>
                <w:rFonts w:hint="eastAsia" w:ascii="仿宋" w:hAnsi="仿宋" w:eastAsia="仿宋_GB2312"/>
                <w:bCs/>
                <w:color w:val="000000"/>
                <w:sz w:val="32"/>
                <w:szCs w:val="32"/>
                <w:lang w:val="en-US" w:eastAsia="zh-CN"/>
              </w:rPr>
            </w:pPr>
            <w:r>
              <w:rPr>
                <w:rStyle w:val="7"/>
                <w:rFonts w:hint="eastAsia" w:ascii="仿宋" w:hAnsi="仿宋" w:eastAsia="仿宋"/>
                <w:bCs/>
                <w:color w:val="000000"/>
                <w:sz w:val="24"/>
                <w:szCs w:val="24"/>
                <w:lang w:val="en-US" w:eastAsia="zh-CN"/>
              </w:rPr>
              <w:t>4.</w:t>
            </w:r>
            <w:r>
              <w:rPr>
                <w:rStyle w:val="7"/>
                <w:rFonts w:hint="eastAsia" w:ascii="仿宋" w:hAnsi="仿宋" w:eastAsia="仿宋"/>
                <w:bCs/>
                <w:color w:val="000000"/>
                <w:sz w:val="24"/>
                <w:szCs w:val="24"/>
              </w:rPr>
              <w:t>一般公共服务（类）纪检监察事务（款）行政运行（项）: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95.77</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w:t>
            </w:r>
            <w:r>
              <w:rPr>
                <w:rFonts w:hint="eastAsia" w:ascii="仿宋_GB2312" w:hAnsi="宋体" w:eastAsia="仿宋_GB2312" w:cs="宋体"/>
                <w:color w:val="000000" w:themeColor="text1"/>
                <w:kern w:val="0"/>
                <w:sz w:val="28"/>
                <w:szCs w:val="28"/>
                <w14:textFill>
                  <w14:solidFill>
                    <w14:schemeClr w14:val="tx1"/>
                  </w14:solidFill>
                </w14:textFill>
              </w:rPr>
              <w:t>机关及所属单位正常运转的基本支出，包括基本工资、津贴补贴等人员经费以及办公费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、培训费、电费、水费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left"/>
              <w:textAlignment w:val="auto"/>
              <w:rPr>
                <w:rStyle w:val="7"/>
                <w:rFonts w:hint="eastAsia" w:ascii="仿宋" w:hAnsi="仿宋" w:eastAsia="仿宋_GB2312"/>
                <w:bCs/>
                <w:color w:val="000000"/>
                <w:sz w:val="32"/>
                <w:szCs w:val="32"/>
                <w:lang w:eastAsia="zh-CN"/>
              </w:rPr>
            </w:pPr>
            <w:r>
              <w:rPr>
                <w:rStyle w:val="7"/>
                <w:rFonts w:hint="eastAsia" w:ascii="仿宋" w:hAnsi="仿宋" w:eastAsia="仿宋"/>
                <w:bCs/>
                <w:color w:val="000000"/>
                <w:sz w:val="24"/>
                <w:szCs w:val="24"/>
                <w:lang w:val="en-US" w:eastAsia="zh-CN"/>
              </w:rPr>
              <w:t>5</w:t>
            </w:r>
            <w:r>
              <w:rPr>
                <w:rStyle w:val="7"/>
                <w:rFonts w:hint="eastAsia" w:ascii="仿宋" w:hAnsi="仿宋" w:eastAsia="仿宋"/>
                <w:bCs/>
                <w:color w:val="000000"/>
                <w:sz w:val="24"/>
                <w:szCs w:val="24"/>
              </w:rPr>
              <w:t>.一般公共服务（类）党委办公厅（室）及相关机构事务（款）行政运行（项）: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27.89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w:t>
            </w:r>
            <w:r>
              <w:rPr>
                <w:rFonts w:hint="eastAsia" w:ascii="仿宋_GB2312" w:hAnsi="宋体" w:eastAsia="仿宋_GB2312" w:cs="宋体"/>
                <w:color w:val="000000" w:themeColor="text1"/>
                <w:kern w:val="0"/>
                <w:sz w:val="28"/>
                <w:szCs w:val="28"/>
                <w14:textFill>
                  <w14:solidFill>
                    <w14:schemeClr w14:val="tx1"/>
                  </w14:solidFill>
                </w14:textFill>
              </w:rPr>
              <w:t>主要用于：机关及所属单位正常运转的基本支出，包括基本工资、津贴补贴等人员经费以及办公费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、差旅费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Style w:val="7"/>
                <w:rFonts w:hint="eastAsia" w:ascii="仿宋" w:hAnsi="仿宋" w:eastAsia="仿宋"/>
                <w:bCs/>
                <w:color w:val="000000"/>
                <w:sz w:val="24"/>
                <w:szCs w:val="24"/>
                <w:lang w:val="en-US" w:eastAsia="zh-CN"/>
              </w:rPr>
              <w:t>6.</w:t>
            </w:r>
            <w:r>
              <w:rPr>
                <w:rFonts w:hint="eastAsia" w:ascii="仿宋_GB2312" w:hAnsi="宋体" w:eastAsia="仿宋_GB2312" w:cs="宋体"/>
                <w:b/>
                <w:bCs/>
                <w:color w:val="000000" w:themeColor="text1"/>
                <w:kern w:val="0"/>
                <w:sz w:val="24"/>
                <w:szCs w:val="24"/>
                <w14:textFill>
                  <w14:solidFill>
                    <w14:schemeClr w14:val="tx1"/>
                  </w14:solidFill>
                </w14:textFill>
              </w:rPr>
              <w:t>社会保障和就业（类）行政事业</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单位养老</w:t>
            </w:r>
            <w:r>
              <w:rPr>
                <w:rFonts w:hint="eastAsia" w:ascii="仿宋_GB2312" w:hAnsi="宋体" w:eastAsia="仿宋_GB2312" w:cs="宋体"/>
                <w:b/>
                <w:bCs/>
                <w:color w:val="000000" w:themeColor="text1"/>
                <w:kern w:val="0"/>
                <w:sz w:val="24"/>
                <w:szCs w:val="24"/>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40.41</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7.</w:t>
            </w:r>
            <w:r>
              <w:rPr>
                <w:rFonts w:hint="eastAsia" w:ascii="仿宋_GB2312" w:hAnsi="宋体" w:eastAsia="仿宋_GB2312" w:cs="宋体"/>
                <w:b/>
                <w:bCs/>
                <w:color w:val="000000" w:themeColor="text1"/>
                <w:kern w:val="0"/>
                <w:sz w:val="24"/>
                <w:szCs w:val="24"/>
                <w14:textFill>
                  <w14:solidFill>
                    <w14:schemeClr w14:val="tx1"/>
                  </w14:solidFill>
                </w14:textFill>
              </w:rPr>
              <w:t>卫生健康支出</w:t>
            </w: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4"/>
                <w:szCs w:val="24"/>
                <w14:textFill>
                  <w14:solidFill>
                    <w14:schemeClr w14:val="tx1"/>
                  </w14:solidFill>
                </w14:textFill>
              </w:rPr>
              <w:t>（类）行政事业单位医疗（款）行政单位医疗（项）: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25.05</w:t>
            </w:r>
            <w:r>
              <w:rPr>
                <w:rFonts w:hint="eastAsia" w:ascii="仿宋_GB2312" w:hAnsi="宋体" w:eastAsia="仿宋_GB2312" w:cs="宋体"/>
                <w:color w:val="000000" w:themeColor="text1"/>
                <w:kern w:val="0"/>
                <w:sz w:val="28"/>
                <w:szCs w:val="28"/>
                <w14:textFill>
                  <w14:solidFill>
                    <w14:schemeClr w14:val="tx1"/>
                  </w14:solidFill>
                </w14:textFill>
              </w:rPr>
              <w:t>万元，主要用于： 机关及参公管理事业单位基本医疗保险缴费支出。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8.城乡社区支出</w:t>
            </w:r>
            <w:r>
              <w:rPr>
                <w:rFonts w:hint="eastAsia" w:ascii="仿宋_GB2312" w:hAnsi="宋体" w:eastAsia="仿宋_GB2312" w:cs="宋体"/>
                <w:b/>
                <w:bCs/>
                <w:color w:val="000000" w:themeColor="text1"/>
                <w:kern w:val="0"/>
                <w:sz w:val="24"/>
                <w:szCs w:val="24"/>
                <w14:textFill>
                  <w14:solidFill>
                    <w14:schemeClr w14:val="tx1"/>
                  </w14:solidFill>
                </w14:textFill>
              </w:rPr>
              <w:t>（类）城乡社区管理事务（款）其他城乡社区管理事务支出（项）: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103.33</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主要用于社区基本运转和干部生活补助。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9.城乡社区支出</w:t>
            </w:r>
            <w:r>
              <w:rPr>
                <w:rFonts w:hint="eastAsia" w:ascii="仿宋_GB2312" w:hAnsi="宋体" w:eastAsia="仿宋_GB2312" w:cs="宋体"/>
                <w:b/>
                <w:bCs/>
                <w:color w:val="000000" w:themeColor="text1"/>
                <w:kern w:val="0"/>
                <w:sz w:val="24"/>
                <w:szCs w:val="24"/>
                <w14:textFill>
                  <w14:solidFill>
                    <w14:schemeClr w14:val="tx1"/>
                  </w14:solidFill>
                </w14:textFill>
              </w:rPr>
              <w:t>（类</w:t>
            </w: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）城乡社区环境卫生（款）城乡社区环境卫生（</w:t>
            </w:r>
            <w:r>
              <w:rPr>
                <w:rFonts w:hint="eastAsia" w:ascii="仿宋_GB2312" w:hAnsi="宋体" w:eastAsia="仿宋_GB2312" w:cs="宋体"/>
                <w:b/>
                <w:bCs/>
                <w:color w:val="000000" w:themeColor="text1"/>
                <w:kern w:val="0"/>
                <w:sz w:val="24"/>
                <w:szCs w:val="24"/>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34</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主要用于社区基本运转和干部生活补助。</w:t>
            </w:r>
          </w:p>
          <w:p>
            <w:pPr>
              <w:pStyle w:val="2"/>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eastAsia="仿宋_GB2312"/>
                <w:lang w:eastAsia="zh-CN"/>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10.农林水支出</w:t>
            </w:r>
            <w:r>
              <w:rPr>
                <w:rFonts w:hint="eastAsia" w:ascii="仿宋_GB2312" w:hAnsi="宋体" w:eastAsia="仿宋_GB2312" w:cs="宋体"/>
                <w:b/>
                <w:bCs/>
                <w:color w:val="000000" w:themeColor="text1"/>
                <w:kern w:val="0"/>
                <w:sz w:val="24"/>
                <w:szCs w:val="24"/>
                <w14:textFill>
                  <w14:solidFill>
                    <w14:schemeClr w14:val="tx1"/>
                  </w14:solidFill>
                </w14:textFill>
              </w:rPr>
              <w:t>（类）</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农村综合改革</w:t>
            </w:r>
            <w:r>
              <w:rPr>
                <w:rFonts w:hint="eastAsia" w:ascii="仿宋_GB2312" w:hAnsi="宋体" w:eastAsia="仿宋_GB2312" w:cs="宋体"/>
                <w:b/>
                <w:bCs/>
                <w:color w:val="000000" w:themeColor="text1"/>
                <w:kern w:val="0"/>
                <w:sz w:val="24"/>
                <w:szCs w:val="24"/>
                <w14:textFill>
                  <w14:solidFill>
                    <w14:schemeClr w14:val="tx1"/>
                  </w14:solidFill>
                </w14:textFill>
              </w:rPr>
              <w:t>（款）</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对村民委员会和村党支部的补助</w:t>
            </w:r>
            <w:r>
              <w:rPr>
                <w:rFonts w:hint="eastAsia" w:ascii="仿宋_GB2312" w:hAnsi="宋体" w:eastAsia="仿宋_GB2312" w:cs="宋体"/>
                <w:b/>
                <w:bCs/>
                <w:color w:val="000000" w:themeColor="text1"/>
                <w:kern w:val="0"/>
                <w:sz w:val="24"/>
                <w:szCs w:val="24"/>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252.64</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，主要用于农村干部生活补助。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11.农林水支出</w:t>
            </w:r>
            <w:r>
              <w:rPr>
                <w:rFonts w:hint="eastAsia" w:ascii="仿宋_GB2312" w:hAnsi="宋体" w:eastAsia="仿宋_GB2312" w:cs="宋体"/>
                <w:b/>
                <w:bCs/>
                <w:color w:val="000000" w:themeColor="text1"/>
                <w:kern w:val="0"/>
                <w:sz w:val="24"/>
                <w:szCs w:val="24"/>
                <w14:textFill>
                  <w14:solidFill>
                    <w14:schemeClr w14:val="tx1"/>
                  </w14:solidFill>
                </w14:textFill>
              </w:rPr>
              <w:t>（类）</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农村综合改革</w:t>
            </w:r>
            <w:r>
              <w:rPr>
                <w:rFonts w:hint="eastAsia" w:ascii="仿宋_GB2312" w:hAnsi="宋体" w:eastAsia="仿宋_GB2312" w:cs="宋体"/>
                <w:b/>
                <w:bCs/>
                <w:color w:val="000000" w:themeColor="text1"/>
                <w:kern w:val="0"/>
                <w:sz w:val="24"/>
                <w:szCs w:val="24"/>
                <w14:textFill>
                  <w14:solidFill>
                    <w14:schemeClr w14:val="tx1"/>
                  </w14:solidFill>
                </w14:textFill>
              </w:rPr>
              <w:t>（款）</w:t>
            </w:r>
            <w:r>
              <w:rPr>
                <w:rFonts w:hint="eastAsia" w:ascii="仿宋_GB2312" w:hAnsi="宋体" w:eastAsia="仿宋_GB2312" w:cs="宋体"/>
                <w:b/>
                <w:bCs/>
                <w:color w:val="000000" w:themeColor="text1"/>
                <w:kern w:val="0"/>
                <w:sz w:val="24"/>
                <w:szCs w:val="24"/>
                <w:lang w:eastAsia="zh-CN"/>
                <w14:textFill>
                  <w14:solidFill>
                    <w14:schemeClr w14:val="tx1"/>
                  </w14:solidFill>
                </w14:textFill>
              </w:rPr>
              <w:t>农村综合改革示范试点补助</w:t>
            </w:r>
            <w:r>
              <w:rPr>
                <w:rFonts w:hint="eastAsia" w:ascii="仿宋_GB2312" w:hAnsi="宋体" w:eastAsia="仿宋_GB2312" w:cs="宋体"/>
                <w:b/>
                <w:bCs/>
                <w:color w:val="000000" w:themeColor="text1"/>
                <w:kern w:val="0"/>
                <w:sz w:val="24"/>
                <w:szCs w:val="24"/>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120.00</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，主要用于农村基本运转。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48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4"/>
                <w:szCs w:val="24"/>
                <w:lang w:val="en-US" w:eastAsia="zh-CN"/>
                <w14:textFill>
                  <w14:solidFill>
                    <w14:schemeClr w14:val="tx1"/>
                  </w14:solidFill>
                </w14:textFill>
              </w:rPr>
              <w:t>12.</w:t>
            </w:r>
            <w:r>
              <w:rPr>
                <w:rFonts w:hint="eastAsia" w:ascii="仿宋_GB2312" w:hAnsi="宋体" w:eastAsia="仿宋_GB2312" w:cs="宋体"/>
                <w:b/>
                <w:bCs/>
                <w:color w:val="000000" w:themeColor="text1"/>
                <w:kern w:val="0"/>
                <w:sz w:val="24"/>
                <w:szCs w:val="24"/>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34.76</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1006.93</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743.62</w:t>
            </w:r>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263.31</w:t>
            </w:r>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lang w:eastAsia="zh-CN"/>
                <w14:textFill>
                  <w14:solidFill>
                    <w14:schemeClr w14:val="tx1"/>
                  </w14:solidFill>
                </w14:textFill>
              </w:rPr>
              <w:t>七</w:t>
            </w:r>
            <w:r>
              <w:rPr>
                <w:rFonts w:hint="eastAsia" w:ascii="黑体" w:hAnsi="黑体" w:eastAsia="黑体" w:cs="宋体"/>
                <w:color w:val="000000" w:themeColor="text1"/>
                <w:kern w:val="0"/>
                <w:sz w:val="28"/>
                <w:szCs w:val="28"/>
                <w14:textFill>
                  <w14:solidFill>
                    <w14:schemeClr w14:val="tx1"/>
                  </w14:solidFill>
                </w14:textFill>
              </w:rPr>
              <w:t>、</w:t>
            </w:r>
            <w:r>
              <w:rPr>
                <w:rFonts w:hint="eastAsia" w:ascii="黑体" w:hAnsi="黑体" w:eastAsia="黑体" w:cs="宋体"/>
                <w:color w:val="000000" w:themeColor="text1"/>
                <w:kern w:val="0"/>
                <w:sz w:val="28"/>
                <w:szCs w:val="28"/>
                <w:lang w:eastAsia="zh-CN"/>
                <w14:textFill>
                  <w14:solidFill>
                    <w14:schemeClr w14:val="tx1"/>
                  </w14:solidFill>
                </w14:textFill>
              </w:rPr>
              <w:t>项目</w:t>
            </w:r>
            <w:r>
              <w:rPr>
                <w:rFonts w:hint="eastAsia" w:ascii="黑体" w:hAnsi="黑体" w:eastAsia="黑体" w:cs="宋体"/>
                <w:color w:val="000000" w:themeColor="text1"/>
                <w:kern w:val="0"/>
                <w:sz w:val="28"/>
                <w:szCs w:val="28"/>
                <w14:textFill>
                  <w14:solidFill>
                    <w14:schemeClr w14:val="tx1"/>
                  </w14:solidFill>
                </w14:textFill>
              </w:rPr>
              <w:t>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14:textFill>
                  <w14:solidFill>
                    <w14:schemeClr w14:val="tx1"/>
                  </w14:solidFill>
                </w14:textFill>
              </w:rPr>
            </w:pPr>
            <w:r>
              <w:rPr>
                <w:rFonts w:hint="eastAsia" w:ascii="仿宋_GB2312" w:hAnsi="宋体" w:eastAsia="仿宋_GB2312" w:cs="宋体"/>
                <w:color w:val="000000" w:themeColor="text1"/>
                <w:kern w:val="0"/>
                <w:sz w:val="28"/>
                <w:szCs w:val="28"/>
                <w:lang w:eastAsia="zh-CN"/>
                <w14:textFill>
                  <w14:solidFill>
                    <w14:schemeClr w14:val="tx1"/>
                  </w14:solidFill>
                </w14:textFill>
              </w:rPr>
              <w:t>项目支出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84万元，主要用于乡镇基本财力保障激励奖补资金项目支出。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lang w:eastAsia="zh-CN"/>
                <w14:textFill>
                  <w14:solidFill>
                    <w14:schemeClr w14:val="tx1"/>
                  </w14:solidFill>
                </w14:textFill>
              </w:rPr>
              <w:t>八</w:t>
            </w:r>
            <w:r>
              <w:rPr>
                <w:rFonts w:hint="eastAsia" w:ascii="黑体" w:hAnsi="黑体" w:eastAsia="黑体" w:cs="宋体"/>
                <w:color w:val="000000" w:themeColor="text1"/>
                <w:kern w:val="0"/>
                <w:sz w:val="28"/>
                <w:szCs w:val="28"/>
                <w14:textFill>
                  <w14:solidFill>
                    <w14:schemeClr w14:val="tx1"/>
                  </w14:solidFill>
                </w14:textFill>
              </w:rPr>
              <w:t>、“三公”经费财政拨款预算安排情况说明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lang w:eastAsia="zh-CN"/>
                <w14:textFill>
                  <w14:solidFill>
                    <w14:schemeClr w14:val="tx1"/>
                  </w14:solidFill>
                </w14:textFill>
              </w:rPr>
              <w:t>九</w:t>
            </w:r>
            <w:r>
              <w:rPr>
                <w:rFonts w:hint="eastAsia" w:ascii="黑体" w:hAnsi="黑体" w:eastAsia="黑体" w:cs="宋体"/>
                <w:color w:val="000000" w:themeColor="text1"/>
                <w:kern w:val="0"/>
                <w:sz w:val="28"/>
                <w:szCs w:val="28"/>
                <w14:textFill>
                  <w14:solidFill>
                    <w14:schemeClr w14:val="tx1"/>
                  </w14:solidFill>
                </w14:textFill>
              </w:rPr>
              <w:t>、政府性基金预算支出情况说明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lang w:eastAsia="zh-CN"/>
                <w14:textFill>
                  <w14:solidFill>
                    <w14:schemeClr w14:val="tx1"/>
                  </w14:solidFill>
                </w14:textFill>
              </w:rPr>
              <w:t>十</w:t>
            </w:r>
            <w:bookmarkStart w:id="0" w:name="_GoBack"/>
            <w:bookmarkEnd w:id="0"/>
            <w:r>
              <w:rPr>
                <w:rFonts w:hint="eastAsia" w:ascii="黑体" w:hAnsi="黑体" w:eastAsia="黑体" w:cs="宋体"/>
                <w:color w:val="000000" w:themeColor="text1"/>
                <w:kern w:val="0"/>
                <w:sz w:val="28"/>
                <w:szCs w:val="28"/>
                <w14:textFill>
                  <w14:solidFill>
                    <w14:schemeClr w14:val="tx1"/>
                  </w14:solidFill>
                </w14:textFill>
              </w:rPr>
              <w:t>、其他重要事项的情况说明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w:t>
            </w:r>
            <w:r>
              <w:rPr>
                <w:rFonts w:hint="eastAsia" w:ascii="仿宋_GB2312" w:hAnsi="宋体" w:eastAsia="仿宋_GB2312" w:cs="宋体"/>
                <w:color w:val="000000" w:themeColor="text1"/>
                <w:kern w:val="0"/>
                <w:sz w:val="28"/>
                <w:szCs w:val="28"/>
                <w14:textFill>
                  <w14:solidFill>
                    <w14:schemeClr w14:val="tx1"/>
                  </w14:solidFill>
                </w14:textFill>
              </w:rPr>
              <w:t>下属单位运行经费财政拨款预算为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540.81</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30.14</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提高</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5.57</w:t>
            </w:r>
            <w:r>
              <w:rPr>
                <w:rFonts w:hint="eastAsia" w:ascii="仿宋_GB2312" w:hAnsi="宋体" w:eastAsia="仿宋_GB2312" w:cs="宋体"/>
                <w:color w:val="000000" w:themeColor="text1"/>
                <w:kern w:val="0"/>
                <w:sz w:val="28"/>
                <w:szCs w:val="28"/>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1090.93</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r>
        <w:tblPrEx>
          <w:tblCellMar>
            <w:top w:w="0" w:type="dxa"/>
            <w:left w:w="0" w:type="dxa"/>
            <w:bottom w:w="0" w:type="dxa"/>
            <w:right w:w="0" w:type="dxa"/>
          </w:tblCellMar>
        </w:tblPrEx>
        <w:trPr>
          <w:tblCellSpacing w:w="0" w:type="dxa"/>
          <w:jc w:val="center"/>
        </w:trPr>
        <w:tc>
          <w:tcPr>
            <w:tcW w:w="8360" w:type="dxa"/>
            <w:vAlign w:val="center"/>
          </w:tcPr>
          <w:p>
            <w:pPr>
              <w:keepNext w:val="0"/>
              <w:keepLines w:val="0"/>
              <w:pageBreakBefore w:val="0"/>
              <w:widowControl/>
              <w:kinsoku/>
              <w:wordWrap w:val="0"/>
              <w:overflowPunct/>
              <w:topLinePunct w:val="0"/>
              <w:autoSpaceDE/>
              <w:autoSpaceDN/>
              <w:bidi w:val="0"/>
              <w:adjustRightInd/>
              <w:snapToGrid/>
              <w:spacing w:line="600" w:lineRule="exact"/>
              <w:jc w:val="center"/>
              <w:textAlignment w:val="auto"/>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 </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3083D38"/>
    <w:rsid w:val="039B3DC0"/>
    <w:rsid w:val="05C2162A"/>
    <w:rsid w:val="087B69AA"/>
    <w:rsid w:val="09403496"/>
    <w:rsid w:val="0A3E19E8"/>
    <w:rsid w:val="0A6E776C"/>
    <w:rsid w:val="0F130D79"/>
    <w:rsid w:val="136E7421"/>
    <w:rsid w:val="153100E0"/>
    <w:rsid w:val="16195ECA"/>
    <w:rsid w:val="18C46D92"/>
    <w:rsid w:val="1B8F662B"/>
    <w:rsid w:val="1BEA4CEB"/>
    <w:rsid w:val="22313791"/>
    <w:rsid w:val="22634AF3"/>
    <w:rsid w:val="234B4BA4"/>
    <w:rsid w:val="2B500E37"/>
    <w:rsid w:val="2B8F7902"/>
    <w:rsid w:val="2B9F0ACB"/>
    <w:rsid w:val="3227750B"/>
    <w:rsid w:val="39131B26"/>
    <w:rsid w:val="3C1149CE"/>
    <w:rsid w:val="3FF342D3"/>
    <w:rsid w:val="40C71F4C"/>
    <w:rsid w:val="41065CB3"/>
    <w:rsid w:val="44A75684"/>
    <w:rsid w:val="44D945D8"/>
    <w:rsid w:val="47987DFC"/>
    <w:rsid w:val="4CB81013"/>
    <w:rsid w:val="4DA61154"/>
    <w:rsid w:val="4E5473F5"/>
    <w:rsid w:val="4FAD0C4B"/>
    <w:rsid w:val="52B95C2C"/>
    <w:rsid w:val="594F637D"/>
    <w:rsid w:val="63B23A23"/>
    <w:rsid w:val="66AC391F"/>
    <w:rsid w:val="67611C8D"/>
    <w:rsid w:val="6AF11ADC"/>
    <w:rsid w:val="6B581A5F"/>
    <w:rsid w:val="6D032090"/>
    <w:rsid w:val="6D4F64CA"/>
    <w:rsid w:val="6FF80968"/>
    <w:rsid w:val="7A853DCC"/>
    <w:rsid w:val="7F5E3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Balloon Text"/>
    <w:basedOn w:val="1"/>
    <w:link w:val="10"/>
    <w:semiHidden/>
    <w:unhideWhenUsed/>
    <w:qFormat/>
    <w:uiPriority w:val="99"/>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b/>
    </w:rPr>
  </w:style>
  <w:style w:type="character" w:customStyle="1" w:styleId="8">
    <w:name w:val="页眉 字符"/>
    <w:basedOn w:val="6"/>
    <w:link w:val="4"/>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批注框文本 字符"/>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3577</Words>
  <Characters>3877</Characters>
  <Lines>17</Lines>
  <Paragraphs>4</Paragraphs>
  <TotalTime>1</TotalTime>
  <ScaleCrop>false</ScaleCrop>
  <LinksUpToDate>false</LinksUpToDate>
  <CharactersWithSpaces>3984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2024-01-13T07:54:59Z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4298AACB6D7B4BC5BB69C0431BBDA369_12</vt:lpwstr>
  </property>
</Properties>
</file>