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360" w:type="dxa"/>
        <w:jc w:val="center"/>
        <w:tblCellSpacing w:w="0" w:type="dxa"/>
        <w:tblLayout w:type="autofit"/>
        <w:tblCellMar>
          <w:top w:w="0" w:type="dxa"/>
          <w:left w:w="0" w:type="dxa"/>
          <w:bottom w:w="0" w:type="dxa"/>
          <w:right w:w="0" w:type="dxa"/>
        </w:tblCellMar>
      </w:tblPr>
      <w:tblGrid>
        <w:gridCol w:w="8360"/>
      </w:tblGrid>
      <w:tr>
        <w:tblPrEx>
          <w:tblCellMar>
            <w:top w:w="0" w:type="dxa"/>
            <w:left w:w="0" w:type="dxa"/>
            <w:bottom w:w="0" w:type="dxa"/>
            <w:right w:w="0" w:type="dxa"/>
          </w:tblCellMar>
        </w:tblPrEx>
        <w:trPr>
          <w:trHeight w:val="7500" w:hRule="atLeast"/>
          <w:tblCellSpacing w:w="0" w:type="dxa"/>
          <w:jc w:val="center"/>
        </w:trPr>
        <w:tc>
          <w:tcPr>
            <w:tcW w:w="8360" w:type="dxa"/>
            <w:tcMar>
              <w:top w:w="150" w:type="dxa"/>
              <w:left w:w="0" w:type="dxa"/>
              <w:bottom w:w="0" w:type="dxa"/>
              <w:right w:w="0" w:type="dxa"/>
            </w:tcMar>
          </w:tcPr>
          <w:p>
            <w:pPr>
              <w:keepNext w:val="0"/>
              <w:keepLines w:val="0"/>
              <w:pageBreakBefore w:val="0"/>
              <w:widowControl w:val="0"/>
              <w:kinsoku/>
              <w:wordWrap/>
              <w:overflowPunct/>
              <w:topLinePunct w:val="0"/>
              <w:autoSpaceDE/>
              <w:autoSpaceDN/>
              <w:bidi w:val="0"/>
              <w:adjustRightInd/>
              <w:snapToGrid/>
              <w:spacing w:line="380" w:lineRule="exact"/>
              <w:ind w:firstLine="1800" w:firstLineChars="500"/>
              <w:textAlignment w:val="auto"/>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r>
              <w:rPr>
                <w:rFonts w:hint="eastAsia" w:ascii="方正小标宋简体" w:hAnsi="宋体" w:eastAsia="方正小标宋简体" w:cs="宋体"/>
                <w:color w:val="000000" w:themeColor="text1"/>
                <w:kern w:val="0"/>
                <w:sz w:val="36"/>
                <w:szCs w:val="36"/>
                <w:lang w:val="en-US" w:eastAsia="zh-CN"/>
                <w14:textFill>
                  <w14:solidFill>
                    <w14:schemeClr w14:val="tx1"/>
                  </w14:solidFill>
                </w14:textFill>
              </w:rPr>
              <w:t>巴中市巴州区</w:t>
            </w:r>
            <w:r>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t>梁永镇公共事务服务中心</w:t>
            </w:r>
          </w:p>
          <w:p>
            <w:pPr>
              <w:pStyle w:val="3"/>
              <w:adjustRightInd w:val="0"/>
              <w:snapToGrid w:val="0"/>
              <w:spacing w:before="93" w:line="600" w:lineRule="exact"/>
              <w:ind w:firstLine="2520" w:firstLineChars="700"/>
              <w:jc w:val="left"/>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r>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t>2024</w:t>
            </w:r>
            <w:r>
              <w:rPr>
                <w:rFonts w:hint="eastAsia" w:ascii="方正小标宋简体" w:hAnsi="宋体" w:eastAsia="方正小标宋简体" w:cs="宋体"/>
                <w:color w:val="000000" w:themeColor="text1"/>
                <w:kern w:val="0"/>
                <w:sz w:val="36"/>
                <w:szCs w:val="36"/>
                <w14:textFill>
                  <w14:solidFill>
                    <w14:schemeClr w14:val="tx1"/>
                  </w14:solidFill>
                </w14:textFill>
              </w:rPr>
              <w:t>年部门预算编制说明</w:t>
            </w:r>
          </w:p>
          <w:p>
            <w:pPr>
              <w:pStyle w:val="3"/>
              <w:adjustRightInd w:val="0"/>
              <w:snapToGrid w:val="0"/>
              <w:spacing w:before="93" w:line="600" w:lineRule="exact"/>
              <w:ind w:firstLine="560" w:firstLineChars="200"/>
              <w:jc w:val="left"/>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一、基本职能及主要工作</w:t>
            </w:r>
          </w:p>
          <w:p>
            <w:pPr>
              <w:pStyle w:val="3"/>
              <w:adjustRightInd w:val="0"/>
              <w:snapToGrid w:val="0"/>
              <w:spacing w:before="93" w:line="600" w:lineRule="exact"/>
              <w:ind w:firstLine="560" w:firstLineChars="200"/>
              <w:jc w:val="left"/>
              <w:rPr>
                <w:rFonts w:hint="eastAsia" w:ascii="楷体_GB2312" w:hAnsi="宋体" w:eastAsia="楷体_GB2312" w:cs="宋体"/>
                <w:color w:val="000000" w:themeColor="text1"/>
                <w:kern w:val="0"/>
                <w:sz w:val="28"/>
                <w:szCs w:val="28"/>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（一）</w:t>
            </w:r>
            <w:r>
              <w:rPr>
                <w:rFonts w:hint="eastAsia" w:ascii="楷体_GB2312" w:hAnsi="宋体" w:eastAsia="楷体_GB2312" w:cs="宋体"/>
                <w:color w:val="000000" w:themeColor="text1"/>
                <w:kern w:val="0"/>
                <w:sz w:val="28"/>
                <w:szCs w:val="28"/>
                <w:lang w:eastAsia="zh-CN"/>
                <w14:textFill>
                  <w14:solidFill>
                    <w14:schemeClr w14:val="tx1"/>
                  </w14:solidFill>
                </w14:textFill>
              </w:rPr>
              <w:t>梁永镇公共事务服务中心</w:t>
            </w:r>
            <w:r>
              <w:rPr>
                <w:rFonts w:hint="eastAsia" w:ascii="楷体_GB2312" w:hAnsi="宋体" w:eastAsia="楷体_GB2312" w:cs="宋体"/>
                <w:color w:val="000000" w:themeColor="text1"/>
                <w:kern w:val="0"/>
                <w:sz w:val="28"/>
                <w:szCs w:val="28"/>
                <w14:textFill>
                  <w14:solidFill>
                    <w14:schemeClr w14:val="tx1"/>
                  </w14:solidFill>
                </w14:textFill>
              </w:rPr>
              <w:t>职能简介</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hAnsi="宋体" w:cs="宋体"/>
                <w:color w:val="000000" w:themeColor="text1"/>
                <w:kern w:val="0"/>
                <w:sz w:val="28"/>
                <w:szCs w:val="28"/>
                <w:lang w:val="en-US" w:eastAsia="zh-CN"/>
                <w14:textFill>
                  <w14:solidFill>
                    <w14:schemeClr w14:val="tx1"/>
                  </w14:solidFill>
                </w14:textFill>
              </w:rPr>
              <w:t>1.</w:t>
            </w:r>
            <w:r>
              <w:rPr>
                <w:rFonts w:hint="eastAsia" w:ascii="仿宋_GB2312" w:eastAsia="仿宋_GB2312"/>
                <w:color w:val="000000"/>
                <w:sz w:val="28"/>
                <w:szCs w:val="28"/>
                <w:shd w:val="clear" w:color="auto" w:fill="FFFFFF"/>
              </w:rPr>
              <w:t>民政</w:t>
            </w:r>
            <w:r>
              <w:rPr>
                <w:rFonts w:hint="eastAsia"/>
                <w:color w:val="000000"/>
                <w:sz w:val="28"/>
                <w:szCs w:val="28"/>
                <w:shd w:val="clear" w:color="auto" w:fill="FFFFFF"/>
                <w:lang w:eastAsia="zh-CN"/>
              </w:rPr>
              <w:t>岗</w:t>
            </w:r>
            <w:r>
              <w:rPr>
                <w:rFonts w:hint="eastAsia" w:ascii="仿宋_GB2312" w:eastAsia="仿宋_GB2312"/>
                <w:color w:val="000000"/>
                <w:sz w:val="28"/>
                <w:szCs w:val="28"/>
                <w:shd w:val="clear" w:color="auto" w:fill="FFFFFF"/>
              </w:rPr>
              <w:t>职能</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rPr>
              <w:t>（1）贯彻执行党和国家的方针政策和民政工作的有关政策、法律、法规,协助分管领导搞好民政工作。</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rPr>
              <w:t>（2）贯彻和实施城乡居民最低生活保障制度,实行动态管理。</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3</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贯彻执行党和国家有关老龄事业的政策、法规,承担老年人、孤儿、五保户等特殊困难群体权益保护的行政管理工作。</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rPr>
              <w:t>（4）负责本镇优抚对象抚恤金、优待金、定期定量补助的管理工作;组织、指导拥军优属活动,承担拥军优属的日常工作。</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rPr>
              <w:t>（5）负责本镇因灾生活困难群众的救济和社会临时救济工作,检查灾情,做好灾情上报工作。</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rPr>
              <w:t>（6）负责婚姻、收养登记等有关规定的宣传和咨询工作。</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rPr>
              <w:t>（7）指导村(居)民委员会民主选举、民主决策、民主管理和民主监督工作,推动村务公开和基层民主政治建设。</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rPr>
              <w:t>（8）负责民政信访工作,为群众排忧解难。</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val="en-US" w:eastAsia="zh-CN"/>
              </w:rPr>
              <w:t>2.</w:t>
            </w:r>
            <w:r>
              <w:rPr>
                <w:rFonts w:hint="eastAsia" w:ascii="仿宋_GB2312" w:eastAsia="仿宋_GB2312"/>
                <w:color w:val="000000"/>
                <w:sz w:val="28"/>
                <w:szCs w:val="28"/>
                <w:shd w:val="clear" w:color="auto" w:fill="FFFFFF"/>
              </w:rPr>
              <w:t>市场监督</w:t>
            </w:r>
            <w:r>
              <w:rPr>
                <w:rFonts w:hint="eastAsia"/>
                <w:color w:val="000000"/>
                <w:sz w:val="28"/>
                <w:szCs w:val="28"/>
                <w:shd w:val="clear" w:color="auto" w:fill="FFFFFF"/>
                <w:lang w:eastAsia="zh-CN"/>
              </w:rPr>
              <w:t>管理岗</w:t>
            </w:r>
            <w:r>
              <w:rPr>
                <w:rFonts w:hint="eastAsia" w:ascii="仿宋_GB2312" w:eastAsia="仿宋_GB2312"/>
                <w:color w:val="000000"/>
                <w:sz w:val="28"/>
                <w:szCs w:val="28"/>
                <w:shd w:val="clear" w:color="auto" w:fill="FFFFFF"/>
              </w:rPr>
              <w:t>职能</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1</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负责辖区内食品药品和医疗单位安全知识和法律法规的宣传教育，普及食品药品安全常识。</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2</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建立健全辖区内食品药品和医疗单位基础档案，并对其进行日常监管和动态监管，履行食品药品安全监管职责，保障食品药品安全。</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3</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负责辖区内食品药品和医疗单位安全信息的收集、汇总、分析和报告等工作，及时反映群众意见建议。</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4</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定期评估分析本辖区内食品药品安全状况，针对主要问题和薄弱环节，研究采取相应措施，确保食品药品安全。</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5</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负责辖区内乡镇食品药品安全监管员、学校食品安全监督员的选配确定、监督管理和培训等工作。</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6</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配合区食品药品监督管理局做好辖区内食品安全事件和药品、医疗器械突发性群体不良事件的组织救援、调查处置、后勤保障和善后处理等工作。</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7</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完成区食品药品监督管理局和镇政府委托的其他工作。</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val="en-US" w:eastAsia="zh-CN"/>
              </w:rPr>
              <w:t>3.</w:t>
            </w:r>
            <w:r>
              <w:rPr>
                <w:rFonts w:hint="eastAsia" w:ascii="仿宋_GB2312" w:eastAsia="仿宋_GB2312"/>
                <w:color w:val="000000"/>
                <w:sz w:val="28"/>
                <w:szCs w:val="28"/>
                <w:shd w:val="clear" w:color="auto" w:fill="FFFFFF"/>
              </w:rPr>
              <w:t>统计</w:t>
            </w:r>
            <w:r>
              <w:rPr>
                <w:rFonts w:hint="eastAsia"/>
                <w:color w:val="000000"/>
                <w:sz w:val="28"/>
                <w:szCs w:val="28"/>
                <w:shd w:val="clear" w:color="auto" w:fill="FFFFFF"/>
                <w:lang w:eastAsia="zh-CN"/>
              </w:rPr>
              <w:t>岗</w:t>
            </w:r>
            <w:r>
              <w:rPr>
                <w:rFonts w:hint="eastAsia" w:ascii="仿宋_GB2312" w:eastAsia="仿宋_GB2312"/>
                <w:color w:val="000000"/>
                <w:sz w:val="28"/>
                <w:szCs w:val="28"/>
                <w:shd w:val="clear" w:color="auto" w:fill="FFFFFF"/>
              </w:rPr>
              <w:t>职能</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1</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认真执行《统计》及其实施细则和地方统计法规,依法行使统计设计、统计调查、统计报告、统计咨询和统计监督的职权,保证统计数据的正确性、及时性和全面性,为社会经济发展提供服务。</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2</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负责组织和协调本行政区域内的统计工作,汇总基层的统计报表和地方综合性的各项统计数据。</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3</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执行统一的国家统计报表制度。准确、及时、全面上报国家和上级统计部门规定的统计报表及统计调查数据。</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4</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搜集、整理、提供本镇行政区域内各单位的历史和现实统计资料,向有关部门提供统计信息、统计数据,定期公布本镇社会经济发展情况的统计公报。</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5</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调查研究本行政区域内的社会经济发展情况,对计划完成情况实行统计监督、统计分析和统计预测,为制订政策、指导工作提供可靠依据。</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6</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加强统计基础工作,建立健全镇、村、企业及社区统计台帐,负责基层统计网络建设,加强对基层统计人员的业务指导和培训。</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7</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完成本镇领导布置的各项统计调查任务,为地方党政领导提供优质统计服务功能,充分发挥统计在国民经济发展中的参谋作用。乡镇,街道,食品药品监督管理所</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val="en-US" w:eastAsia="zh-CN"/>
              </w:rPr>
              <w:t>4.</w:t>
            </w:r>
            <w:r>
              <w:rPr>
                <w:rFonts w:hint="eastAsia"/>
                <w:color w:val="000000"/>
                <w:sz w:val="28"/>
                <w:szCs w:val="28"/>
                <w:shd w:val="clear" w:color="auto" w:fill="FFFFFF"/>
                <w:lang w:eastAsia="zh-CN"/>
              </w:rPr>
              <w:t>文化岗</w:t>
            </w:r>
            <w:r>
              <w:rPr>
                <w:rFonts w:hint="eastAsia" w:ascii="仿宋_GB2312" w:eastAsia="仿宋_GB2312"/>
                <w:color w:val="000000"/>
                <w:sz w:val="28"/>
                <w:szCs w:val="28"/>
                <w:shd w:val="clear" w:color="auto" w:fill="FFFFFF"/>
              </w:rPr>
              <w:t xml:space="preserve">职能 </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1</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对广大群众进行时政宣传和政策法制教育；</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2</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组织开展丰富多彩的文体娱乐活动，组织电影、电视、录相放映活动；</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3</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利用全国文化信息资源共享工程举办各类文化艺术培训班、科普讲座、农技知识讲座等，辅导和培养文艺骨干；</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4</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开办图书室，组织群众开展读书活动；</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5</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搜集、整理民族民间文化艺术遗产，促进乡村特色文化的发展；</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6</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指导和辅导村文化室、俱乐部和农民文化户开展各种业务活动；</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7</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做好文物的宣传保护工作；</w:t>
            </w:r>
          </w:p>
          <w:p>
            <w:pPr>
              <w:pStyle w:val="2"/>
              <w:ind w:firstLine="560" w:firstLineChars="200"/>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eastAsia="仿宋_GB2312"/>
                <w:color w:val="000000"/>
                <w:sz w:val="28"/>
                <w:szCs w:val="28"/>
                <w:shd w:val="clear" w:color="auto" w:fill="FFFFFF"/>
                <w:lang w:eastAsia="zh-CN"/>
              </w:rPr>
              <w:t>（</w:t>
            </w:r>
            <w:r>
              <w:rPr>
                <w:rFonts w:hint="eastAsia" w:ascii="仿宋_GB2312" w:eastAsia="仿宋_GB2312"/>
                <w:color w:val="000000"/>
                <w:sz w:val="28"/>
                <w:szCs w:val="28"/>
                <w:shd w:val="clear" w:color="auto" w:fill="FFFFFF"/>
                <w:lang w:val="en-US" w:eastAsia="zh-CN"/>
              </w:rPr>
              <w:t>8</w:t>
            </w:r>
            <w:r>
              <w:rPr>
                <w:rFonts w:hint="eastAsia" w:ascii="仿宋_GB2312" w:eastAsia="仿宋_GB2312"/>
                <w:color w:val="000000"/>
                <w:sz w:val="28"/>
                <w:szCs w:val="28"/>
                <w:shd w:val="clear" w:color="auto" w:fill="FFFFFF"/>
                <w:lang w:eastAsia="zh-CN"/>
              </w:rPr>
              <w:t>）</w:t>
            </w:r>
            <w:r>
              <w:rPr>
                <w:rFonts w:hint="eastAsia" w:ascii="仿宋_GB2312" w:eastAsia="仿宋_GB2312"/>
                <w:color w:val="000000"/>
                <w:sz w:val="28"/>
                <w:szCs w:val="28"/>
                <w:shd w:val="clear" w:color="auto" w:fill="FFFFFF"/>
              </w:rPr>
              <w:t>受上级文化主管部门委托协助管理当地文化市场。</w:t>
            </w:r>
          </w:p>
          <w:p>
            <w:pPr>
              <w:ind w:firstLine="560" w:firstLineChars="200"/>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（二）</w:t>
            </w:r>
            <w:r>
              <w:rPr>
                <w:rFonts w:hint="eastAsia" w:ascii="楷体_GB2312" w:hAnsi="宋体" w:eastAsia="楷体_GB2312" w:cs="宋体"/>
                <w:color w:val="000000" w:themeColor="text1"/>
                <w:kern w:val="0"/>
                <w:sz w:val="28"/>
                <w:szCs w:val="28"/>
                <w:lang w:eastAsia="zh-CN"/>
                <w14:textFill>
                  <w14:solidFill>
                    <w14:schemeClr w14:val="tx1"/>
                  </w14:solidFill>
                </w14:textFill>
              </w:rPr>
              <w:t>梁永镇公共事务服务中心2024</w:t>
            </w:r>
            <w:r>
              <w:rPr>
                <w:rFonts w:hint="eastAsia" w:ascii="楷体_GB2312" w:hAnsi="宋体" w:eastAsia="楷体_GB2312" w:cs="宋体"/>
                <w:color w:val="000000" w:themeColor="text1"/>
                <w:kern w:val="0"/>
                <w:sz w:val="28"/>
                <w:szCs w:val="28"/>
                <w14:textFill>
                  <w14:solidFill>
                    <w14:schemeClr w14:val="tx1"/>
                  </w14:solidFill>
                </w14:textFill>
              </w:rPr>
              <w:t>年重点工作</w:t>
            </w:r>
          </w:p>
          <w:p>
            <w:pPr>
              <w:ind w:firstLine="560" w:firstLineChars="200"/>
              <w:rPr>
                <w:rFonts w:hint="eastAsia" w:ascii="仿宋_GB2312" w:eastAsia="仿宋_GB2312"/>
                <w:color w:val="000000"/>
                <w:sz w:val="28"/>
                <w:szCs w:val="28"/>
                <w:shd w:val="clear" w:color="auto" w:fill="FFFFFF"/>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eastAsia="仿宋_GB2312"/>
                <w:color w:val="000000"/>
                <w:sz w:val="28"/>
                <w:szCs w:val="28"/>
                <w:shd w:val="clear" w:color="auto" w:fill="FFFFFF"/>
                <w:lang w:eastAsia="zh-CN"/>
              </w:rPr>
              <w:t>2024</w:t>
            </w:r>
            <w:r>
              <w:rPr>
                <w:rFonts w:hint="eastAsia" w:ascii="仿宋_GB2312" w:eastAsia="仿宋_GB2312"/>
                <w:color w:val="000000"/>
                <w:sz w:val="28"/>
                <w:szCs w:val="28"/>
                <w:shd w:val="clear" w:color="auto" w:fill="FFFFFF"/>
              </w:rPr>
              <w:t>年在镇党委、政府的正确领导下，在上级业务主管部门的具体指导下，围绕实施乡村振兴战略，以促规范、惠民生为目的，以确保了全镇各项民政事业工作顺利开展，坚持四项基本原则，政治坚定，牢固树立全心全意为人民服务的思想，努力学习，熟练掌握本职业务操作技能，提高理论业务知识和办事水平；加强文化队伍和村级文化阵地建设。加强文化站服务体系建设，明确发展思路，以服务农村文化建设需要而制定长期发展，结合村文化建设发展情况和文化从业人员的文化素质情况，制定对村长期文化建设帮扶和培养，加强对村级文化室扶助和管理；营造镇域文艺氛围；发掘民间艺术资源。与上级部门组织开展了非物质文化遗产的普查，充分挖掘特色民间艺术；文化工作、经营秩序良好，我站坚持对网吧实行监督制度，严禁未成年人上网。总之，我站在党委政府和上级文化部门的大力支持下，紧密围绕新农村文化建设这一中心，服务群众文化建设，为倡导积极向上的群众文化生活，而努力奋斗。</w:t>
            </w:r>
          </w:p>
          <w:p>
            <w:pPr>
              <w:pStyle w:val="2"/>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二、部门预算单位构成</w:t>
            </w:r>
          </w:p>
          <w:p>
            <w:pPr>
              <w:pStyle w:val="2"/>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eastAsia="仿宋_GB2312"/>
                <w:color w:val="000000"/>
                <w:sz w:val="28"/>
                <w:szCs w:val="28"/>
                <w:shd w:val="clear" w:color="auto" w:fill="FFFFFF"/>
                <w:lang w:eastAsia="zh-CN"/>
              </w:rPr>
              <w:t>梁永</w:t>
            </w:r>
            <w:r>
              <w:rPr>
                <w:rFonts w:hint="eastAsia" w:ascii="仿宋_GB2312" w:eastAsia="仿宋_GB2312"/>
                <w:color w:val="000000"/>
                <w:sz w:val="28"/>
                <w:szCs w:val="28"/>
                <w:shd w:val="clear" w:color="auto" w:fill="FFFFFF"/>
              </w:rPr>
              <w:t>镇公共</w:t>
            </w:r>
            <w:r>
              <w:rPr>
                <w:rFonts w:hint="eastAsia" w:ascii="仿宋_GB2312" w:eastAsia="仿宋_GB2312"/>
                <w:color w:val="000000"/>
                <w:sz w:val="28"/>
                <w:szCs w:val="28"/>
                <w:shd w:val="clear" w:color="auto" w:fill="FFFFFF"/>
                <w:lang w:eastAsia="zh-CN"/>
              </w:rPr>
              <w:t>事务</w:t>
            </w:r>
            <w:r>
              <w:rPr>
                <w:rFonts w:ascii="仿宋_GB2312" w:eastAsia="仿宋_GB2312"/>
                <w:color w:val="000000"/>
                <w:sz w:val="28"/>
                <w:szCs w:val="28"/>
                <w:shd w:val="clear" w:color="auto" w:fill="FFFFFF"/>
              </w:rPr>
              <w:t>服务中心</w:t>
            </w:r>
            <w:r>
              <w:rPr>
                <w:rFonts w:hint="eastAsia" w:ascii="仿宋_GB2312" w:eastAsia="仿宋_GB2312"/>
                <w:color w:val="000000"/>
                <w:sz w:val="28"/>
                <w:szCs w:val="28"/>
                <w:shd w:val="clear" w:color="auto" w:fill="FFFFFF"/>
              </w:rPr>
              <w:t>属二级预算单位。</w:t>
            </w:r>
          </w:p>
          <w:p>
            <w:pPr>
              <w:pStyle w:val="2"/>
              <w:keepNext w:val="0"/>
              <w:keepLines w:val="0"/>
              <w:pageBreakBefore w:val="0"/>
              <w:widowControl w:val="0"/>
              <w:kinsoku/>
              <w:wordWrap/>
              <w:overflowPunct/>
              <w:topLinePunct w:val="0"/>
              <w:autoSpaceDE/>
              <w:autoSpaceDN/>
              <w:bidi w:val="0"/>
              <w:adjustRightInd/>
              <w:spacing w:line="600" w:lineRule="exact"/>
              <w:ind w:firstLine="560" w:firstLineChars="200"/>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三、收支预算情况说明</w:t>
            </w:r>
          </w:p>
          <w:p>
            <w:pPr>
              <w:pStyle w:val="2"/>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按照综合预算的原则，</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梁永镇公共事务服务中心</w:t>
            </w:r>
            <w:r>
              <w:rPr>
                <w:rFonts w:hint="eastAsia" w:ascii="仿宋_GB2312" w:hAnsi="宋体" w:eastAsia="仿宋_GB2312" w:cs="宋体"/>
                <w:color w:val="000000" w:themeColor="text1"/>
                <w:kern w:val="0"/>
                <w:sz w:val="28"/>
                <w:szCs w:val="28"/>
                <w14:textFill>
                  <w14:solidFill>
                    <w14:schemeClr w14:val="tx1"/>
                  </w14:solidFill>
                </w14:textFill>
              </w:rPr>
              <w:t>所有收入和支出均纳入部门预算管理。收入包括：一般公共预算拨款收入、上年结转；支出包括：（一般公共服务支出、教育支出）、社会保障和就业支出、医疗卫生与计划生育支出、住房保障支出。</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梁永镇公共事务服务中心2024</w:t>
            </w:r>
            <w:r>
              <w:rPr>
                <w:rFonts w:hint="eastAsia" w:ascii="仿宋_GB2312" w:hAnsi="宋体" w:eastAsia="仿宋_GB2312" w:cs="宋体"/>
                <w:color w:val="000000" w:themeColor="text1"/>
                <w:kern w:val="0"/>
                <w:sz w:val="28"/>
                <w:szCs w:val="28"/>
                <w14:textFill>
                  <w14:solidFill>
                    <w14:schemeClr w14:val="tx1"/>
                  </w14:solidFill>
                </w14:textFill>
              </w:rPr>
              <w:t>年收支总预算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154.12</w:t>
            </w:r>
            <w:r>
              <w:rPr>
                <w:rFonts w:hint="eastAsia" w:ascii="仿宋_GB2312" w:hAnsi="宋体" w:eastAsia="仿宋_GB2312" w:cs="宋体"/>
                <w:color w:val="000000" w:themeColor="text1"/>
                <w:kern w:val="0"/>
                <w:sz w:val="28"/>
                <w:szCs w:val="28"/>
                <w14:textFill>
                  <w14:solidFill>
                    <w14:schemeClr w14:val="tx1"/>
                  </w14:solidFill>
                </w14:textFill>
              </w:rPr>
              <w:t>万元。</w:t>
            </w:r>
          </w:p>
          <w:p>
            <w:pPr>
              <w:pStyle w:val="2"/>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（一）收入预算情况</w:t>
            </w:r>
          </w:p>
          <w:p>
            <w:pPr>
              <w:pStyle w:val="2"/>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年收入预算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154.12</w:t>
            </w:r>
            <w:r>
              <w:rPr>
                <w:rFonts w:hint="eastAsia" w:ascii="仿宋_GB2312" w:hAnsi="宋体" w:eastAsia="仿宋_GB2312" w:cs="宋体"/>
                <w:color w:val="000000" w:themeColor="text1"/>
                <w:kern w:val="0"/>
                <w:sz w:val="28"/>
                <w:szCs w:val="28"/>
                <w14:textFill>
                  <w14:solidFill>
                    <w14:schemeClr w14:val="tx1"/>
                  </w14:solidFill>
                </w14:textFill>
              </w:rPr>
              <w:t>万元，其中：上年结转</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%；一般公共预算拨款收入</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154.12</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（二）支出预算情况</w:t>
            </w:r>
          </w:p>
          <w:p>
            <w:pPr>
              <w:pStyle w:val="2"/>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梁永镇公共事务服务中心2024</w:t>
            </w:r>
            <w:r>
              <w:rPr>
                <w:rFonts w:hint="eastAsia" w:ascii="仿宋_GB2312" w:hAnsi="宋体" w:eastAsia="仿宋_GB2312" w:cs="宋体"/>
                <w:color w:val="000000" w:themeColor="text1"/>
                <w:kern w:val="0"/>
                <w:sz w:val="28"/>
                <w:szCs w:val="28"/>
                <w14:textFill>
                  <w14:solidFill>
                    <w14:schemeClr w14:val="tx1"/>
                  </w14:solidFill>
                </w14:textFill>
              </w:rPr>
              <w:t>年支出预算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154.12</w:t>
            </w:r>
            <w:r>
              <w:rPr>
                <w:rFonts w:hint="eastAsia" w:ascii="仿宋_GB2312" w:hAnsi="宋体" w:eastAsia="仿宋_GB2312" w:cs="宋体"/>
                <w:color w:val="000000" w:themeColor="text1"/>
                <w:kern w:val="0"/>
                <w:sz w:val="28"/>
                <w:szCs w:val="28"/>
                <w14:textFill>
                  <w14:solidFill>
                    <w14:schemeClr w14:val="tx1"/>
                  </w14:solidFill>
                </w14:textFill>
              </w:rPr>
              <w:t>万元，其中：基本支出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154.12</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w:t>
            </w:r>
            <w:r>
              <w:rPr>
                <w:rFonts w:hint="eastAsia" w:ascii="仿宋_GB2312" w:hAnsi="宋体" w:eastAsia="仿宋_GB2312" w:cs="宋体"/>
                <w:color w:val="000000" w:themeColor="text1"/>
                <w:kern w:val="0"/>
                <w:sz w:val="28"/>
                <w:szCs w:val="28"/>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四、财政拨款收支预算情况说明</w:t>
            </w:r>
          </w:p>
          <w:p>
            <w:pPr>
              <w:pStyle w:val="2"/>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梁永镇公共事务服务中心2024</w:t>
            </w:r>
            <w:r>
              <w:rPr>
                <w:rFonts w:hint="eastAsia" w:ascii="仿宋_GB2312" w:hAnsi="宋体" w:eastAsia="仿宋_GB2312" w:cs="宋体"/>
                <w:color w:val="000000" w:themeColor="text1"/>
                <w:kern w:val="0"/>
                <w:sz w:val="28"/>
                <w:szCs w:val="28"/>
                <w14:textFill>
                  <w14:solidFill>
                    <w14:schemeClr w14:val="tx1"/>
                  </w14:solidFill>
                </w14:textFill>
              </w:rPr>
              <w:t>年财政拨款收支总预算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154.12</w:t>
            </w:r>
            <w:r>
              <w:rPr>
                <w:rFonts w:hint="eastAsia" w:ascii="仿宋_GB2312" w:hAnsi="宋体" w:eastAsia="仿宋_GB2312" w:cs="宋体"/>
                <w:color w:val="000000" w:themeColor="text1"/>
                <w:kern w:val="0"/>
                <w:sz w:val="28"/>
                <w:szCs w:val="28"/>
                <w14:textFill>
                  <w14:solidFill>
                    <w14:schemeClr w14:val="tx1"/>
                  </w14:solidFill>
                </w14:textFill>
              </w:rPr>
              <w:t>万元。收入包括：本年一般公共预算拨款收入</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154.12</w:t>
            </w:r>
            <w:r>
              <w:rPr>
                <w:rFonts w:hint="eastAsia" w:ascii="仿宋_GB2312" w:hAnsi="宋体" w:eastAsia="仿宋_GB2312" w:cs="宋体"/>
                <w:color w:val="000000" w:themeColor="text1"/>
                <w:kern w:val="0"/>
                <w:sz w:val="28"/>
                <w:szCs w:val="28"/>
                <w14:textFill>
                  <w14:solidFill>
                    <w14:schemeClr w14:val="tx1"/>
                  </w14:solidFill>
                </w14:textFill>
              </w:rPr>
              <w:t>万元；支出包括：（文化旅游体育与传媒支出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120.66万元</w:t>
            </w:r>
            <w:r>
              <w:rPr>
                <w:rFonts w:hint="eastAsia" w:ascii="仿宋_GB2312" w:hAnsi="宋体" w:eastAsia="仿宋_GB2312" w:cs="宋体"/>
                <w:color w:val="000000" w:themeColor="text1"/>
                <w:kern w:val="0"/>
                <w:sz w:val="28"/>
                <w:szCs w:val="28"/>
                <w14:textFill>
                  <w14:solidFill>
                    <w14:schemeClr w14:val="tx1"/>
                  </w14:solidFill>
                </w14:textFill>
              </w:rPr>
              <w:t>、社会保障和就业支出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14.17</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、卫生健康支出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7.02</w:t>
            </w:r>
            <w:r>
              <w:rPr>
                <w:rFonts w:hint="eastAsia" w:ascii="仿宋_GB2312" w:hAnsi="宋体" w:eastAsia="仿宋_GB2312" w:cs="宋体"/>
                <w:color w:val="000000" w:themeColor="text1"/>
                <w:kern w:val="0"/>
                <w:sz w:val="28"/>
                <w:szCs w:val="28"/>
                <w14:textFill>
                  <w14:solidFill>
                    <w14:schemeClr w14:val="tx1"/>
                  </w14:solidFill>
                </w14:textFill>
              </w:rPr>
              <w:t>万元、住房保障支出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12.27</w:t>
            </w:r>
            <w:r>
              <w:rPr>
                <w:rFonts w:hint="eastAsia" w:ascii="仿宋_GB2312" w:hAnsi="宋体" w:eastAsia="仿宋_GB2312" w:cs="宋体"/>
                <w:color w:val="000000" w:themeColor="text1"/>
                <w:kern w:val="0"/>
                <w:sz w:val="28"/>
                <w:szCs w:val="28"/>
                <w14:textFill>
                  <w14:solidFill>
                    <w14:schemeClr w14:val="tx1"/>
                  </w14:solidFill>
                </w14:textFill>
              </w:rPr>
              <w:t>万元。</w:t>
            </w:r>
          </w:p>
          <w:p>
            <w:pPr>
              <w:pStyle w:val="2"/>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五、一般公共预算当年拨款情况说明</w:t>
            </w:r>
          </w:p>
          <w:p>
            <w:pPr>
              <w:pStyle w:val="2"/>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　（一）一般公共预算当年拨款规模变化情况</w:t>
            </w:r>
          </w:p>
          <w:p>
            <w:pPr>
              <w:pStyle w:val="2"/>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梁永镇公共事务服务中心2024</w:t>
            </w:r>
            <w:r>
              <w:rPr>
                <w:rFonts w:hint="eastAsia" w:ascii="仿宋_GB2312" w:hAnsi="宋体" w:eastAsia="仿宋_GB2312" w:cs="宋体"/>
                <w:color w:val="000000" w:themeColor="text1"/>
                <w:kern w:val="0"/>
                <w:sz w:val="28"/>
                <w:szCs w:val="28"/>
                <w14:textFill>
                  <w14:solidFill>
                    <w14:schemeClr w14:val="tx1"/>
                  </w14:solidFill>
                </w14:textFill>
              </w:rPr>
              <w:t>年一般公共预算当年拨款</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154.12</w:t>
            </w:r>
            <w:r>
              <w:rPr>
                <w:rFonts w:hint="eastAsia" w:ascii="仿宋_GB2312" w:hAnsi="宋体" w:eastAsia="仿宋_GB2312" w:cs="宋体"/>
                <w:color w:val="000000" w:themeColor="text1"/>
                <w:kern w:val="0"/>
                <w:sz w:val="28"/>
                <w:szCs w:val="28"/>
                <w14:textFill>
                  <w14:solidFill>
                    <w14:schemeClr w14:val="tx1"/>
                  </w14:solidFill>
                </w14:textFill>
              </w:rPr>
              <w:t>万元，比</w:t>
            </w:r>
            <w:r>
              <w:rPr>
                <w:rFonts w:hint="eastAsia" w:ascii="仿宋_GB2312" w:hAnsi="宋体" w:eastAsia="仿宋_GB2312" w:cs="宋体"/>
                <w:color w:val="000000" w:themeColor="text1"/>
                <w:kern w:val="0"/>
                <w:sz w:val="28"/>
                <w:szCs w:val="28"/>
                <w:lang w:eastAsia="zh-CN"/>
                <w14:textFill>
                  <w14:solidFill>
                    <w14:schemeClr w14:val="tx1"/>
                  </w14:solidFill>
                </w14:textFill>
              </w:rPr>
              <w:t>2023</w:t>
            </w:r>
            <w:r>
              <w:rPr>
                <w:rFonts w:hint="eastAsia" w:ascii="仿宋_GB2312" w:hAnsi="宋体" w:eastAsia="仿宋_GB2312" w:cs="宋体"/>
                <w:color w:val="000000" w:themeColor="text1"/>
                <w:kern w:val="0"/>
                <w:sz w:val="28"/>
                <w:szCs w:val="28"/>
                <w14:textFill>
                  <w14:solidFill>
                    <w14:schemeClr w14:val="tx1"/>
                  </w14:solidFill>
                </w14:textFill>
              </w:rPr>
              <w:t>年预算数</w:t>
            </w:r>
            <w:r>
              <w:rPr>
                <w:rFonts w:hint="eastAsia" w:ascii="仿宋_GB2312" w:hAnsi="宋体" w:eastAsia="仿宋_GB2312" w:cs="宋体"/>
                <w:color w:val="000000" w:themeColor="text1"/>
                <w:kern w:val="0"/>
                <w:sz w:val="28"/>
                <w:szCs w:val="28"/>
                <w:lang w:eastAsia="zh-CN"/>
                <w14:textFill>
                  <w14:solidFill>
                    <w14:schemeClr w14:val="tx1"/>
                  </w14:solidFill>
                </w14:textFill>
              </w:rPr>
              <w:t>增加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15.29</w:t>
            </w:r>
            <w:r>
              <w:rPr>
                <w:rFonts w:hint="eastAsia" w:ascii="仿宋_GB2312" w:hAnsi="宋体" w:eastAsia="仿宋_GB2312" w:cs="宋体"/>
                <w:color w:val="000000" w:themeColor="text1"/>
                <w:kern w:val="0"/>
                <w:sz w:val="28"/>
                <w:szCs w:val="28"/>
                <w14:textFill>
                  <w14:solidFill>
                    <w14:schemeClr w14:val="tx1"/>
                  </w14:solidFill>
                </w14:textFill>
              </w:rPr>
              <w:t>万元。主要是根据部门年度工作计划</w:t>
            </w:r>
            <w:r>
              <w:rPr>
                <w:rFonts w:hint="eastAsia" w:ascii="仿宋_GB2312" w:hAnsi="宋体" w:eastAsia="仿宋_GB2312" w:cs="宋体"/>
                <w:color w:val="000000" w:themeColor="text1"/>
                <w:kern w:val="0"/>
                <w:sz w:val="28"/>
                <w:szCs w:val="28"/>
                <w:lang w:eastAsia="zh-CN"/>
                <w14:textFill>
                  <w14:solidFill>
                    <w14:schemeClr w14:val="tx1"/>
                  </w14:solidFill>
                </w14:textFill>
              </w:rPr>
              <w:t>人员</w:t>
            </w:r>
            <w:r>
              <w:rPr>
                <w:rFonts w:hint="eastAsia" w:ascii="仿宋_GB2312" w:hAnsi="宋体" w:eastAsia="仿宋_GB2312" w:cs="宋体"/>
                <w:color w:val="000000" w:themeColor="text1"/>
                <w:kern w:val="0"/>
                <w:sz w:val="28"/>
                <w:szCs w:val="28"/>
                <w14:textFill>
                  <w14:solidFill>
                    <w14:schemeClr w14:val="tx1"/>
                  </w14:solidFill>
                </w14:textFill>
              </w:rPr>
              <w:t>有所</w:t>
            </w:r>
            <w:r>
              <w:rPr>
                <w:rFonts w:hint="eastAsia" w:ascii="仿宋_GB2312" w:hAnsi="宋体" w:eastAsia="仿宋_GB2312" w:cs="宋体"/>
                <w:color w:val="000000" w:themeColor="text1"/>
                <w:kern w:val="0"/>
                <w:sz w:val="28"/>
                <w:szCs w:val="28"/>
                <w:lang w:eastAsia="zh-CN"/>
                <w14:textFill>
                  <w14:solidFill>
                    <w14:schemeClr w14:val="tx1"/>
                  </w14:solidFill>
                </w14:textFill>
              </w:rPr>
              <w:t>增加</w:t>
            </w:r>
            <w:r>
              <w:rPr>
                <w:rFonts w:hint="eastAsia" w:ascii="仿宋_GB2312" w:hAnsi="宋体" w:eastAsia="仿宋_GB2312" w:cs="宋体"/>
                <w:color w:val="000000" w:themeColor="text1"/>
                <w:kern w:val="0"/>
                <w:sz w:val="28"/>
                <w:szCs w:val="28"/>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（二）一般公共预算当年拨款结构情况</w:t>
            </w:r>
          </w:p>
          <w:p>
            <w:pPr>
              <w:pStyle w:val="2"/>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基本</w:t>
            </w:r>
            <w:r>
              <w:rPr>
                <w:rFonts w:hint="eastAsia" w:ascii="仿宋_GB2312" w:hAnsi="宋体" w:eastAsia="仿宋_GB2312" w:cs="宋体"/>
                <w:color w:val="000000" w:themeColor="text1"/>
                <w:kern w:val="0"/>
                <w:sz w:val="28"/>
                <w:szCs w:val="28"/>
                <w14:textFill>
                  <w14:solidFill>
                    <w14:schemeClr w14:val="tx1"/>
                  </w14:solidFill>
                </w14:textFill>
              </w:rPr>
              <w:t>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154.12</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w:t>
            </w:r>
            <w:r>
              <w:rPr>
                <w:rFonts w:hint="eastAsia" w:ascii="仿宋_GB2312" w:hAnsi="宋体" w:eastAsia="仿宋_GB2312" w:cs="宋体"/>
                <w:color w:val="000000" w:themeColor="text1"/>
                <w:kern w:val="0"/>
                <w:sz w:val="28"/>
                <w:szCs w:val="28"/>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eastAsia" w:ascii="楷体_GB2312" w:hAnsi="宋体" w:eastAsia="楷体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（三）一般公共预算当年拨款具体使用情况</w:t>
            </w:r>
          </w:p>
          <w:p>
            <w:pPr>
              <w:pStyle w:val="2"/>
              <w:keepNext w:val="0"/>
              <w:keepLines w:val="0"/>
              <w:pageBreakBefore w:val="0"/>
              <w:widowControl w:val="0"/>
              <w:kinsoku/>
              <w:wordWrap/>
              <w:overflowPunct/>
              <w:topLinePunct w:val="0"/>
              <w:autoSpaceDE/>
              <w:autoSpaceDN/>
              <w:bidi w:val="0"/>
              <w:adjustRightInd/>
              <w:spacing w:line="600" w:lineRule="exact"/>
              <w:ind w:firstLine="0" w:firstLineChars="0"/>
              <w:textAlignment w:val="auto"/>
              <w:rPr>
                <w:rFonts w:hint="eastAsia" w:eastAsia="仿宋_GB2312"/>
                <w:lang w:val="en-US" w:eastAsia="zh-CN"/>
              </w:rPr>
            </w:pPr>
            <w:r>
              <w:rPr>
                <w:rFonts w:hint="eastAsia" w:ascii="仿宋_GB2312" w:hAnsi="宋体" w:eastAsia="仿宋_GB2312" w:cs="宋体"/>
                <w:color w:val="000000" w:themeColor="text1"/>
                <w:kern w:val="0"/>
                <w:sz w:val="28"/>
                <w:szCs w:val="28"/>
                <w14:textFill>
                  <w14:solidFill>
                    <w14:schemeClr w14:val="tx1"/>
                  </w14:solidFill>
                </w14:textFill>
              </w:rPr>
              <w:t>　　</w:t>
            </w:r>
            <w:r>
              <w:rPr>
                <w:rStyle w:val="8"/>
                <w:rFonts w:hint="eastAsia" w:ascii="仿宋" w:hAnsi="仿宋" w:eastAsia="仿宋" w:cs="仿宋"/>
                <w:bCs/>
                <w:color w:val="000000"/>
                <w:sz w:val="28"/>
                <w:szCs w:val="28"/>
                <w:lang w:val="en-US" w:eastAsia="zh-CN"/>
              </w:rPr>
              <w:t>1.</w:t>
            </w:r>
            <w:r>
              <w:rPr>
                <w:rStyle w:val="8"/>
                <w:rFonts w:hint="eastAsia" w:ascii="仿宋" w:hAnsi="仿宋" w:eastAsia="仿宋" w:cs="仿宋"/>
                <w:bCs/>
                <w:color w:val="000000"/>
                <w:sz w:val="28"/>
                <w:szCs w:val="28"/>
                <w:lang w:val="en-US" w:eastAsia="zh-CN"/>
              </w:rPr>
              <w:t>文化旅游体育与传媒（类）文化和旅游</w:t>
            </w:r>
            <w:r>
              <w:rPr>
                <w:rStyle w:val="8"/>
                <w:rFonts w:hint="eastAsia" w:ascii="仿宋" w:hAnsi="仿宋" w:eastAsia="仿宋" w:cs="仿宋"/>
                <w:bCs/>
                <w:color w:val="000000"/>
                <w:sz w:val="28"/>
                <w:szCs w:val="28"/>
              </w:rPr>
              <w:t>（款）</w:t>
            </w:r>
            <w:r>
              <w:rPr>
                <w:rStyle w:val="8"/>
                <w:rFonts w:hint="eastAsia" w:ascii="仿宋" w:hAnsi="仿宋" w:eastAsia="仿宋" w:cs="仿宋"/>
                <w:bCs/>
                <w:color w:val="000000"/>
                <w:sz w:val="28"/>
                <w:szCs w:val="28"/>
                <w:lang w:eastAsia="zh-CN"/>
              </w:rPr>
              <w:t>群众文化</w:t>
            </w:r>
            <w:r>
              <w:rPr>
                <w:rFonts w:hint="eastAsia" w:ascii="仿宋" w:hAnsi="仿宋" w:eastAsia="仿宋" w:cs="仿宋"/>
                <w:b/>
                <w:bCs/>
                <w:color w:val="000000" w:themeColor="text1"/>
                <w:kern w:val="0"/>
                <w:sz w:val="28"/>
                <w:szCs w:val="28"/>
                <w14:textFill>
                  <w14:solidFill>
                    <w14:schemeClr w14:val="tx1"/>
                  </w14:solidFill>
                </w14:textFill>
              </w:rPr>
              <w:t>（项）</w:t>
            </w:r>
            <w:r>
              <w:rPr>
                <w:rFonts w:hint="eastAsia" w:ascii="仿宋" w:hAnsi="仿宋" w:eastAsia="仿宋" w:cs="仿宋"/>
                <w:b/>
                <w:bCs/>
                <w:color w:val="000000" w:themeColor="text1"/>
                <w:kern w:val="0"/>
                <w:sz w:val="28"/>
                <w:szCs w:val="28"/>
                <w:lang w:eastAsia="zh-CN"/>
                <w14:textFill>
                  <w14:solidFill>
                    <w14:schemeClr w14:val="tx1"/>
                  </w14:solidFill>
                </w14:textFill>
              </w:rPr>
              <w:t>：</w:t>
            </w:r>
            <w:r>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t>2024年预算数为120.66万元，主要用于：单位正常运转的基本支出，</w:t>
            </w:r>
            <w:r>
              <w:rPr>
                <w:rFonts w:hint="eastAsia" w:ascii="仿宋_GB2312" w:hAnsi="宋体" w:eastAsia="仿宋_GB2312" w:cs="宋体"/>
                <w:color w:val="000000" w:themeColor="text1"/>
                <w:kern w:val="0"/>
                <w:sz w:val="28"/>
                <w:szCs w:val="28"/>
                <w14:textFill>
                  <w14:solidFill>
                    <w14:schemeClr w14:val="tx1"/>
                  </w14:solidFill>
                </w14:textFill>
              </w:rPr>
              <w:t>包括基本工资、津贴补贴等人员经费以及办公费</w:t>
            </w:r>
            <w:r>
              <w:rPr>
                <w:rFonts w:hint="eastAsia" w:ascii="仿宋_GB2312" w:hAnsi="宋体" w:eastAsia="仿宋_GB2312" w:cs="宋体"/>
                <w:color w:val="000000" w:themeColor="text1"/>
                <w:kern w:val="0"/>
                <w:sz w:val="28"/>
                <w:szCs w:val="28"/>
                <w:lang w:eastAsia="zh-CN"/>
                <w14:textFill>
                  <w14:solidFill>
                    <w14:schemeClr w14:val="tx1"/>
                  </w14:solidFill>
                </w14:textFill>
              </w:rPr>
              <w:t>、培训费、电费、水费</w:t>
            </w:r>
            <w:r>
              <w:rPr>
                <w:rFonts w:hint="eastAsia" w:ascii="仿宋_GB2312" w:hAnsi="宋体" w:eastAsia="仿宋_GB2312" w:cs="宋体"/>
                <w:color w:val="000000" w:themeColor="text1"/>
                <w:kern w:val="0"/>
                <w:sz w:val="28"/>
                <w:szCs w:val="28"/>
                <w14:textFill>
                  <w14:solidFill>
                    <w14:schemeClr w14:val="tx1"/>
                  </w14:solidFill>
                </w14:textFill>
              </w:rPr>
              <w:t>等日常公用经费。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 w:hAnsi="仿宋" w:eastAsia="仿宋" w:cs="仿宋"/>
                <w:b/>
                <w:bCs/>
                <w:color w:val="000000" w:themeColor="text1"/>
                <w:kern w:val="0"/>
                <w:sz w:val="28"/>
                <w:szCs w:val="28"/>
                <w:lang w:val="en-US" w:eastAsia="zh-CN"/>
                <w14:textFill>
                  <w14:solidFill>
                    <w14:schemeClr w14:val="tx1"/>
                  </w14:solidFill>
                </w14:textFill>
              </w:rPr>
              <w:t>2.</w:t>
            </w:r>
            <w:r>
              <w:rPr>
                <w:rFonts w:hint="eastAsia" w:ascii="仿宋" w:hAnsi="仿宋" w:eastAsia="仿宋" w:cs="仿宋"/>
                <w:b/>
                <w:bCs/>
                <w:color w:val="000000" w:themeColor="text1"/>
                <w:kern w:val="0"/>
                <w:sz w:val="28"/>
                <w:szCs w:val="28"/>
                <w14:textFill>
                  <w14:solidFill>
                    <w14:schemeClr w14:val="tx1"/>
                  </w14:solidFill>
                </w14:textFill>
              </w:rPr>
              <w:t>社会保障和就业（类）行政事业</w:t>
            </w:r>
            <w:r>
              <w:rPr>
                <w:rFonts w:hint="eastAsia" w:ascii="仿宋" w:hAnsi="仿宋" w:eastAsia="仿宋" w:cs="仿宋"/>
                <w:b/>
                <w:bCs/>
                <w:color w:val="000000" w:themeColor="text1"/>
                <w:kern w:val="0"/>
                <w:sz w:val="28"/>
                <w:szCs w:val="28"/>
                <w:lang w:eastAsia="zh-CN"/>
                <w14:textFill>
                  <w14:solidFill>
                    <w14:schemeClr w14:val="tx1"/>
                  </w14:solidFill>
                </w14:textFill>
              </w:rPr>
              <w:t>单位养老</w:t>
            </w:r>
            <w:r>
              <w:rPr>
                <w:rFonts w:hint="eastAsia" w:ascii="仿宋" w:hAnsi="仿宋" w:eastAsia="仿宋" w:cs="仿宋"/>
                <w:b/>
                <w:bCs/>
                <w:color w:val="000000" w:themeColor="text1"/>
                <w:kern w:val="0"/>
                <w:sz w:val="28"/>
                <w:szCs w:val="28"/>
                <w14:textFill>
                  <w14:solidFill>
                    <w14:schemeClr w14:val="tx1"/>
                  </w14:solidFill>
                </w14:textFill>
              </w:rPr>
              <w:t>（款）机关事业单位基本养老保险缴费支出（项）: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14.17</w:t>
            </w:r>
            <w:r>
              <w:rPr>
                <w:rFonts w:hint="eastAsia" w:ascii="仿宋_GB2312" w:hAnsi="宋体" w:eastAsia="仿宋_GB2312" w:cs="宋体"/>
                <w:color w:val="000000" w:themeColor="text1"/>
                <w:kern w:val="0"/>
                <w:sz w:val="28"/>
                <w:szCs w:val="28"/>
                <w14:textFill>
                  <w14:solidFill>
                    <w14:schemeClr w14:val="tx1"/>
                  </w14:solidFill>
                </w14:textFill>
              </w:rPr>
              <w:t>万元，主要用于：实施养老保险制度后，部门按规定由单位缴纳的基本养老保险费支出</w:t>
            </w:r>
            <w:r>
              <w:rPr>
                <w:rFonts w:hint="eastAsia" w:ascii="仿宋_GB2312" w:hAnsi="宋体" w:eastAsia="仿宋_GB2312" w:cs="宋体"/>
                <w:color w:val="000000" w:themeColor="text1"/>
                <w:kern w:val="0"/>
                <w:sz w:val="28"/>
                <w:szCs w:val="28"/>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 w:hAnsi="仿宋" w:eastAsia="仿宋" w:cs="仿宋"/>
                <w:color w:val="000000" w:themeColor="text1"/>
                <w:kern w:val="0"/>
                <w:sz w:val="28"/>
                <w:szCs w:val="28"/>
                <w14:textFill>
                  <w14:solidFill>
                    <w14:schemeClr w14:val="tx1"/>
                  </w14:solidFill>
                </w14:textFill>
              </w:rPr>
              <w:t>　</w:t>
            </w:r>
            <w:r>
              <w:rPr>
                <w:rFonts w:hint="eastAsia" w:ascii="仿宋" w:hAnsi="仿宋" w:eastAsia="仿宋" w:cs="仿宋"/>
                <w:b/>
                <w:bCs/>
                <w:color w:val="000000" w:themeColor="text1"/>
                <w:kern w:val="0"/>
                <w:sz w:val="28"/>
                <w:szCs w:val="28"/>
                <w:lang w:val="en-US" w:eastAsia="zh-CN"/>
                <w14:textFill>
                  <w14:solidFill>
                    <w14:schemeClr w14:val="tx1"/>
                  </w14:solidFill>
                </w14:textFill>
              </w:rPr>
              <w:t>3</w:t>
            </w:r>
            <w:r>
              <w:rPr>
                <w:rFonts w:hint="eastAsia" w:ascii="仿宋" w:hAnsi="仿宋" w:eastAsia="仿宋" w:cs="仿宋"/>
                <w:b/>
                <w:bCs/>
                <w:color w:val="000000" w:themeColor="text1"/>
                <w:kern w:val="0"/>
                <w:sz w:val="28"/>
                <w:szCs w:val="28"/>
                <w14:textFill>
                  <w14:solidFill>
                    <w14:schemeClr w14:val="tx1"/>
                  </w14:solidFill>
                </w14:textFill>
              </w:rPr>
              <w:t>.卫生健康支出</w:t>
            </w:r>
            <w:r>
              <w:rPr>
                <w:rFonts w:hint="eastAsia" w:ascii="仿宋" w:hAnsi="仿宋" w:eastAsia="仿宋" w:cs="仿宋"/>
                <w:b/>
                <w:bCs/>
                <w:color w:val="000000" w:themeColor="text1"/>
                <w:kern w:val="0"/>
                <w:sz w:val="28"/>
                <w:szCs w:val="28"/>
                <w:lang w:val="en-US" w:eastAsia="zh-CN"/>
                <w14:textFill>
                  <w14:solidFill>
                    <w14:schemeClr w14:val="tx1"/>
                  </w14:solidFill>
                </w14:textFill>
              </w:rPr>
              <w:t xml:space="preserve"> </w:t>
            </w:r>
            <w:r>
              <w:rPr>
                <w:rFonts w:hint="eastAsia" w:ascii="仿宋" w:hAnsi="仿宋" w:eastAsia="仿宋" w:cs="仿宋"/>
                <w:b/>
                <w:bCs/>
                <w:color w:val="000000" w:themeColor="text1"/>
                <w:kern w:val="0"/>
                <w:sz w:val="28"/>
                <w:szCs w:val="28"/>
                <w14:textFill>
                  <w14:solidFill>
                    <w14:schemeClr w14:val="tx1"/>
                  </w14:solidFill>
                </w14:textFill>
              </w:rPr>
              <w:t>（类）行政事业单位医疗（款）事业单位医疗（项）: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7.02</w:t>
            </w:r>
            <w:r>
              <w:rPr>
                <w:rFonts w:hint="eastAsia" w:ascii="仿宋_GB2312" w:hAnsi="宋体" w:eastAsia="仿宋_GB2312" w:cs="宋体"/>
                <w:color w:val="000000" w:themeColor="text1"/>
                <w:kern w:val="0"/>
                <w:sz w:val="28"/>
                <w:szCs w:val="28"/>
                <w14:textFill>
                  <w14:solidFill>
                    <w14:schemeClr w14:val="tx1"/>
                  </w14:solidFill>
                </w14:textFill>
              </w:rPr>
              <w:t>万元，主要用于：部门下属事业单位基本医疗保险缴费支出。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 w:hAnsi="仿宋" w:eastAsia="仿宋" w:cs="仿宋"/>
                <w:b/>
                <w:bCs/>
                <w:color w:val="000000" w:themeColor="text1"/>
                <w:kern w:val="0"/>
                <w:sz w:val="28"/>
                <w:szCs w:val="28"/>
                <w:lang w:val="en-US" w:eastAsia="zh-CN"/>
                <w14:textFill>
                  <w14:solidFill>
                    <w14:schemeClr w14:val="tx1"/>
                  </w14:solidFill>
                </w14:textFill>
              </w:rPr>
              <w:t>4</w:t>
            </w:r>
            <w:r>
              <w:rPr>
                <w:rFonts w:hint="eastAsia" w:ascii="仿宋" w:hAnsi="仿宋" w:eastAsia="仿宋" w:cs="仿宋"/>
                <w:b/>
                <w:bCs/>
                <w:color w:val="000000" w:themeColor="text1"/>
                <w:kern w:val="0"/>
                <w:sz w:val="28"/>
                <w:szCs w:val="28"/>
                <w14:textFill>
                  <w14:solidFill>
                    <w14:schemeClr w14:val="tx1"/>
                  </w14:solidFill>
                </w14:textFill>
              </w:rPr>
              <w:t>.住房保障（类）住房改革支出（款）住房公积金（项）: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12.27</w:t>
            </w:r>
            <w:r>
              <w:rPr>
                <w:rFonts w:hint="eastAsia" w:ascii="仿宋_GB2312" w:hAnsi="宋体" w:eastAsia="仿宋_GB2312" w:cs="宋体"/>
                <w:color w:val="000000" w:themeColor="text1"/>
                <w:kern w:val="0"/>
                <w:sz w:val="28"/>
                <w:szCs w:val="28"/>
                <w14:textFill>
                  <w14:solidFill>
                    <w14:schemeClr w14:val="tx1"/>
                  </w14:solidFill>
                </w14:textFill>
              </w:rPr>
              <w:t xml:space="preserve">万元，主要用于：部门按人力资源和社会保障部、财政部规定的基本工资和津贴补贴以及规定比例为职工缴纳的住房公积金支出。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六、一般公共预算基本支出情况说明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梁永镇公共事务服务中心2024</w:t>
            </w:r>
            <w:r>
              <w:rPr>
                <w:rFonts w:hint="eastAsia" w:ascii="仿宋_GB2312" w:hAnsi="宋体" w:eastAsia="仿宋_GB2312" w:cs="宋体"/>
                <w:color w:val="000000" w:themeColor="text1"/>
                <w:kern w:val="0"/>
                <w:sz w:val="28"/>
                <w:szCs w:val="28"/>
                <w14:textFill>
                  <w14:solidFill>
                    <w14:schemeClr w14:val="tx1"/>
                  </w14:solidFill>
                </w14:textFill>
              </w:rPr>
              <w:t>年一般公共预算基本支出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154.12</w:t>
            </w:r>
            <w:r>
              <w:rPr>
                <w:rFonts w:hint="eastAsia" w:ascii="仿宋_GB2312" w:hAnsi="宋体" w:eastAsia="仿宋_GB2312" w:cs="宋体"/>
                <w:color w:val="000000" w:themeColor="text1"/>
                <w:kern w:val="0"/>
                <w:sz w:val="28"/>
                <w:szCs w:val="28"/>
                <w14:textFill>
                  <w14:solidFill>
                    <w14:schemeClr w14:val="tx1"/>
                  </w14:solidFill>
                </w14:textFill>
              </w:rPr>
              <w:t>万元，其中：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人员经费</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140.88</w:t>
            </w:r>
            <w:r>
              <w:rPr>
                <w:rFonts w:hint="eastAsia" w:ascii="仿宋_GB2312" w:hAnsi="宋体" w:eastAsia="仿宋_GB2312" w:cs="宋体"/>
                <w:color w:val="000000" w:themeColor="text1"/>
                <w:kern w:val="0"/>
                <w:sz w:val="28"/>
                <w:szCs w:val="28"/>
                <w14:textFill>
                  <w14:solidFill>
                    <w14:schemeClr w14:val="tx1"/>
                  </w14:solidFill>
                </w14:textFill>
              </w:rPr>
              <w:t>万元，主要包括：基本工资、津贴补贴、奖金、社会保险缴费、绩效工资、机关事业单位基本养老保险缴费、职业年金缴费、其他工资福利支出、离休费、住房公积金、其他对个人和家庭的补助支出。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公用经费</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13.24</w:t>
            </w:r>
            <w:bookmarkStart w:id="0" w:name="_GoBack"/>
            <w:bookmarkEnd w:id="0"/>
            <w:r>
              <w:rPr>
                <w:rFonts w:hint="eastAsia" w:ascii="仿宋_GB2312" w:hAnsi="宋体" w:eastAsia="仿宋_GB2312" w:cs="宋体"/>
                <w:color w:val="000000" w:themeColor="text1"/>
                <w:kern w:val="0"/>
                <w:sz w:val="28"/>
                <w:szCs w:val="28"/>
                <w14:textFill>
                  <w14:solidFill>
                    <w14:schemeClr w14:val="tx1"/>
                  </w14:solidFill>
                </w14:textFill>
              </w:rPr>
              <w:t>万元，主要包括：办公费、印刷费、手续费、水费、电费、邮电费、差旅费、维修（护）费、会议费、培训费、劳务费、工会经费、福利费、其他交通费、其他商品和服务支出。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七、“三公”经费财政拨款预算安排情况说明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梁永镇公共事务服务中心2024</w:t>
            </w:r>
            <w:r>
              <w:rPr>
                <w:rFonts w:hint="eastAsia" w:ascii="仿宋_GB2312" w:hAnsi="宋体" w:eastAsia="仿宋_GB2312" w:cs="宋体"/>
                <w:color w:val="000000" w:themeColor="text1"/>
                <w:kern w:val="0"/>
                <w:sz w:val="28"/>
                <w:szCs w:val="28"/>
                <w14:textFill>
                  <w14:solidFill>
                    <w14:schemeClr w14:val="tx1"/>
                  </w14:solidFill>
                </w14:textFill>
              </w:rPr>
              <w:t>年“三公”经费财政拨款预算数</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八、政府性基金预算支出情况说明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梁永镇公共事务服务中心2024</w:t>
            </w:r>
            <w:r>
              <w:rPr>
                <w:rFonts w:hint="eastAsia" w:ascii="仿宋_GB2312" w:hAnsi="宋体" w:eastAsia="仿宋_GB2312" w:cs="宋体"/>
                <w:color w:val="000000" w:themeColor="text1"/>
                <w:kern w:val="0"/>
                <w:sz w:val="28"/>
                <w:szCs w:val="28"/>
                <w14:textFill>
                  <w14:solidFill>
                    <w14:schemeClr w14:val="tx1"/>
                  </w14:solidFill>
                </w14:textFill>
              </w:rPr>
              <w:t>年没有使用政府性基金预算拨款安排的支出。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九、其他重要事项的情况说明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（一）机关运行经费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梁永镇公共事务服务中心无</w:t>
            </w:r>
            <w:r>
              <w:rPr>
                <w:rFonts w:hint="eastAsia" w:ascii="仿宋_GB2312" w:hAnsi="宋体" w:eastAsia="仿宋_GB2312" w:cs="宋体"/>
                <w:color w:val="000000" w:themeColor="text1"/>
                <w:kern w:val="0"/>
                <w:sz w:val="28"/>
                <w:szCs w:val="28"/>
                <w14:textFill>
                  <w14:solidFill>
                    <w14:schemeClr w14:val="tx1"/>
                  </w14:solidFill>
                </w14:textFill>
              </w:rPr>
              <w:t>下属单位运行经费。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（二）政府采购情况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梁永镇公共事务服务中心</w:t>
            </w:r>
            <w:r>
              <w:rPr>
                <w:rFonts w:hint="eastAsia" w:ascii="仿宋_GB2312" w:hAnsi="宋体" w:eastAsia="仿宋_GB2312" w:cs="宋体"/>
                <w:color w:val="000000" w:themeColor="text1"/>
                <w:kern w:val="0"/>
                <w:sz w:val="28"/>
                <w:szCs w:val="28"/>
                <w14:textFill>
                  <w14:solidFill>
                    <w14:schemeClr w14:val="tx1"/>
                  </w14:solidFill>
                </w14:textFill>
              </w:rPr>
              <w:t>安排政府采购预算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（三）国有资产占有使用情况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截至</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年底，</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梁永镇公共事务服务中心</w:t>
            </w:r>
            <w:r>
              <w:rPr>
                <w:rFonts w:hint="eastAsia" w:ascii="仿宋_GB2312" w:hAnsi="宋体" w:eastAsia="仿宋_GB2312" w:cs="宋体"/>
                <w:color w:val="000000" w:themeColor="text1"/>
                <w:kern w:val="0"/>
                <w:sz w:val="28"/>
                <w:szCs w:val="28"/>
                <w14:textFill>
                  <w14:solidFill>
                    <w14:schemeClr w14:val="tx1"/>
                  </w14:solidFill>
                </w14:textFill>
              </w:rPr>
              <w:t>所属各预算单位共有车辆</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（四）绩效目标设置情况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年财政厅部门通用项目和专用项目均按要求实行绩效目标管理，涉及一般公共预算当年拨款</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154.12</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xml:space="preserve">　　附件：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年部门预算公开报表</w:t>
            </w:r>
          </w:p>
        </w:tc>
      </w:tr>
      <w:tr>
        <w:tblPrEx>
          <w:tblCellMar>
            <w:top w:w="0" w:type="dxa"/>
            <w:left w:w="0" w:type="dxa"/>
            <w:bottom w:w="0" w:type="dxa"/>
            <w:right w:w="0" w:type="dxa"/>
          </w:tblCellMar>
        </w:tblPrEx>
        <w:trPr>
          <w:tblCellSpacing w:w="0" w:type="dxa"/>
          <w:jc w:val="center"/>
        </w:trPr>
        <w:tc>
          <w:tcPr>
            <w:tcW w:w="8360" w:type="dxa"/>
            <w:vAlign w:val="center"/>
          </w:tcPr>
          <w:p>
            <w:pPr>
              <w:widowControl/>
              <w:wordWrap w:val="0"/>
              <w:spacing w:line="360" w:lineRule="auto"/>
              <w:jc w:val="center"/>
              <w:rPr>
                <w:rFonts w:ascii="宋体" w:hAnsi="宋体" w:eastAsia="宋体" w:cs="宋体"/>
                <w:color w:val="000000" w:themeColor="text1"/>
                <w:kern w:val="0"/>
                <w:sz w:val="20"/>
                <w:szCs w:val="20"/>
                <w14:textFill>
                  <w14:solidFill>
                    <w14:schemeClr w14:val="tx1"/>
                  </w14:solidFill>
                </w14:textFill>
              </w:rPr>
            </w:pPr>
            <w:r>
              <w:rPr>
                <w:rFonts w:ascii="宋体" w:hAnsi="宋体" w:eastAsia="宋体" w:cs="宋体"/>
                <w:color w:val="000000" w:themeColor="text1"/>
                <w:kern w:val="0"/>
                <w:sz w:val="20"/>
                <w:szCs w:val="20"/>
                <w14:textFill>
                  <w14:solidFill>
                    <w14:schemeClr w14:val="tx1"/>
                  </w14:solidFill>
                </w14:textFill>
              </w:rPr>
              <w:t> </w:t>
            </w:r>
          </w:p>
        </w:tc>
      </w:tr>
    </w:tbl>
    <w:p>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jZjYyNDk2MzgzYjdhOTVhZWM1Yjg3ZjNlMzlmNzcifQ=="/>
  </w:docVars>
  <w:rsids>
    <w:rsidRoot w:val="006452C1"/>
    <w:rsid w:val="0009310D"/>
    <w:rsid w:val="000A2DE7"/>
    <w:rsid w:val="002F5B42"/>
    <w:rsid w:val="00430A67"/>
    <w:rsid w:val="00474DE5"/>
    <w:rsid w:val="004B058D"/>
    <w:rsid w:val="00532C45"/>
    <w:rsid w:val="006452C1"/>
    <w:rsid w:val="00687D24"/>
    <w:rsid w:val="006E7785"/>
    <w:rsid w:val="006F69EE"/>
    <w:rsid w:val="008640E2"/>
    <w:rsid w:val="009354DF"/>
    <w:rsid w:val="00AD2F67"/>
    <w:rsid w:val="00C40F78"/>
    <w:rsid w:val="00CA720C"/>
    <w:rsid w:val="00CF5987"/>
    <w:rsid w:val="00D34013"/>
    <w:rsid w:val="00D63EB5"/>
    <w:rsid w:val="00E802F4"/>
    <w:rsid w:val="00EB0203"/>
    <w:rsid w:val="01BB1885"/>
    <w:rsid w:val="03083D38"/>
    <w:rsid w:val="04206D9C"/>
    <w:rsid w:val="0A6E776C"/>
    <w:rsid w:val="145A112D"/>
    <w:rsid w:val="15CC1825"/>
    <w:rsid w:val="16195ECA"/>
    <w:rsid w:val="18C46D92"/>
    <w:rsid w:val="1B8F662B"/>
    <w:rsid w:val="22313791"/>
    <w:rsid w:val="22634AF3"/>
    <w:rsid w:val="2B500E37"/>
    <w:rsid w:val="30342413"/>
    <w:rsid w:val="31951019"/>
    <w:rsid w:val="375E1BAE"/>
    <w:rsid w:val="39131B26"/>
    <w:rsid w:val="3FF342D3"/>
    <w:rsid w:val="44D945D8"/>
    <w:rsid w:val="45FE550D"/>
    <w:rsid w:val="46077FBC"/>
    <w:rsid w:val="4CB81013"/>
    <w:rsid w:val="4DA61154"/>
    <w:rsid w:val="50194DBD"/>
    <w:rsid w:val="60B4178A"/>
    <w:rsid w:val="63B23A23"/>
    <w:rsid w:val="655A49B0"/>
    <w:rsid w:val="66AC391F"/>
    <w:rsid w:val="6A962537"/>
    <w:rsid w:val="76120095"/>
    <w:rsid w:val="7CEC5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Body Text"/>
    <w:basedOn w:val="1"/>
    <w:qFormat/>
    <w:uiPriority w:val="0"/>
    <w:pPr>
      <w:spacing w:beforeLines="30"/>
    </w:pPr>
    <w:rPr>
      <w:rFonts w:ascii="仿宋_GB2312" w:hAnsi="Times New Roman" w:eastAsia="仿宋_GB2312" w:cs="Times New Roman"/>
      <w:kern w:val="0"/>
      <w:sz w:val="30"/>
      <w:szCs w:val="24"/>
    </w:rPr>
  </w:style>
  <w:style w:type="paragraph" w:styleId="4">
    <w:name w:val="Balloon Text"/>
    <w:basedOn w:val="1"/>
    <w:link w:val="11"/>
    <w:semiHidden/>
    <w:unhideWhenUsed/>
    <w:qFormat/>
    <w:uiPriority w:val="99"/>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99"/>
    <w:rPr>
      <w:b/>
    </w:rPr>
  </w:style>
  <w:style w:type="character" w:customStyle="1" w:styleId="9">
    <w:name w:val="页眉 字符"/>
    <w:basedOn w:val="7"/>
    <w:link w:val="5"/>
    <w:qFormat/>
    <w:uiPriority w:val="99"/>
    <w:rPr>
      <w:sz w:val="18"/>
      <w:szCs w:val="18"/>
    </w:rPr>
  </w:style>
  <w:style w:type="character" w:customStyle="1" w:styleId="10">
    <w:name w:val="页脚 字符"/>
    <w:basedOn w:val="7"/>
    <w:link w:val="2"/>
    <w:autoRedefine/>
    <w:qFormat/>
    <w:uiPriority w:val="99"/>
    <w:rPr>
      <w:sz w:val="18"/>
      <w:szCs w:val="18"/>
    </w:rPr>
  </w:style>
  <w:style w:type="character" w:customStyle="1" w:styleId="11">
    <w:name w:val="批注框文本 字符"/>
    <w:basedOn w:val="7"/>
    <w:link w:val="4"/>
    <w:semiHidden/>
    <w:qFormat/>
    <w:uiPriority w:val="99"/>
    <w:rPr>
      <w:sz w:val="18"/>
      <w:szCs w:val="18"/>
    </w:rPr>
  </w:style>
  <w:style w:type="paragraph" w:customStyle="1" w:styleId="12">
    <w:name w:val="p16"/>
    <w:basedOn w:val="1"/>
    <w:qFormat/>
    <w:uiPriority w:val="0"/>
    <w:pPr>
      <w:widowControl/>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3434</Words>
  <Characters>3634</Characters>
  <Lines>17</Lines>
  <Paragraphs>4</Paragraphs>
  <TotalTime>5</TotalTime>
  <ScaleCrop>false</ScaleCrop>
  <LinksUpToDate>false</LinksUpToDate>
  <CharactersWithSpaces>3721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2017-03-21T07:10:00Z</dcterms:created>
  <dc:creator>程凯</dc:creator>
  <cp:lastModifiedBy>Administrator</cp:lastModifiedBy>
  <cp:lastPrinted>2020-07-02T03:02:00Z</cp:lastPrinted>
  <dcterms:modified xsi:type="dcterms:W3CDTF">2024-01-13T08:39:58Z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0F87D07EEF6A407F9687ECA3FFB4B37E_12</vt:lpwstr>
  </property>
</Properties>
</file>