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360" w:type="dxa"/>
        <w:jc w:val="center"/>
        <w:tblCellSpacing w:w="0" w:type="dxa"/>
        <w:tblLayout w:type="autofit"/>
        <w:tblCellMar>
          <w:top w:w="0" w:type="dxa"/>
          <w:left w:w="0" w:type="dxa"/>
          <w:bottom w:w="0" w:type="dxa"/>
          <w:right w:w="0" w:type="dxa"/>
        </w:tblCellMar>
      </w:tblPr>
      <w:tblGrid>
        <w:gridCol w:w="8360"/>
      </w:tblGrid>
      <w:tr>
        <w:tblPrEx>
          <w:tblCellMar>
            <w:top w:w="0" w:type="dxa"/>
            <w:left w:w="0" w:type="dxa"/>
            <w:bottom w:w="0" w:type="dxa"/>
            <w:right w:w="0" w:type="dxa"/>
          </w:tblCellMar>
        </w:tblPrEx>
        <w:trPr>
          <w:trHeight w:val="7500" w:hRule="atLeast"/>
          <w:tblCellSpacing w:w="0" w:type="dxa"/>
          <w:jc w:val="center"/>
        </w:trPr>
        <w:tc>
          <w:tcPr>
            <w:tcW w:w="8360" w:type="dxa"/>
            <w:tcMar>
              <w:top w:w="150" w:type="dxa"/>
              <w:left w:w="0" w:type="dxa"/>
              <w:bottom w:w="0" w:type="dxa"/>
              <w:right w:w="0" w:type="dxa"/>
            </w:tcMar>
          </w:tcPr>
          <w:p>
            <w:pPr>
              <w:keepNext w:val="0"/>
              <w:keepLines w:val="0"/>
              <w:pageBreakBefore w:val="0"/>
              <w:widowControl w:val="0"/>
              <w:kinsoku/>
              <w:wordWrap/>
              <w:overflowPunct/>
              <w:topLinePunct w:val="0"/>
              <w:autoSpaceDE/>
              <w:autoSpaceDN/>
              <w:bidi w:val="0"/>
              <w:adjustRightInd/>
              <w:snapToGrid/>
              <w:spacing w:line="380" w:lineRule="exact"/>
              <w:ind w:firstLine="1800" w:firstLineChars="500"/>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t>巴中市巴州区</w:t>
            </w: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梁永镇农业综合服务中心</w:t>
            </w:r>
          </w:p>
          <w:p>
            <w:pPr>
              <w:pStyle w:val="3"/>
              <w:adjustRightInd w:val="0"/>
              <w:snapToGrid w:val="0"/>
              <w:spacing w:before="93" w:line="600" w:lineRule="exact"/>
              <w:ind w:left="718" w:leftChars="342" w:firstLine="1800" w:firstLineChars="500"/>
              <w:jc w:val="left"/>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2024</w:t>
            </w:r>
            <w:r>
              <w:rPr>
                <w:rFonts w:hint="eastAsia" w:ascii="方正小标宋简体" w:hAnsi="宋体" w:eastAsia="方正小标宋简体" w:cs="宋体"/>
                <w:color w:val="000000" w:themeColor="text1"/>
                <w:kern w:val="0"/>
                <w:sz w:val="36"/>
                <w:szCs w:val="36"/>
                <w14:textFill>
                  <w14:solidFill>
                    <w14:schemeClr w14:val="tx1"/>
                  </w14:solidFill>
                </w14:textFill>
              </w:rPr>
              <w:t>年部门预算编制说明</w:t>
            </w:r>
          </w:p>
          <w:p>
            <w:pPr>
              <w:pStyle w:val="3"/>
              <w:adjustRightInd w:val="0"/>
              <w:snapToGrid w:val="0"/>
              <w:spacing w:before="93" w:line="600" w:lineRule="exact"/>
              <w:ind w:firstLine="560" w:firstLineChars="200"/>
              <w:jc w:val="left"/>
              <w:rPr>
                <w:rFonts w:hint="eastAsia" w:ascii="黑体" w:hAnsi="黑体" w:eastAsia="黑体" w:cs="宋体"/>
                <w:color w:val="000000" w:themeColor="text1"/>
                <w:kern w:val="0"/>
                <w:sz w:val="28"/>
                <w:szCs w:val="28"/>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一、基本职能及主要工作</w:t>
            </w:r>
          </w:p>
          <w:p>
            <w:pPr>
              <w:pStyle w:val="3"/>
              <w:adjustRightInd w:val="0"/>
              <w:snapToGrid w:val="0"/>
              <w:spacing w:before="93" w:line="600" w:lineRule="exact"/>
              <w:ind w:firstLine="560" w:firstLineChars="200"/>
              <w:jc w:val="left"/>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梁永镇农业综合服务中心</w:t>
            </w:r>
            <w:r>
              <w:rPr>
                <w:rFonts w:hint="eastAsia" w:ascii="楷体_GB2312" w:hAnsi="宋体" w:eastAsia="楷体_GB2312" w:cs="宋体"/>
                <w:color w:val="000000" w:themeColor="text1"/>
                <w:kern w:val="0"/>
                <w:sz w:val="28"/>
                <w:szCs w:val="28"/>
                <w14:textFill>
                  <w14:solidFill>
                    <w14:schemeClr w14:val="tx1"/>
                  </w14:solidFill>
                </w14:textFill>
              </w:rPr>
              <w:t>职能简介</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rPr>
              <w:t>农机站职能：</w:t>
            </w:r>
            <w:r>
              <w:rPr>
                <w:rFonts w:hint="eastAsia"/>
                <w:color w:val="000000"/>
                <w:sz w:val="28"/>
                <w:szCs w:val="28"/>
                <w:shd w:val="clear" w:color="auto" w:fill="FFFFFF"/>
                <w:lang w:val="en-US" w:eastAsia="zh-CN"/>
              </w:rPr>
              <w:t>1</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农业机械购置补贴工作</w:t>
            </w: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2、</w:t>
            </w:r>
            <w:r>
              <w:rPr>
                <w:rFonts w:hint="eastAsia" w:ascii="仿宋_GB2312" w:eastAsia="仿宋_GB2312"/>
                <w:color w:val="000000"/>
                <w:sz w:val="28"/>
                <w:szCs w:val="28"/>
                <w:shd w:val="clear" w:color="auto" w:fill="FFFFFF"/>
              </w:rPr>
              <w:t>农机新机具新技术推广工作</w:t>
            </w: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3、</w:t>
            </w:r>
            <w:r>
              <w:rPr>
                <w:rFonts w:hint="eastAsia" w:ascii="仿宋_GB2312" w:eastAsia="仿宋_GB2312"/>
                <w:color w:val="000000"/>
                <w:sz w:val="28"/>
                <w:szCs w:val="28"/>
                <w:shd w:val="clear" w:color="auto" w:fill="FFFFFF"/>
              </w:rPr>
              <w:t>农业机械安全监督管理检验</w:t>
            </w: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4、</w:t>
            </w:r>
            <w:r>
              <w:rPr>
                <w:rFonts w:hint="eastAsia" w:ascii="仿宋_GB2312" w:eastAsia="仿宋_GB2312"/>
                <w:color w:val="000000"/>
                <w:sz w:val="28"/>
                <w:szCs w:val="28"/>
                <w:shd w:val="clear" w:color="auto" w:fill="FFFFFF"/>
              </w:rPr>
              <w:t>农机技术培训技术咨询</w:t>
            </w: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5、</w:t>
            </w:r>
            <w:r>
              <w:rPr>
                <w:rFonts w:hint="eastAsia" w:ascii="仿宋_GB2312" w:eastAsia="仿宋_GB2312"/>
                <w:color w:val="000000"/>
                <w:sz w:val="28"/>
                <w:szCs w:val="28"/>
                <w:shd w:val="clear" w:color="auto" w:fill="FFFFFF"/>
              </w:rPr>
              <w:t>乡村机耕道建设管理</w:t>
            </w: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6、</w:t>
            </w:r>
            <w:r>
              <w:rPr>
                <w:rFonts w:hint="eastAsia" w:ascii="仿宋_GB2312" w:eastAsia="仿宋_GB2312"/>
                <w:color w:val="000000"/>
                <w:sz w:val="28"/>
                <w:szCs w:val="28"/>
                <w:shd w:val="clear" w:color="auto" w:fill="FFFFFF"/>
              </w:rPr>
              <w:t>乡村机电提灌站建设和管理</w:t>
            </w: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7、</w:t>
            </w:r>
            <w:r>
              <w:rPr>
                <w:rFonts w:hint="eastAsia" w:ascii="仿宋_GB2312" w:eastAsia="仿宋_GB2312"/>
                <w:color w:val="000000"/>
                <w:sz w:val="28"/>
                <w:szCs w:val="28"/>
                <w:shd w:val="clear" w:color="auto" w:fill="FFFFFF"/>
              </w:rPr>
              <w:t>农村农机具销售，维修市场监督管理。</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农技站职能：1、主持农技站全面工作，做好站务管理、财务管理工作。2、制订农技站年度目标责任制，做好全站干部职工的管理和考核工作。3、围绕农业结构调整，做好新品种、新技术试验、示范、推广工作。4、联系科技示范户，进行技术指导，做好农技辐射推广工作。5、搞好农业科普宣传、咨询、培训工作。6、做好上级部门和农业办公室领导交办的其他各项工作。工作纪律按照各项工作的要求及时完成，办事认真、高效，做到上情下达、下情上传，具体工作无重大失误;服务及时、高效、热情、到位;管理规范，监督有力，责任落实，任务完成。</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农经站工作职能：1、为农村合同经济健康发展提供管理保障，乡镇农经站工作职责。2、负责土地承包、村集体资产管理。3、负责农村产业化经营、农村合作经济组织管理。4、负责农民负担监督、农村财务管理工作。5、负责农村经济统计、农村经济体系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畜牧站职能：1、宣传贯彻国家有关发展畜牧兽医食品业的方针、政策、法规，协助乡政府制定全乡畜牧业发展规划、年度计划、具体措施并贯彻实施；2、指导全乡畜牧业科技推广计划、规化并组织实施，指导全乡畜牧业生产科技、培训村畜牧业科技员、基层干部和农民技术员进行科技示范，提供畜牧业技术服务；3、建立健全需求疫病防治、畜禽良种改良、饲料饲草开发利用、畜产品及流通等一系列配套服务；4、收集国内外行业技术信息和市场信息，提供信息服务和信息咨询；5、协同有关部门搞好全乡的畜产品及其产品的专业市场管理，健全交易市场体系；6、负责并组织对全乡的畜禽及其产品的产地、屠宰检疫工作，并加强运输和市场的监督力度；7、负责全乡的各种动物疫病监测、预防、控制、扑灭工作，并对兽药残留、饲料及其饲料添加剂安全使用进行监测。</w:t>
            </w:r>
          </w:p>
          <w:p>
            <w:pPr>
              <w:pStyle w:val="3"/>
              <w:adjustRightInd w:val="0"/>
              <w:snapToGrid w:val="0"/>
              <w:spacing w:before="93" w:line="600" w:lineRule="exact"/>
              <w:ind w:firstLine="560" w:firstLineChars="200"/>
              <w:jc w:val="left"/>
              <w:rPr>
                <w:rFonts w:hint="eastAsia" w:ascii="仿宋_GB2312" w:eastAsia="仿宋_GB2312" w:hAnsiTheme="minorHAnsi" w:cstheme="minorBidi"/>
                <w:color w:val="000000"/>
                <w:kern w:val="2"/>
                <w:sz w:val="28"/>
                <w:szCs w:val="28"/>
                <w:shd w:val="clear" w:color="auto" w:fill="FFFFFF"/>
              </w:rPr>
            </w:pPr>
            <w:r>
              <w:rPr>
                <w:rFonts w:hint="eastAsia" w:ascii="仿宋_GB2312" w:eastAsia="仿宋_GB2312"/>
                <w:color w:val="000000"/>
                <w:sz w:val="28"/>
                <w:szCs w:val="28"/>
                <w:shd w:val="clear" w:color="auto" w:fill="FFFFFF"/>
              </w:rPr>
              <w:t>林业站职能：</w:t>
            </w:r>
            <w:r>
              <w:rPr>
                <w:rFonts w:hint="eastAsia"/>
                <w:color w:val="000000"/>
                <w:sz w:val="28"/>
                <w:szCs w:val="28"/>
                <w:shd w:val="clear" w:color="auto" w:fill="FFFFFF"/>
                <w:lang w:val="en-US" w:eastAsia="zh-CN"/>
              </w:rPr>
              <w:t>1、</w:t>
            </w:r>
            <w:r>
              <w:rPr>
                <w:rFonts w:hint="eastAsia" w:ascii="仿宋_GB2312" w:eastAsia="仿宋_GB2312"/>
                <w:color w:val="000000"/>
                <w:sz w:val="28"/>
                <w:szCs w:val="28"/>
                <w:shd w:val="clear" w:color="auto" w:fill="FFFFFF"/>
              </w:rPr>
              <w:t>宣传与贯彻执行森林、植物资源保护等法律、法规和各项林业方针、政策；</w:t>
            </w:r>
            <w:r>
              <w:rPr>
                <w:rFonts w:hint="eastAsia"/>
                <w:color w:val="000000"/>
                <w:sz w:val="28"/>
                <w:szCs w:val="28"/>
                <w:shd w:val="clear" w:color="auto" w:fill="FFFFFF"/>
                <w:lang w:val="en-US" w:eastAsia="zh-CN"/>
              </w:rPr>
              <w:t>2、</w:t>
            </w:r>
            <w:r>
              <w:rPr>
                <w:rFonts w:hint="eastAsia" w:ascii="仿宋_GB2312" w:eastAsia="仿宋_GB2312"/>
                <w:color w:val="000000"/>
                <w:sz w:val="28"/>
                <w:szCs w:val="28"/>
                <w:shd w:val="clear" w:color="auto" w:fill="FFFFFF"/>
              </w:rPr>
              <w:t>协助乡镇人民政府制定林业发展规划和年度计划，组织和指导农村集体、个人开展林业生产活动；</w:t>
            </w:r>
            <w:r>
              <w:rPr>
                <w:rFonts w:hint="eastAsia"/>
                <w:color w:val="000000"/>
                <w:sz w:val="28"/>
                <w:szCs w:val="28"/>
                <w:shd w:val="clear" w:color="auto" w:fill="FFFFFF"/>
                <w:lang w:val="en-US" w:eastAsia="zh-CN"/>
              </w:rPr>
              <w:t>3、</w:t>
            </w:r>
            <w:r>
              <w:rPr>
                <w:rFonts w:hint="eastAsia" w:ascii="仿宋_GB2312" w:eastAsia="仿宋_GB2312"/>
                <w:color w:val="000000"/>
                <w:sz w:val="28"/>
                <w:szCs w:val="28"/>
                <w:shd w:val="clear" w:color="auto" w:fill="FFFFFF"/>
              </w:rPr>
              <w:t>配合林业主管部门做好森林防火、森林病虫害防治工作；</w:t>
            </w:r>
            <w:r>
              <w:rPr>
                <w:rFonts w:hint="eastAsia"/>
                <w:color w:val="000000"/>
                <w:sz w:val="28"/>
                <w:szCs w:val="28"/>
                <w:shd w:val="clear" w:color="auto" w:fill="FFFFFF"/>
                <w:lang w:val="en-US" w:eastAsia="zh-CN"/>
              </w:rPr>
              <w:t>4、</w:t>
            </w:r>
            <w:r>
              <w:rPr>
                <w:rFonts w:hint="eastAsia" w:ascii="仿宋_GB2312" w:eastAsia="仿宋_GB2312"/>
                <w:color w:val="000000"/>
                <w:sz w:val="28"/>
                <w:szCs w:val="28"/>
                <w:shd w:val="clear" w:color="auto" w:fill="FFFFFF"/>
              </w:rPr>
              <w:t>建立健全乡村护林网络，负责护林队伍的建设；</w:t>
            </w:r>
            <w:r>
              <w:rPr>
                <w:rFonts w:hint="eastAsia"/>
                <w:color w:val="000000"/>
                <w:sz w:val="28"/>
                <w:szCs w:val="28"/>
                <w:shd w:val="clear" w:color="auto" w:fill="FFFFFF"/>
                <w:lang w:val="en-US" w:eastAsia="zh-CN"/>
              </w:rPr>
              <w:t>5、</w:t>
            </w:r>
            <w:r>
              <w:rPr>
                <w:rFonts w:hint="eastAsia" w:ascii="仿宋_GB2312" w:eastAsia="仿宋_GB2312"/>
                <w:color w:val="000000"/>
                <w:sz w:val="28"/>
                <w:szCs w:val="28"/>
                <w:shd w:val="clear" w:color="auto" w:fill="FFFFFF"/>
              </w:rPr>
              <w:t>推广林业科学技术，开展林业技术培训、技术咨询和技术服务等林业服务。</w:t>
            </w:r>
          </w:p>
          <w:p>
            <w:pPr>
              <w:ind w:firstLine="555"/>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（二）</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梁永镇农业综合服务中心2024</w:t>
            </w:r>
            <w:r>
              <w:rPr>
                <w:rFonts w:hint="eastAsia" w:ascii="楷体_GB2312" w:hAnsi="宋体" w:eastAsia="楷体_GB2312" w:cs="宋体"/>
                <w:color w:val="000000" w:themeColor="text1"/>
                <w:kern w:val="0"/>
                <w:sz w:val="28"/>
                <w:szCs w:val="28"/>
                <w14:textFill>
                  <w14:solidFill>
                    <w14:schemeClr w14:val="tx1"/>
                  </w14:solidFill>
                </w14:textFill>
              </w:rPr>
              <w:t>年重点工作</w:t>
            </w:r>
          </w:p>
          <w:p>
            <w:pPr>
              <w:ind w:firstLine="555"/>
              <w:rPr>
                <w:rFonts w:ascii="仿宋_GB2312" w:eastAsia="仿宋_GB2312"/>
                <w:color w:val="000000"/>
                <w:sz w:val="28"/>
                <w:szCs w:val="28"/>
                <w:shd w:val="clear" w:color="auto" w:fill="FFFFFF"/>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lang w:eastAsia="zh-CN"/>
              </w:rPr>
              <w:t>2024</w:t>
            </w:r>
            <w:r>
              <w:rPr>
                <w:rFonts w:hint="eastAsia" w:ascii="仿宋_GB2312" w:eastAsia="仿宋_GB2312"/>
                <w:color w:val="000000"/>
                <w:sz w:val="28"/>
                <w:szCs w:val="28"/>
                <w:shd w:val="clear" w:color="auto" w:fill="FFFFFF"/>
              </w:rPr>
              <w:t>年在镇党委、政府的正确领导下，在上级业务主管部门的具体指导下，围绕实施乡村振兴战略，完成农业机械年度检审工作，农业机械推广工作，农机作业管理工作，在夏收夏种、秋收秋种工作中积极调度、合理调配机具，加强安全管理工作。压滤机滤布及时完成作业任务，未发生重大农机事故。有效地促进了农业生产，保证了农民生命和财产安全；试验示范的设计、实施、记载、统计分析、总结工作，全面完成农技站年初制订的工作任务目标，完成农业办公室下达的联系点工作指标；农村土地承包管理步入法制规范化轨道、全面加强完成农村土地承包经营权证补换发工作；努力发展畜牧业生产，大力推进标准化规模化养殖，积极开展动物疫病防控工作；不断加大林政管理工作力度，开展预防松材线虫病宣传和春秋季普查工作，森林防火工作严格实行全天候禁止一切野外用火，加大巡查力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二、部门预算单位构成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eastAsia="仿宋_GB2312"/>
                <w:color w:val="000000"/>
                <w:sz w:val="28"/>
                <w:szCs w:val="28"/>
                <w:shd w:val="clear" w:color="auto" w:fill="FFFFFF"/>
                <w:lang w:eastAsia="zh-CN"/>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lang w:eastAsia="zh-CN"/>
              </w:rPr>
              <w:t>梁永</w:t>
            </w:r>
            <w:r>
              <w:rPr>
                <w:rFonts w:hint="eastAsia" w:ascii="仿宋_GB2312" w:eastAsia="仿宋_GB2312"/>
                <w:color w:val="000000"/>
                <w:sz w:val="28"/>
                <w:szCs w:val="28"/>
                <w:shd w:val="clear" w:color="auto" w:fill="FFFFFF"/>
              </w:rPr>
              <w:t>镇</w:t>
            </w:r>
            <w:r>
              <w:rPr>
                <w:rFonts w:ascii="仿宋_GB2312" w:eastAsia="仿宋_GB2312"/>
                <w:color w:val="000000"/>
                <w:sz w:val="28"/>
                <w:szCs w:val="28"/>
                <w:shd w:val="clear" w:color="auto" w:fill="FFFFFF"/>
              </w:rPr>
              <w:t>农业</w:t>
            </w:r>
            <w:r>
              <w:rPr>
                <w:rFonts w:hint="eastAsia" w:ascii="仿宋_GB2312" w:eastAsia="仿宋_GB2312"/>
                <w:color w:val="000000"/>
                <w:sz w:val="28"/>
                <w:szCs w:val="28"/>
                <w:shd w:val="clear" w:color="auto" w:fill="FFFFFF"/>
                <w:lang w:eastAsia="zh-CN"/>
              </w:rPr>
              <w:t>综合</w:t>
            </w:r>
            <w:r>
              <w:rPr>
                <w:rFonts w:hint="eastAsia" w:ascii="仿宋_GB2312" w:eastAsia="仿宋_GB2312"/>
                <w:color w:val="000000"/>
                <w:sz w:val="28"/>
                <w:szCs w:val="28"/>
                <w:shd w:val="clear" w:color="auto" w:fill="FFFFFF"/>
              </w:rPr>
              <w:t>服务</w:t>
            </w:r>
            <w:r>
              <w:rPr>
                <w:rFonts w:ascii="仿宋_GB2312" w:eastAsia="仿宋_GB2312"/>
                <w:color w:val="000000"/>
                <w:sz w:val="28"/>
                <w:szCs w:val="28"/>
                <w:shd w:val="clear" w:color="auto" w:fill="FFFFFF"/>
              </w:rPr>
              <w:t>中心</w:t>
            </w:r>
            <w:r>
              <w:rPr>
                <w:rFonts w:hint="eastAsia" w:ascii="仿宋_GB2312" w:eastAsia="仿宋_GB2312"/>
                <w:color w:val="000000"/>
                <w:sz w:val="28"/>
                <w:szCs w:val="28"/>
                <w:shd w:val="clear" w:color="auto" w:fill="FFFFFF"/>
              </w:rPr>
              <w:t>属二级预算单位。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三、收支预算情况说明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按照综合预算的原则，</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w:t>
            </w:r>
            <w:r>
              <w:rPr>
                <w:rFonts w:hint="eastAsia" w:ascii="仿宋_GB2312" w:hAnsi="宋体" w:eastAsia="仿宋_GB2312" w:cs="宋体"/>
                <w:color w:val="000000" w:themeColor="text1"/>
                <w:kern w:val="0"/>
                <w:sz w:val="28"/>
                <w:szCs w:val="28"/>
                <w14:textFill>
                  <w14:solidFill>
                    <w14:schemeClr w14:val="tx1"/>
                  </w14:solidFill>
                </w14:textFill>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梁永镇农业综合服务中心2024</w:t>
            </w:r>
            <w:r>
              <w:rPr>
                <w:rFonts w:hint="eastAsia" w:ascii="仿宋_GB2312" w:hAnsi="宋体" w:eastAsia="仿宋_GB2312" w:cs="宋体"/>
                <w:color w:val="000000" w:themeColor="text1"/>
                <w:kern w:val="0"/>
                <w:sz w:val="28"/>
                <w:szCs w:val="28"/>
                <w14:textFill>
                  <w14:solidFill>
                    <w14:schemeClr w14:val="tx1"/>
                  </w14:solidFill>
                </w14:textFill>
              </w:rPr>
              <w:t>年收支总预算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（一）收入预算情况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年收入预算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万元，其中：上年结转</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（二）支出预算情况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梁永镇农业综合服务中心2024</w:t>
            </w:r>
            <w:r>
              <w:rPr>
                <w:rFonts w:hint="eastAsia" w:ascii="仿宋_GB2312" w:hAnsi="宋体" w:eastAsia="仿宋_GB2312" w:cs="宋体"/>
                <w:color w:val="000000" w:themeColor="text1"/>
                <w:kern w:val="0"/>
                <w:sz w:val="28"/>
                <w:szCs w:val="28"/>
                <w14:textFill>
                  <w14:solidFill>
                    <w14:schemeClr w14:val="tx1"/>
                  </w14:solidFill>
                </w14:textFill>
              </w:rPr>
              <w:t>年支出预算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万元，其中：基本支出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四、财政拨款收支预算情况说明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梁永镇农业综合服务中心2024</w:t>
            </w:r>
            <w:r>
              <w:rPr>
                <w:rFonts w:hint="eastAsia" w:ascii="仿宋_GB2312" w:hAnsi="宋体" w:eastAsia="仿宋_GB2312" w:cs="宋体"/>
                <w:color w:val="000000" w:themeColor="text1"/>
                <w:kern w:val="0"/>
                <w:sz w:val="28"/>
                <w:szCs w:val="28"/>
                <w14:textFill>
                  <w14:solidFill>
                    <w14:schemeClr w14:val="tx1"/>
                  </w14:solidFill>
                </w14:textFill>
              </w:rPr>
              <w:t>年财政拨款收支总预算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万元；支出包括：（社会保障和就业支出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12.49</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、医疗卫生与计划生育支出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6.5</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农林水支出 103.99万元、</w:t>
            </w:r>
            <w:r>
              <w:rPr>
                <w:rFonts w:hint="eastAsia" w:ascii="仿宋_GB2312" w:hAnsi="宋体" w:eastAsia="仿宋_GB2312" w:cs="宋体"/>
                <w:color w:val="000000" w:themeColor="text1"/>
                <w:kern w:val="0"/>
                <w:sz w:val="28"/>
                <w:szCs w:val="28"/>
                <w14:textFill>
                  <w14:solidFill>
                    <w14:schemeClr w14:val="tx1"/>
                  </w14:solidFill>
                </w14:textFill>
              </w:rPr>
              <w:t>住房保障支出</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10.68</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五、一般公共预算当年拨款情况说明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　（一）一般公共预算当年拨款规模变化情况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万元，比</w:t>
            </w:r>
            <w:r>
              <w:rPr>
                <w:rFonts w:hint="eastAsia" w:ascii="仿宋_GB2312" w:hAnsi="宋体" w:eastAsia="仿宋_GB2312" w:cs="宋体"/>
                <w:color w:val="000000" w:themeColor="text1"/>
                <w:kern w:val="0"/>
                <w:sz w:val="28"/>
                <w:szCs w:val="28"/>
                <w:lang w:eastAsia="zh-CN"/>
                <w14:textFill>
                  <w14:solidFill>
                    <w14:schemeClr w14:val="tx1"/>
                  </w14:solidFill>
                </w14:textFill>
              </w:rPr>
              <w:t>2023</w:t>
            </w:r>
            <w:r>
              <w:rPr>
                <w:rFonts w:hint="eastAsia" w:ascii="仿宋_GB2312" w:hAnsi="宋体" w:eastAsia="仿宋_GB2312" w:cs="宋体"/>
                <w:color w:val="000000" w:themeColor="text1"/>
                <w:kern w:val="0"/>
                <w:sz w:val="28"/>
                <w:szCs w:val="28"/>
                <w14:textFill>
                  <w14:solidFill>
                    <w14:schemeClr w14:val="tx1"/>
                  </w14:solidFill>
                </w14:textFill>
              </w:rPr>
              <w:t>年预算数</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0.36</w:t>
            </w:r>
            <w:r>
              <w:rPr>
                <w:rFonts w:hint="eastAsia" w:ascii="仿宋_GB2312" w:hAnsi="宋体" w:eastAsia="仿宋_GB2312" w:cs="宋体"/>
                <w:color w:val="000000" w:themeColor="text1"/>
                <w:kern w:val="0"/>
                <w:sz w:val="28"/>
                <w:szCs w:val="28"/>
                <w14:textFill>
                  <w14:solidFill>
                    <w14:schemeClr w14:val="tx1"/>
                  </w14:solidFill>
                </w14:textFill>
              </w:rPr>
              <w:t>万元。主要是根据部门年度工作计划，</w:t>
            </w:r>
            <w:r>
              <w:rPr>
                <w:rFonts w:hint="eastAsia" w:ascii="仿宋_GB2312" w:hAnsi="宋体" w:eastAsia="仿宋_GB2312" w:cs="宋体"/>
                <w:color w:val="000000" w:themeColor="text1"/>
                <w:kern w:val="0"/>
                <w:sz w:val="28"/>
                <w:szCs w:val="28"/>
                <w:lang w:eastAsia="zh-CN"/>
                <w14:textFill>
                  <w14:solidFill>
                    <w14:schemeClr w14:val="tx1"/>
                  </w14:solidFill>
                </w14:textFill>
              </w:rPr>
              <w:t>人员</w:t>
            </w:r>
            <w:r>
              <w:rPr>
                <w:rFonts w:hint="eastAsia" w:ascii="仿宋_GB2312" w:hAnsi="宋体" w:eastAsia="仿宋_GB2312" w:cs="宋体"/>
                <w:color w:val="000000" w:themeColor="text1"/>
                <w:kern w:val="0"/>
                <w:sz w:val="28"/>
                <w:szCs w:val="28"/>
                <w14:textFill>
                  <w14:solidFill>
                    <w14:schemeClr w14:val="tx1"/>
                  </w14:solidFill>
                </w14:textFill>
              </w:rPr>
              <w:t>有所</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（二）一般公共预算当年拨款结构情况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基本</w:t>
            </w:r>
            <w:r>
              <w:rPr>
                <w:rFonts w:hint="eastAsia" w:ascii="仿宋_GB2312" w:hAnsi="宋体" w:eastAsia="仿宋_GB2312" w:cs="宋体"/>
                <w:color w:val="000000" w:themeColor="text1"/>
                <w:kern w:val="0"/>
                <w:sz w:val="28"/>
                <w:szCs w:val="28"/>
                <w14:textFill>
                  <w14:solidFill>
                    <w14:schemeClr w14:val="tx1"/>
                  </w14:solidFill>
                </w14:textFill>
              </w:rPr>
              <w:t>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8"/>
                <w:szCs w:val="28"/>
                <w14:textFill>
                  <w14:solidFill>
                    <w14:schemeClr w14:val="tx1"/>
                  </w14:solidFill>
                </w14:textFill>
              </w:rPr>
              <w:t>1.社会保障和就业（类）行政事业</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单位养老</w:t>
            </w:r>
            <w:r>
              <w:rPr>
                <w:rFonts w:hint="eastAsia" w:ascii="仿宋_GB2312" w:hAnsi="宋体" w:eastAsia="仿宋_GB2312" w:cs="宋体"/>
                <w:b/>
                <w:bCs/>
                <w:color w:val="000000" w:themeColor="text1"/>
                <w:kern w:val="0"/>
                <w:sz w:val="28"/>
                <w:szCs w:val="28"/>
                <w14:textFill>
                  <w14:solidFill>
                    <w14:schemeClr w14:val="tx1"/>
                  </w14:solidFill>
                </w14:textFill>
              </w:rPr>
              <w:t>（款）机关事业单位基本养老保险缴费支出（项）: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12.49</w:t>
            </w:r>
            <w:r>
              <w:rPr>
                <w:rFonts w:hint="eastAsia" w:ascii="仿宋_GB2312" w:hAnsi="宋体" w:eastAsia="仿宋_GB2312" w:cs="宋体"/>
                <w:color w:val="000000" w:themeColor="text1"/>
                <w:kern w:val="0"/>
                <w:sz w:val="28"/>
                <w:szCs w:val="28"/>
                <w14:textFill>
                  <w14:solidFill>
                    <w14:schemeClr w14:val="tx1"/>
                  </w14:solidFill>
                </w14:textFill>
              </w:rPr>
              <w:t>万元，主要用于：实施养老保险制度后，部门按规定由单位缴纳的基本养老保险费支出。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2</w:t>
            </w:r>
            <w:r>
              <w:rPr>
                <w:rFonts w:hint="eastAsia" w:ascii="仿宋_GB2312" w:hAnsi="宋体" w:eastAsia="仿宋_GB2312" w:cs="宋体"/>
                <w:b/>
                <w:bCs/>
                <w:color w:val="000000" w:themeColor="text1"/>
                <w:kern w:val="0"/>
                <w:sz w:val="28"/>
                <w:szCs w:val="28"/>
                <w14:textFill>
                  <w14:solidFill>
                    <w14:schemeClr w14:val="tx1"/>
                  </w14:solidFill>
                </w14:textFill>
              </w:rPr>
              <w:t>.卫生健康支出</w:t>
            </w: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b/>
                <w:bCs/>
                <w:color w:val="000000" w:themeColor="text1"/>
                <w:kern w:val="0"/>
                <w:sz w:val="28"/>
                <w:szCs w:val="28"/>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6.5</w:t>
            </w:r>
            <w:r>
              <w:rPr>
                <w:rFonts w:hint="eastAsia" w:ascii="仿宋_GB2312" w:hAnsi="宋体" w:eastAsia="仿宋_GB2312" w:cs="宋体"/>
                <w:color w:val="000000" w:themeColor="text1"/>
                <w:kern w:val="0"/>
                <w:sz w:val="28"/>
                <w:szCs w:val="28"/>
                <w14:textFill>
                  <w14:solidFill>
                    <w14:schemeClr w14:val="tx1"/>
                  </w14:solidFill>
                </w14:textFill>
              </w:rPr>
              <w:t>万元，主要用于：部门下属事业单位基本医疗保险缴费支出。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3.农林水支出</w:t>
            </w:r>
            <w:r>
              <w:rPr>
                <w:rFonts w:hint="eastAsia" w:ascii="仿宋_GB2312" w:hAnsi="宋体" w:eastAsia="仿宋_GB2312" w:cs="宋体"/>
                <w:b/>
                <w:bCs/>
                <w:color w:val="000000" w:themeColor="text1"/>
                <w:kern w:val="0"/>
                <w:sz w:val="28"/>
                <w:szCs w:val="28"/>
                <w14:textFill>
                  <w14:solidFill>
                    <w14:schemeClr w14:val="tx1"/>
                  </w14:solidFill>
                </w14:textFill>
              </w:rPr>
              <w:t>（类）农业农村（款）</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事业运行</w:t>
            </w:r>
            <w:r>
              <w:rPr>
                <w:rFonts w:hint="eastAsia" w:ascii="仿宋_GB2312" w:hAnsi="宋体" w:eastAsia="仿宋_GB2312" w:cs="宋体"/>
                <w:b/>
                <w:bCs/>
                <w:color w:val="000000" w:themeColor="text1"/>
                <w:kern w:val="0"/>
                <w:sz w:val="28"/>
                <w:szCs w:val="28"/>
                <w14:textFill>
                  <w14:solidFill>
                    <w14:schemeClr w14:val="tx1"/>
                  </w14:solidFill>
                </w14:textFill>
              </w:rPr>
              <w:t>（项）: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103.99</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主要用于：</w:t>
            </w:r>
            <w:r>
              <w:rPr>
                <w:rFonts w:hint="eastAsia" w:ascii="仿宋_GB2312" w:hAnsi="宋体" w:eastAsia="仿宋_GB2312" w:cs="宋体"/>
                <w:color w:val="000000" w:themeColor="text1"/>
                <w:kern w:val="0"/>
                <w:sz w:val="28"/>
                <w:szCs w:val="28"/>
                <w14:textFill>
                  <w14:solidFill>
                    <w14:schemeClr w14:val="tx1"/>
                  </w14:solidFill>
                </w14:textFill>
              </w:rPr>
              <w:t>单位正常运转的基本支出，包括基本工资、津贴补贴</w:t>
            </w:r>
            <w:r>
              <w:rPr>
                <w:rFonts w:hint="eastAsia" w:ascii="仿宋_GB2312" w:hAnsi="宋体" w:eastAsia="仿宋_GB2312" w:cs="宋体"/>
                <w:color w:val="000000" w:themeColor="text1"/>
                <w:kern w:val="0"/>
                <w:sz w:val="28"/>
                <w:szCs w:val="28"/>
                <w:lang w:eastAsia="zh-CN"/>
                <w14:textFill>
                  <w14:solidFill>
                    <w14:schemeClr w14:val="tx1"/>
                  </w14:solidFill>
                </w14:textFill>
              </w:rPr>
              <w:t>、绩效工资</w:t>
            </w:r>
            <w:r>
              <w:rPr>
                <w:rFonts w:hint="eastAsia" w:ascii="仿宋_GB2312" w:hAnsi="宋体" w:eastAsia="仿宋_GB2312" w:cs="宋体"/>
                <w:color w:val="000000" w:themeColor="text1"/>
                <w:kern w:val="0"/>
                <w:sz w:val="28"/>
                <w:szCs w:val="28"/>
                <w14:textFill>
                  <w14:solidFill>
                    <w14:schemeClr w14:val="tx1"/>
                  </w14:solidFill>
                </w14:textFill>
              </w:rPr>
              <w:t>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、差旅费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4</w:t>
            </w:r>
            <w:r>
              <w:rPr>
                <w:rFonts w:hint="eastAsia" w:ascii="仿宋_GB2312" w:hAnsi="宋体" w:eastAsia="仿宋_GB2312" w:cs="宋体"/>
                <w:b/>
                <w:bCs/>
                <w:color w:val="000000" w:themeColor="text1"/>
                <w:kern w:val="0"/>
                <w:sz w:val="28"/>
                <w:szCs w:val="28"/>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10.68</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万元，主要用于：部门按人力资源和社会保障部、财政部规定的基本工资和津贴补贴以及规定比例为职工缴纳的住房公积金支出。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六、一般公共预算基本支出情况说明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人员经费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124.55</w:t>
            </w:r>
            <w:r>
              <w:rPr>
                <w:rFonts w:hint="eastAsia" w:ascii="仿宋_GB2312" w:hAnsi="宋体" w:eastAsia="仿宋_GB2312" w:cs="宋体"/>
                <w:color w:val="000000" w:themeColor="text1"/>
                <w:kern w:val="0"/>
                <w:sz w:val="28"/>
                <w:szCs w:val="28"/>
                <w14:textFill>
                  <w14:solidFill>
                    <w14:schemeClr w14:val="tx1"/>
                  </w14:solidFill>
                </w14:textFill>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公用经费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9.12</w:t>
            </w:r>
            <w:bookmarkStart w:id="0" w:name="_GoBack"/>
            <w:bookmarkEnd w:id="0"/>
            <w:r>
              <w:rPr>
                <w:rFonts w:hint="eastAsia" w:ascii="仿宋_GB2312" w:hAnsi="宋体" w:eastAsia="仿宋_GB2312" w:cs="宋体"/>
                <w:color w:val="000000" w:themeColor="text1"/>
                <w:kern w:val="0"/>
                <w:sz w:val="28"/>
                <w:szCs w:val="28"/>
                <w14:textFill>
                  <w14:solidFill>
                    <w14:schemeClr w14:val="tx1"/>
                  </w14:solidFill>
                </w14:textFill>
              </w:rPr>
              <w:t>万元，主要包括：办公费、印刷费、手续费、水费、电费、邮电费、差旅费、维修（护）费、会议费、培训费、劳务费、工会经费、福利费、其他交通费、其他商品和服务支出。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七、“三公”经费财政拨款预算安排情况说明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梁永镇农业综合服务中心2024</w:t>
            </w:r>
            <w:r>
              <w:rPr>
                <w:rFonts w:hint="eastAsia" w:ascii="仿宋_GB2312" w:hAnsi="宋体" w:eastAsia="仿宋_GB2312" w:cs="宋体"/>
                <w:color w:val="000000" w:themeColor="text1"/>
                <w:kern w:val="0"/>
                <w:sz w:val="28"/>
                <w:szCs w:val="28"/>
                <w14:textFill>
                  <w14:solidFill>
                    <w14:schemeClr w14:val="tx1"/>
                  </w14:solidFill>
                </w14:textFill>
              </w:rPr>
              <w:t>年“三公”经费财政拨款预算数</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八、政府性基金预算支出情况说明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梁永镇农业综合服务中心2024</w:t>
            </w:r>
            <w:r>
              <w:rPr>
                <w:rFonts w:hint="eastAsia" w:ascii="仿宋_GB2312" w:hAnsi="宋体" w:eastAsia="仿宋_GB2312" w:cs="宋体"/>
                <w:color w:val="000000" w:themeColor="text1"/>
                <w:kern w:val="0"/>
                <w:sz w:val="28"/>
                <w:szCs w:val="28"/>
                <w14:textFill>
                  <w14:solidFill>
                    <w14:schemeClr w14:val="tx1"/>
                  </w14:solidFill>
                </w14:textFill>
              </w:rPr>
              <w:t>年没有使用政府性基金预算拨款安排的支出。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九、其他重要事项的情况说明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（一）机关运行经费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梁永镇农业综合服务中心无</w:t>
            </w:r>
            <w:r>
              <w:rPr>
                <w:rFonts w:hint="eastAsia" w:ascii="仿宋_GB2312" w:hAnsi="宋体" w:eastAsia="仿宋_GB2312" w:cs="宋体"/>
                <w:color w:val="000000" w:themeColor="text1"/>
                <w:kern w:val="0"/>
                <w:sz w:val="28"/>
                <w:szCs w:val="28"/>
                <w14:textFill>
                  <w14:solidFill>
                    <w14:schemeClr w14:val="tx1"/>
                  </w14:solidFill>
                </w14:textFill>
              </w:rPr>
              <w:t>下属单位运行经费。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w:t>
            </w:r>
            <w:r>
              <w:rPr>
                <w:rFonts w:hint="eastAsia" w:ascii="仿宋_GB2312" w:hAnsi="宋体" w:eastAsia="仿宋_GB2312" w:cs="宋体"/>
                <w:color w:val="000000" w:themeColor="text1"/>
                <w:kern w:val="0"/>
                <w:sz w:val="28"/>
                <w:szCs w:val="28"/>
                <w14:textFill>
                  <w14:solidFill>
                    <w14:schemeClr w14:val="tx1"/>
                  </w14:solidFill>
                </w14:textFill>
              </w:rPr>
              <w:t>安排政府采购预算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截至</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年底，</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梁永镇农业综合服务中心</w:t>
            </w:r>
            <w:r>
              <w:rPr>
                <w:rFonts w:hint="eastAsia" w:ascii="仿宋_GB2312" w:hAnsi="宋体" w:eastAsia="仿宋_GB2312" w:cs="宋体"/>
                <w:color w:val="000000" w:themeColor="text1"/>
                <w:kern w:val="0"/>
                <w:sz w:val="28"/>
                <w:szCs w:val="28"/>
                <w14:textFill>
                  <w14:solidFill>
                    <w14:schemeClr w14:val="tx1"/>
                  </w14:solidFill>
                </w14:textFill>
              </w:rPr>
              <w:t>所属各预算单位共有车辆</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（四）绩效目标设置情况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133.67</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xml:space="preserve">　　附件：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年部门预算公开报表</w:t>
            </w:r>
          </w:p>
        </w:tc>
      </w:tr>
      <w:tr>
        <w:tblPrEx>
          <w:tblCellMar>
            <w:top w:w="0" w:type="dxa"/>
            <w:left w:w="0" w:type="dxa"/>
            <w:bottom w:w="0" w:type="dxa"/>
            <w:right w:w="0" w:type="dxa"/>
          </w:tblCellMar>
        </w:tblPrEx>
        <w:trPr>
          <w:tblCellSpacing w:w="0" w:type="dxa"/>
          <w:jc w:val="center"/>
        </w:trPr>
        <w:tc>
          <w:tcPr>
            <w:tcW w:w="8360" w:type="dxa"/>
            <w:vAlign w:val="center"/>
          </w:tcPr>
          <w:p>
            <w:pPr>
              <w:widowControl/>
              <w:wordWrap w:val="0"/>
              <w:spacing w:line="360" w:lineRule="auto"/>
              <w:jc w:val="center"/>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 </w:t>
            </w:r>
          </w:p>
        </w:tc>
      </w:tr>
    </w:tbl>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jZjYyNDk2MzgzYjdhOTVhZWM1Yjg3ZjNlMzlmNzcifQ=="/>
  </w:docVars>
  <w:rsids>
    <w:rsidRoot w:val="006452C1"/>
    <w:rsid w:val="0009310D"/>
    <w:rsid w:val="000A2DE7"/>
    <w:rsid w:val="002F5B42"/>
    <w:rsid w:val="00430A67"/>
    <w:rsid w:val="00474DE5"/>
    <w:rsid w:val="004B058D"/>
    <w:rsid w:val="00532C45"/>
    <w:rsid w:val="006452C1"/>
    <w:rsid w:val="00687D24"/>
    <w:rsid w:val="006E7785"/>
    <w:rsid w:val="006F69EE"/>
    <w:rsid w:val="008640E2"/>
    <w:rsid w:val="009354DF"/>
    <w:rsid w:val="00AD2F67"/>
    <w:rsid w:val="00C40F78"/>
    <w:rsid w:val="00CA720C"/>
    <w:rsid w:val="00CF5987"/>
    <w:rsid w:val="00D34013"/>
    <w:rsid w:val="00D63EB5"/>
    <w:rsid w:val="00E802F4"/>
    <w:rsid w:val="00EB0203"/>
    <w:rsid w:val="03083D38"/>
    <w:rsid w:val="0A6E776C"/>
    <w:rsid w:val="16195ECA"/>
    <w:rsid w:val="18C46D92"/>
    <w:rsid w:val="1B8F662B"/>
    <w:rsid w:val="22313791"/>
    <w:rsid w:val="22634AF3"/>
    <w:rsid w:val="25AC38B5"/>
    <w:rsid w:val="2B500E37"/>
    <w:rsid w:val="39131B26"/>
    <w:rsid w:val="3AAA53BA"/>
    <w:rsid w:val="3FF342D3"/>
    <w:rsid w:val="44D945D8"/>
    <w:rsid w:val="4C9C728D"/>
    <w:rsid w:val="4CB81013"/>
    <w:rsid w:val="4DA61154"/>
    <w:rsid w:val="4F1402F6"/>
    <w:rsid w:val="56F42740"/>
    <w:rsid w:val="58A8550B"/>
    <w:rsid w:val="5CDC7EFE"/>
    <w:rsid w:val="62D77330"/>
    <w:rsid w:val="63B23A23"/>
    <w:rsid w:val="66AC391F"/>
    <w:rsid w:val="682E3072"/>
    <w:rsid w:val="735571F7"/>
    <w:rsid w:val="75093998"/>
    <w:rsid w:val="7A9D0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Body Text"/>
    <w:basedOn w:val="1"/>
    <w:qFormat/>
    <w:uiPriority w:val="0"/>
    <w:pPr>
      <w:spacing w:beforeLines="30"/>
    </w:pPr>
    <w:rPr>
      <w:rFonts w:ascii="仿宋_GB2312" w:hAnsi="Times New Roman" w:eastAsia="仿宋_GB2312" w:cs="Times New Roman"/>
      <w:kern w:val="0"/>
      <w:sz w:val="30"/>
      <w:szCs w:val="24"/>
    </w:rPr>
  </w:style>
  <w:style w:type="paragraph" w:styleId="4">
    <w:name w:val="Balloon Text"/>
    <w:basedOn w:val="1"/>
    <w:link w:val="11"/>
    <w:semiHidden/>
    <w:unhideWhenUsed/>
    <w:qFormat/>
    <w:uiPriority w:val="99"/>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2"/>
    <w:qFormat/>
    <w:uiPriority w:val="99"/>
    <w:rPr>
      <w:sz w:val="18"/>
      <w:szCs w:val="18"/>
    </w:rPr>
  </w:style>
  <w:style w:type="character" w:customStyle="1" w:styleId="11">
    <w:name w:val="批注框文本 字符"/>
    <w:basedOn w:val="7"/>
    <w:link w:val="4"/>
    <w:autoRedefine/>
    <w:semiHidden/>
    <w:qFormat/>
    <w:uiPriority w:val="99"/>
    <w:rPr>
      <w:sz w:val="18"/>
      <w:szCs w:val="18"/>
    </w:rPr>
  </w:style>
  <w:style w:type="paragraph" w:customStyle="1" w:styleId="12">
    <w:name w:val="p16"/>
    <w:basedOn w:val="1"/>
    <w:autoRedefine/>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2878</Words>
  <Characters>3064</Characters>
  <Lines>17</Lines>
  <Paragraphs>4</Paragraphs>
  <TotalTime>8</TotalTime>
  <ScaleCrop>false</ScaleCrop>
  <LinksUpToDate>false</LinksUpToDate>
  <CharactersWithSpaces>3143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2024-01-13T08:21:16Z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00C8246920B6461C94BFE1BCD3F44C1C_12</vt:lpwstr>
  </property>
</Properties>
</file>