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rPr>
          <w:rFonts w:ascii="方正小标宋_GBK" w:hAnsi="方正小标宋_GBK" w:eastAsia="方正小标宋_GBK" w:cs="方正小标宋_GBK"/>
          <w:b/>
          <w:bCs/>
          <w:color w:val="000000" w:themeColor="text1"/>
          <w:sz w:val="44"/>
          <w:szCs w:val="44"/>
          <w14:textFill>
            <w14:solidFill>
              <w14:schemeClr w14:val="tx1"/>
            </w14:solidFill>
          </w14:textFill>
        </w:rPr>
      </w:pPr>
      <w:r>
        <w:rPr>
          <w:rFonts w:hint="eastAsia" w:ascii="方正小标宋_GBK" w:hAnsi="方正小标宋_GBK" w:eastAsia="方正小标宋_GBK" w:cs="方正小标宋_GBK"/>
          <w:b/>
          <w:bCs/>
          <w:color w:val="000000" w:themeColor="text1"/>
          <w:sz w:val="44"/>
          <w:szCs w:val="44"/>
          <w14:textFill>
            <w14:solidFill>
              <w14:schemeClr w14:val="tx1"/>
            </w14:solidFill>
          </w14:textFill>
        </w:rPr>
        <w:t>巴州区江</w:t>
      </w:r>
      <w:r>
        <w:rPr>
          <w:rFonts w:hint="eastAsia" w:ascii="方正小标宋_GBK" w:hAnsi="方正小标宋_GBK" w:eastAsia="方正小标宋_GBK" w:cs="方正小标宋_GBK"/>
          <w:b/>
          <w:bCs/>
          <w:color w:val="000000" w:themeColor="text1"/>
          <w:sz w:val="44"/>
          <w:szCs w:val="44"/>
          <w:lang w:eastAsia="zh-CN"/>
          <w14:textFill>
            <w14:solidFill>
              <w14:schemeClr w14:val="tx1"/>
            </w14:solidFill>
          </w14:textFill>
        </w:rPr>
        <w:t>平梁镇农民工</w:t>
      </w:r>
      <w:r>
        <w:rPr>
          <w:rFonts w:hint="eastAsia" w:ascii="方正小标宋_GBK" w:hAnsi="方正小标宋_GBK" w:eastAsia="方正小标宋_GBK" w:cs="方正小标宋_GBK"/>
          <w:b/>
          <w:bCs/>
          <w:color w:val="000000" w:themeColor="text1"/>
          <w:sz w:val="44"/>
          <w:szCs w:val="44"/>
          <w14:textFill>
            <w14:solidFill>
              <w14:schemeClr w14:val="tx1"/>
            </w14:solidFill>
          </w14:textFill>
        </w:rPr>
        <w:t>服务中心</w:t>
      </w:r>
    </w:p>
    <w:p>
      <w:pPr>
        <w:ind w:firstLine="1761" w:firstLineChars="400"/>
        <w:rPr>
          <w:rFonts w:ascii="方正小标宋_GBK" w:hAnsi="方正小标宋_GBK" w:eastAsia="方正小标宋_GBK" w:cs="方正小标宋_GBK"/>
          <w:b/>
          <w:bCs/>
          <w:color w:val="000000" w:themeColor="text1"/>
          <w:sz w:val="44"/>
          <w:szCs w:val="44"/>
          <w14:textFill>
            <w14:solidFill>
              <w14:schemeClr w14:val="tx1"/>
            </w14:solidFill>
          </w14:textFill>
        </w:rPr>
      </w:pPr>
      <w:r>
        <w:rPr>
          <w:rFonts w:hint="eastAsia" w:ascii="Times New Roman" w:hAnsi="Times New Roman" w:eastAsia="方正小标宋_GBK" w:cs="Times New Roman"/>
          <w:b/>
          <w:bCs/>
          <w:color w:val="000000" w:themeColor="text1"/>
          <w:sz w:val="44"/>
          <w:szCs w:val="44"/>
          <w:lang w:eastAsia="zh-CN"/>
          <w14:textFill>
            <w14:solidFill>
              <w14:schemeClr w14:val="tx1"/>
            </w14:solidFill>
          </w14:textFill>
        </w:rPr>
        <w:t>2024</w:t>
      </w:r>
      <w:r>
        <w:rPr>
          <w:rFonts w:hint="eastAsia" w:ascii="方正小标宋_GBK" w:hAnsi="方正小标宋_GBK" w:eastAsia="方正小标宋_GBK" w:cs="方正小标宋_GBK"/>
          <w:b/>
          <w:bCs/>
          <w:color w:val="000000" w:themeColor="text1"/>
          <w:sz w:val="44"/>
          <w:szCs w:val="44"/>
          <w14:textFill>
            <w14:solidFill>
              <w14:schemeClr w14:val="tx1"/>
            </w14:solidFill>
          </w14:textFill>
        </w:rPr>
        <w:t>年部门预算编制说明</w:t>
      </w: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00" w:firstLineChars="200"/>
        <w:jc w:val="center"/>
        <w:rPr>
          <w:rFonts w:ascii="方正小标宋_GBK" w:hAnsi="方正小标宋_GBK" w:eastAsia="方正小标宋_GBK" w:cs="方正小标宋_GBK"/>
          <w:color w:val="000000" w:themeColor="text1"/>
          <w:sz w:val="40"/>
          <w:szCs w:val="40"/>
          <w14:textFill>
            <w14:solidFill>
              <w14:schemeClr w14:val="tx1"/>
            </w14:solidFill>
          </w14:textFill>
        </w:rPr>
      </w:pPr>
    </w:p>
    <w:p>
      <w:pPr>
        <w:ind w:firstLine="2881" w:firstLineChars="800"/>
        <w:rPr>
          <w:rFonts w:ascii="方正小标宋_GBK" w:hAnsi="方正小标宋_GBK" w:eastAsia="方正小标宋_GBK" w:cs="方正小标宋_GBK"/>
          <w:b/>
          <w:bCs/>
          <w:color w:val="000000" w:themeColor="text1"/>
          <w:sz w:val="36"/>
          <w:szCs w:val="36"/>
          <w14:textFill>
            <w14:solidFill>
              <w14:schemeClr w14:val="tx1"/>
            </w14:solidFill>
          </w14:textFill>
        </w:rPr>
      </w:pPr>
      <w:r>
        <w:rPr>
          <w:rFonts w:hint="eastAsia" w:ascii="Times New Roman" w:hAnsi="Times New Roman" w:eastAsia="方正小标宋_GBK" w:cs="Times New Roman"/>
          <w:b/>
          <w:bCs/>
          <w:color w:val="000000" w:themeColor="text1"/>
          <w:sz w:val="36"/>
          <w:szCs w:val="36"/>
          <w:lang w:eastAsia="zh-CN"/>
          <w14:textFill>
            <w14:solidFill>
              <w14:schemeClr w14:val="tx1"/>
            </w14:solidFill>
          </w14:textFill>
        </w:rPr>
        <w:t>2024</w:t>
      </w:r>
      <w:r>
        <w:rPr>
          <w:rFonts w:hint="eastAsia" w:ascii="方正小标宋_GBK" w:hAnsi="方正小标宋_GBK" w:eastAsia="方正小标宋_GBK" w:cs="方正小标宋_GBK"/>
          <w:b/>
          <w:bCs/>
          <w:color w:val="000000" w:themeColor="text1"/>
          <w:sz w:val="36"/>
          <w:szCs w:val="36"/>
          <w14:textFill>
            <w14:solidFill>
              <w14:schemeClr w14:val="tx1"/>
            </w14:solidFill>
          </w14:textFill>
        </w:rPr>
        <w:t>年</w:t>
      </w:r>
      <w:r>
        <w:rPr>
          <w:rFonts w:hint="eastAsia" w:ascii="方正小标宋_GBK" w:hAnsi="方正小标宋_GBK" w:eastAsia="方正小标宋_GBK" w:cs="方正小标宋_GBK"/>
          <w:b/>
          <w:bCs/>
          <w:color w:val="000000" w:themeColor="text1"/>
          <w:sz w:val="36"/>
          <w:szCs w:val="36"/>
          <w:lang w:val="en-US" w:eastAsia="zh-CN"/>
          <w14:textFill>
            <w14:solidFill>
              <w14:schemeClr w14:val="tx1"/>
            </w14:solidFill>
          </w14:textFill>
        </w:rPr>
        <w:t xml:space="preserve"> 7 </w:t>
      </w:r>
      <w:r>
        <w:rPr>
          <w:rFonts w:hint="eastAsia" w:ascii="方正小标宋_GBK" w:hAnsi="方正小标宋_GBK" w:eastAsia="方正小标宋_GBK" w:cs="方正小标宋_GBK"/>
          <w:b/>
          <w:bCs/>
          <w:color w:val="000000" w:themeColor="text1"/>
          <w:sz w:val="36"/>
          <w:szCs w:val="36"/>
          <w14:textFill>
            <w14:solidFill>
              <w14:schemeClr w14:val="tx1"/>
            </w14:solidFill>
          </w14:textFill>
        </w:rPr>
        <w:t>月</w:t>
      </w:r>
      <w:r>
        <w:rPr>
          <w:rFonts w:hint="eastAsia" w:ascii="方正小标宋_GBK" w:hAnsi="方正小标宋_GBK" w:eastAsia="方正小标宋_GBK" w:cs="方正小标宋_GBK"/>
          <w:b/>
          <w:bCs/>
          <w:color w:val="000000" w:themeColor="text1"/>
          <w:sz w:val="36"/>
          <w:szCs w:val="36"/>
          <w:lang w:val="en-US" w:eastAsia="zh-CN"/>
          <w14:textFill>
            <w14:solidFill>
              <w14:schemeClr w14:val="tx1"/>
            </w14:solidFill>
          </w14:textFill>
        </w:rPr>
        <w:t xml:space="preserve"> 9 </w:t>
      </w:r>
      <w:r>
        <w:rPr>
          <w:rFonts w:hint="eastAsia" w:ascii="方正小标宋_GBK" w:hAnsi="方正小标宋_GBK" w:eastAsia="方正小标宋_GBK" w:cs="方正小标宋_GBK"/>
          <w:b/>
          <w:bCs/>
          <w:color w:val="000000" w:themeColor="text1"/>
          <w:sz w:val="36"/>
          <w:szCs w:val="36"/>
          <w14:textFill>
            <w14:solidFill>
              <w14:schemeClr w14:val="tx1"/>
            </w14:solidFill>
          </w14:textFill>
        </w:rPr>
        <w:t>日</w:t>
      </w: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ind w:firstLine="880" w:firstLineChars="200"/>
        <w:jc w:val="center"/>
        <w:rPr>
          <w:rFonts w:ascii="方正小标宋_GBK" w:hAnsi="方正小标宋_GBK" w:eastAsia="方正小标宋_GBK" w:cs="方正小标宋_GBK"/>
          <w:color w:val="000000" w:themeColor="text1"/>
          <w:sz w:val="44"/>
          <w:szCs w:val="44"/>
          <w14:textFill>
            <w14:solidFill>
              <w14:schemeClr w14:val="tx1"/>
            </w14:solidFill>
          </w14:textFill>
        </w:rPr>
      </w:pPr>
    </w:p>
    <w:p>
      <w:pPr>
        <w:jc w:val="both"/>
        <w:rPr>
          <w:rFonts w:ascii="方正小标宋_GBK" w:hAnsi="方正小标宋_GBK" w:eastAsia="方正小标宋_GBK" w:cs="方正小标宋_GBK"/>
          <w:color w:val="000000" w:themeColor="text1"/>
          <w:sz w:val="44"/>
          <w:szCs w:val="44"/>
          <w14:textFill>
            <w14:solidFill>
              <w14:schemeClr w14:val="tx1"/>
            </w14:solidFill>
          </w14:textFill>
        </w:rPr>
      </w:pPr>
    </w:p>
    <w:sdt>
      <w:sdtPr>
        <w:rPr>
          <w:rFonts w:hint="eastAsia" w:ascii="方正小标宋_GBK" w:hAnsi="方正小标宋_GBK" w:eastAsia="方正小标宋_GBK" w:cs="方正小标宋_GBK"/>
          <w:b/>
          <w:bCs/>
          <w:sz w:val="44"/>
          <w:szCs w:val="44"/>
        </w:rPr>
        <w:id w:val="147477612"/>
        <w:docPartObj>
          <w:docPartGallery w:val="Table of Contents"/>
          <w:docPartUnique/>
        </w:docPartObj>
      </w:sdtPr>
      <w:sdtEndPr>
        <w:rPr>
          <w:rFonts w:hint="eastAsia" w:ascii="方正小标宋_GBK" w:hAnsi="方正小标宋_GBK" w:eastAsia="方正小标宋_GBK" w:cs="方正小标宋_GBK"/>
          <w:b/>
          <w:bCs/>
          <w:color w:val="000000" w:themeColor="text1"/>
          <w:sz w:val="21"/>
          <w:szCs w:val="44"/>
          <w14:textFill>
            <w14:solidFill>
              <w14:schemeClr w14:val="tx1"/>
            </w14:solidFill>
          </w14:textFill>
        </w:rPr>
      </w:sdtEndPr>
      <w:sdtContent>
        <w:p>
          <w:pPr>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目</w:t>
          </w:r>
          <w:r>
            <w:rPr>
              <w:rFonts w:hint="eastAsia" w:ascii="方正小标宋_GBK" w:hAnsi="方正小标宋_GBK" w:eastAsia="方正小标宋_GBK" w:cs="方正小标宋_GBK"/>
              <w:b/>
              <w:bCs/>
              <w:sz w:val="44"/>
              <w:szCs w:val="44"/>
              <w:lang w:val="en-US" w:eastAsia="zh-CN"/>
            </w:rPr>
            <w:t xml:space="preserve">  </w:t>
          </w:r>
          <w:r>
            <w:rPr>
              <w:rFonts w:hint="eastAsia" w:ascii="方正小标宋_GBK" w:hAnsi="方正小标宋_GBK" w:eastAsia="方正小标宋_GBK" w:cs="方正小标宋_GBK"/>
              <w:b/>
              <w:bCs/>
              <w:sz w:val="44"/>
              <w:szCs w:val="44"/>
            </w:rPr>
            <w:t>录</w:t>
          </w:r>
        </w:p>
        <w:p>
          <w:pPr>
            <w:jc w:val="center"/>
            <w:rPr>
              <w:rFonts w:ascii="方正小标宋_GBK" w:hAnsi="方正小标宋_GBK" w:eastAsia="方正小标宋_GBK" w:cs="方正小标宋_GBK"/>
              <w:b/>
              <w:bCs/>
              <w:sz w:val="44"/>
              <w:szCs w:val="44"/>
            </w:rPr>
          </w:pPr>
        </w:p>
        <w:p>
          <w:pPr>
            <w:pStyle w:val="11"/>
            <w:tabs>
              <w:tab w:val="right" w:leader="dot" w:pos="8306"/>
            </w:tabs>
            <w:rPr>
              <w:rFonts w:ascii="方正仿宋_GBK" w:hAnsi="方正仿宋_GBK" w:eastAsia="方正仿宋_GBK" w:cs="方正仿宋_GBK"/>
              <w:b/>
              <w:sz w:val="32"/>
              <w:szCs w:val="32"/>
            </w:rPr>
          </w:pPr>
          <w:r>
            <w:rPr>
              <w:rFonts w:hint="eastAsia" w:ascii="方正仿宋_GBK" w:hAnsi="方正仿宋_GBK" w:eastAsia="方正仿宋_GBK" w:cs="方正仿宋_GBK"/>
              <w:color w:val="000000" w:themeColor="text1"/>
              <w:sz w:val="32"/>
              <w:szCs w:val="32"/>
              <w14:textFill>
                <w14:solidFill>
                  <w14:schemeClr w14:val="tx1"/>
                </w14:solidFill>
              </w14:textFill>
            </w:rPr>
            <w:fldChar w:fldCharType="begin"/>
          </w:r>
          <w:r>
            <w:rPr>
              <w:rFonts w:hint="eastAsia" w:ascii="方正仿宋_GBK" w:hAnsi="方正仿宋_GBK" w:eastAsia="方正仿宋_GBK" w:cs="方正仿宋_GBK"/>
              <w:color w:val="000000" w:themeColor="text1"/>
              <w:sz w:val="32"/>
              <w:szCs w:val="32"/>
              <w14:textFill>
                <w14:solidFill>
                  <w14:schemeClr w14:val="tx1"/>
                </w14:solidFill>
              </w14:textFill>
            </w:rPr>
            <w:instrText xml:space="preserve">TOC \o "1-2" \h \u </w:instrText>
          </w:r>
          <w:r>
            <w:rPr>
              <w:rFonts w:hint="eastAsia" w:ascii="方正仿宋_GBK" w:hAnsi="方正仿宋_GBK" w:eastAsia="方正仿宋_GBK" w:cs="方正仿宋_GBK"/>
              <w:color w:val="000000" w:themeColor="text1"/>
              <w:sz w:val="32"/>
              <w:szCs w:val="32"/>
              <w14:textFill>
                <w14:solidFill>
                  <w14:schemeClr w14:val="tx1"/>
                </w14:solidFill>
              </w14:textFill>
            </w:rPr>
            <w:fldChar w:fldCharType="separate"/>
          </w:r>
          <w:r>
            <w:fldChar w:fldCharType="begin"/>
          </w:r>
          <w:r>
            <w:instrText xml:space="preserve"> HYPERLINK \l "_Toc14679" </w:instrText>
          </w:r>
          <w:r>
            <w:fldChar w:fldCharType="separate"/>
          </w:r>
          <w:r>
            <w:rPr>
              <w:rFonts w:hint="eastAsia" w:ascii="方正仿宋_GBK" w:hAnsi="方正仿宋_GBK" w:eastAsia="方正仿宋_GBK" w:cs="方正仿宋_GBK"/>
              <w:b/>
              <w:sz w:val="32"/>
              <w:szCs w:val="32"/>
            </w:rPr>
            <w:t>一、基本职能及主要工作</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_Toc14679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3</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"_Toc20374" </w:instrText>
          </w:r>
          <w:r>
            <w:fldChar w:fldCharType="separate"/>
          </w:r>
          <w:r>
            <w:rPr>
              <w:rFonts w:hint="eastAsia" w:ascii="方正仿宋_GBK" w:hAnsi="方正仿宋_GBK" w:eastAsia="方正仿宋_GBK" w:cs="方正仿宋_GBK"/>
              <w:bCs/>
              <w:sz w:val="32"/>
              <w:szCs w:val="32"/>
            </w:rPr>
            <w:t>（一）</w:t>
          </w:r>
          <w:r>
            <w:rPr>
              <w:rFonts w:hint="eastAsia" w:ascii="方正仿宋_GBK" w:hAnsi="方正仿宋_GBK" w:eastAsia="方正仿宋_GBK" w:cs="方正仿宋_GBK"/>
              <w:bCs/>
              <w:sz w:val="32"/>
              <w:szCs w:val="32"/>
              <w:lang w:eastAsia="zh-CN"/>
            </w:rPr>
            <w:t>农民工</w:t>
          </w:r>
          <w:r>
            <w:rPr>
              <w:rFonts w:hint="eastAsia" w:ascii="方正仿宋_GBK" w:hAnsi="方正仿宋_GBK" w:eastAsia="方正仿宋_GBK" w:cs="方正仿宋_GBK"/>
              <w:bCs/>
              <w:sz w:val="32"/>
              <w:szCs w:val="32"/>
            </w:rPr>
            <w:t>服务中心职能简介</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_Toc20374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3</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"_Toc14195" </w:instrText>
          </w:r>
          <w:r>
            <w:fldChar w:fldCharType="separate"/>
          </w:r>
          <w:r>
            <w:rPr>
              <w:rFonts w:hint="eastAsia" w:ascii="方正仿宋_GBK" w:hAnsi="方正仿宋_GBK" w:eastAsia="方正仿宋_GBK" w:cs="方正仿宋_GBK"/>
              <w:bCs/>
              <w:sz w:val="32"/>
              <w:szCs w:val="32"/>
            </w:rPr>
            <w:t>（二）</w:t>
          </w:r>
          <w:r>
            <w:rPr>
              <w:rFonts w:hint="eastAsia" w:ascii="方正仿宋_GBK" w:hAnsi="方正仿宋_GBK" w:eastAsia="方正仿宋_GBK" w:cs="方正仿宋_GBK"/>
              <w:bCs/>
              <w:sz w:val="32"/>
              <w:szCs w:val="32"/>
              <w:lang w:eastAsia="zh-CN"/>
            </w:rPr>
            <w:t>农民工</w:t>
          </w:r>
          <w:r>
            <w:rPr>
              <w:rFonts w:hint="eastAsia" w:ascii="方正仿宋_GBK" w:hAnsi="方正仿宋_GBK" w:eastAsia="方正仿宋_GBK" w:cs="方正仿宋_GBK"/>
              <w:bCs/>
              <w:sz w:val="32"/>
              <w:szCs w:val="32"/>
            </w:rPr>
            <w:t>服务中心</w:t>
          </w:r>
          <w:r>
            <w:rPr>
              <w:rFonts w:hint="eastAsia" w:ascii="Times New Roman" w:hAnsi="Times New Roman" w:eastAsia="方正仿宋_GBK" w:cs="Times New Roman"/>
              <w:bCs/>
              <w:sz w:val="32"/>
              <w:szCs w:val="32"/>
              <w:lang w:eastAsia="zh-CN"/>
            </w:rPr>
            <w:t>2024</w:t>
          </w:r>
          <w:r>
            <w:rPr>
              <w:rFonts w:hint="eastAsia" w:ascii="方正仿宋_GBK" w:hAnsi="方正仿宋_GBK" w:eastAsia="方正仿宋_GBK" w:cs="方正仿宋_GBK"/>
              <w:bCs/>
              <w:sz w:val="32"/>
              <w:szCs w:val="32"/>
            </w:rPr>
            <w:t>年重点工作</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_Toc14195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3</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"_Toc573" </w:instrText>
          </w:r>
          <w:r>
            <w:fldChar w:fldCharType="separate"/>
          </w:r>
          <w:r>
            <w:rPr>
              <w:rFonts w:hint="eastAsia" w:ascii="方正仿宋_GBK" w:hAnsi="方正仿宋_GBK" w:eastAsia="方正仿宋_GBK" w:cs="方正仿宋_GBK"/>
              <w:b/>
              <w:sz w:val="32"/>
              <w:szCs w:val="32"/>
            </w:rPr>
            <w:t>二、收支预算情况说明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_Toc573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3</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"_Toc21552" </w:instrText>
          </w:r>
          <w:r>
            <w:fldChar w:fldCharType="separate"/>
          </w:r>
          <w:r>
            <w:rPr>
              <w:rFonts w:hint="eastAsia" w:ascii="方正仿宋_GBK" w:hAnsi="方正仿宋_GBK" w:eastAsia="方正仿宋_GBK" w:cs="方正仿宋_GBK"/>
              <w:bCs/>
              <w:sz w:val="32"/>
              <w:szCs w:val="32"/>
            </w:rPr>
            <w:t>（一）收入预算情况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_Toc21552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4</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"_Toc23316" </w:instrText>
          </w:r>
          <w:r>
            <w:fldChar w:fldCharType="separate"/>
          </w:r>
          <w:r>
            <w:rPr>
              <w:rFonts w:hint="eastAsia" w:ascii="方正仿宋_GBK" w:hAnsi="方正仿宋_GBK" w:eastAsia="方正仿宋_GBK" w:cs="方正仿宋_GBK"/>
              <w:bCs/>
              <w:sz w:val="32"/>
              <w:szCs w:val="32"/>
            </w:rPr>
            <w:t>（二）支出预算情况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_Toc23316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4</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"_Toc21793" </w:instrText>
          </w:r>
          <w:r>
            <w:fldChar w:fldCharType="separate"/>
          </w:r>
          <w:r>
            <w:rPr>
              <w:rFonts w:hint="eastAsia" w:ascii="方正仿宋_GBK" w:hAnsi="方正仿宋_GBK" w:eastAsia="方正仿宋_GBK" w:cs="方正仿宋_GBK"/>
              <w:b/>
              <w:sz w:val="32"/>
              <w:szCs w:val="32"/>
            </w:rPr>
            <w:t>三、财政拨款收支预算情况说明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_Toc21793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4</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"_Toc27642" </w:instrText>
          </w:r>
          <w:r>
            <w:fldChar w:fldCharType="separate"/>
          </w:r>
          <w:r>
            <w:rPr>
              <w:rFonts w:hint="eastAsia" w:ascii="方正仿宋_GBK" w:hAnsi="方正仿宋_GBK" w:eastAsia="方正仿宋_GBK" w:cs="方正仿宋_GBK"/>
              <w:b/>
              <w:sz w:val="32"/>
              <w:szCs w:val="32"/>
            </w:rPr>
            <w:t>四、一般公共预算当年拨款情况说明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_Toc27642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4</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"_Toc17631" </w:instrText>
          </w:r>
          <w:r>
            <w:fldChar w:fldCharType="separate"/>
          </w:r>
          <w:r>
            <w:rPr>
              <w:rFonts w:hint="eastAsia" w:ascii="方正仿宋_GBK" w:hAnsi="方正仿宋_GBK" w:eastAsia="方正仿宋_GBK" w:cs="方正仿宋_GBK"/>
              <w:bCs/>
              <w:sz w:val="32"/>
              <w:szCs w:val="32"/>
            </w:rPr>
            <w:t>（一）一般公共预算当年拨款结构情况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_Toc17631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4</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"_Toc7317" </w:instrText>
          </w:r>
          <w:r>
            <w:fldChar w:fldCharType="separate"/>
          </w:r>
          <w:r>
            <w:rPr>
              <w:rFonts w:hint="eastAsia" w:ascii="方正仿宋_GBK" w:hAnsi="方正仿宋_GBK" w:eastAsia="方正仿宋_GBK" w:cs="方正仿宋_GBK"/>
              <w:bCs/>
              <w:sz w:val="32"/>
              <w:szCs w:val="32"/>
            </w:rPr>
            <w:t>（二）一般公共预算当年拨款具体使用情况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_Toc7317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5</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"_Toc32313" </w:instrText>
          </w:r>
          <w:r>
            <w:fldChar w:fldCharType="separate"/>
          </w:r>
          <w:r>
            <w:rPr>
              <w:rFonts w:hint="eastAsia" w:ascii="方正仿宋_GBK" w:hAnsi="方正仿宋_GBK" w:eastAsia="方正仿宋_GBK" w:cs="方正仿宋_GBK"/>
              <w:b/>
              <w:sz w:val="32"/>
              <w:szCs w:val="32"/>
            </w:rPr>
            <w:t>五、一般公共预算基本支出情况说明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_Toc32313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6</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"_Toc12073" </w:instrText>
          </w:r>
          <w:r>
            <w:fldChar w:fldCharType="separate"/>
          </w:r>
          <w:r>
            <w:rPr>
              <w:rFonts w:hint="eastAsia" w:ascii="方正仿宋_GBK" w:hAnsi="方正仿宋_GBK" w:eastAsia="方正仿宋_GBK" w:cs="方正仿宋_GBK"/>
              <w:b/>
              <w:sz w:val="32"/>
              <w:szCs w:val="32"/>
            </w:rPr>
            <w:t>六、“三公”经费财政拨款预算安排情况说明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_Toc12073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6</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"_Toc10801" </w:instrText>
          </w:r>
          <w:r>
            <w:fldChar w:fldCharType="separate"/>
          </w:r>
          <w:r>
            <w:rPr>
              <w:rFonts w:hint="eastAsia" w:ascii="方正仿宋_GBK" w:hAnsi="方正仿宋_GBK" w:eastAsia="方正仿宋_GBK" w:cs="方正仿宋_GBK"/>
              <w:b/>
              <w:sz w:val="32"/>
              <w:szCs w:val="32"/>
            </w:rPr>
            <w:t>七、政府性基金预算支出情况说明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_Toc10801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6</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"_Toc8512" </w:instrText>
          </w:r>
          <w:r>
            <w:fldChar w:fldCharType="separate"/>
          </w:r>
          <w:r>
            <w:rPr>
              <w:rFonts w:hint="eastAsia" w:ascii="方正仿宋_GBK" w:hAnsi="方正仿宋_GBK" w:eastAsia="方正仿宋_GBK" w:cs="方正仿宋_GBK"/>
              <w:b/>
              <w:sz w:val="32"/>
              <w:szCs w:val="32"/>
            </w:rPr>
            <w:t>八、其他重要事项的情况说明</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_Toc8512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7</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"_Toc3728" </w:instrText>
          </w:r>
          <w:r>
            <w:fldChar w:fldCharType="separate"/>
          </w:r>
          <w:r>
            <w:rPr>
              <w:rFonts w:hint="eastAsia" w:ascii="方正仿宋_GBK" w:hAnsi="方正仿宋_GBK" w:eastAsia="方正仿宋_GBK" w:cs="方正仿宋_GBK"/>
              <w:bCs/>
              <w:sz w:val="32"/>
              <w:szCs w:val="32"/>
            </w:rPr>
            <w:t>（一）政府采购情况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_Toc3728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7</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2"/>
            <w:tabs>
              <w:tab w:val="right" w:leader="dot" w:pos="8306"/>
            </w:tabs>
            <w:ind w:left="420"/>
            <w:rPr>
              <w:rFonts w:ascii="方正仿宋_GBK" w:hAnsi="方正仿宋_GBK" w:eastAsia="方正仿宋_GBK" w:cs="方正仿宋_GBK"/>
              <w:sz w:val="32"/>
              <w:szCs w:val="32"/>
            </w:rPr>
          </w:pPr>
          <w:r>
            <w:fldChar w:fldCharType="begin"/>
          </w:r>
          <w:r>
            <w:instrText xml:space="preserve"> HYPERLINK \l "_Toc28247" </w:instrText>
          </w:r>
          <w:r>
            <w:fldChar w:fldCharType="separate"/>
          </w:r>
          <w:r>
            <w:rPr>
              <w:rFonts w:hint="eastAsia" w:ascii="方正仿宋_GBK" w:hAnsi="方正仿宋_GBK" w:eastAsia="方正仿宋_GBK" w:cs="方正仿宋_GBK"/>
              <w:bCs/>
              <w:sz w:val="32"/>
              <w:szCs w:val="32"/>
            </w:rPr>
            <w:t>（二）国有资产占有使用情况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_Toc28247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7</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11"/>
            <w:tabs>
              <w:tab w:val="right" w:leader="dot" w:pos="8306"/>
            </w:tabs>
            <w:rPr>
              <w:rFonts w:ascii="方正仿宋_GBK" w:hAnsi="方正仿宋_GBK" w:eastAsia="方正仿宋_GBK" w:cs="方正仿宋_GBK"/>
              <w:b/>
              <w:sz w:val="32"/>
              <w:szCs w:val="32"/>
            </w:rPr>
          </w:pPr>
          <w:r>
            <w:fldChar w:fldCharType="begin"/>
          </w:r>
          <w:r>
            <w:instrText xml:space="preserve"> HYPERLINK \l "_Toc14926" </w:instrText>
          </w:r>
          <w:r>
            <w:fldChar w:fldCharType="separate"/>
          </w:r>
          <w:r>
            <w:rPr>
              <w:rFonts w:hint="eastAsia" w:ascii="方正仿宋_GBK" w:hAnsi="方正仿宋_GBK" w:eastAsia="方正仿宋_GBK" w:cs="方正仿宋_GBK"/>
              <w:b/>
              <w:sz w:val="32"/>
              <w:szCs w:val="32"/>
            </w:rPr>
            <w:t>九、名词解释</w:t>
          </w:r>
          <w:r>
            <w:rPr>
              <w:rFonts w:hint="eastAsia" w:ascii="方正仿宋_GBK" w:hAnsi="方正仿宋_GBK" w:eastAsia="方正仿宋_GBK" w:cs="方正仿宋_GBK"/>
              <w:b/>
              <w:sz w:val="32"/>
              <w:szCs w:val="32"/>
            </w:rPr>
            <w:tab/>
          </w:r>
          <w:r>
            <w:rPr>
              <w:rFonts w:ascii="Times New Roman" w:hAnsi="Times New Roman" w:eastAsia="方正仿宋_GBK" w:cs="Times New Roman"/>
              <w:b/>
              <w:sz w:val="32"/>
              <w:szCs w:val="32"/>
            </w:rPr>
            <w:fldChar w:fldCharType="begin"/>
          </w:r>
          <w:r>
            <w:rPr>
              <w:rFonts w:ascii="Times New Roman" w:hAnsi="Times New Roman" w:eastAsia="方正仿宋_GBK" w:cs="Times New Roman"/>
              <w:b/>
              <w:sz w:val="32"/>
              <w:szCs w:val="32"/>
            </w:rPr>
            <w:instrText xml:space="preserve"> PAGEREF _Toc14926 </w:instrText>
          </w:r>
          <w:r>
            <w:rPr>
              <w:rFonts w:ascii="Times New Roman" w:hAnsi="Times New Roman" w:eastAsia="方正仿宋_GBK" w:cs="Times New Roman"/>
              <w:b/>
              <w:sz w:val="32"/>
              <w:szCs w:val="32"/>
            </w:rPr>
            <w:fldChar w:fldCharType="separate"/>
          </w:r>
          <w:r>
            <w:rPr>
              <w:rFonts w:ascii="Times New Roman" w:hAnsi="Times New Roman" w:eastAsia="方正仿宋_GBK" w:cs="Times New Roman"/>
              <w:b/>
              <w:sz w:val="32"/>
              <w:szCs w:val="32"/>
            </w:rPr>
            <w:t>7</w:t>
          </w:r>
          <w:r>
            <w:rPr>
              <w:rFonts w:ascii="Times New Roman" w:hAnsi="Times New Roman" w:eastAsia="方正仿宋_GBK" w:cs="Times New Roman"/>
              <w:b/>
              <w:sz w:val="32"/>
              <w:szCs w:val="32"/>
            </w:rPr>
            <w:fldChar w:fldCharType="end"/>
          </w:r>
          <w:r>
            <w:rPr>
              <w:rFonts w:ascii="Times New Roman" w:hAnsi="Times New Roman" w:eastAsia="方正仿宋_GBK" w:cs="Times New Roman"/>
              <w:b/>
              <w:sz w:val="32"/>
              <w:szCs w:val="32"/>
            </w:rPr>
            <w:fldChar w:fldCharType="end"/>
          </w:r>
        </w:p>
        <w:p>
          <w:pPr>
            <w:ind w:firstLine="640" w:firstLineChars="200"/>
            <w:jc w:val="center"/>
            <w:rPr>
              <w:rFonts w:ascii="方正小标宋_GBK" w:hAnsi="方正小标宋_GBK" w:eastAsia="方正小标宋_GBK" w:cs="方正小标宋_GBK"/>
              <w:b/>
              <w:color w:val="000000" w:themeColor="text1"/>
              <w:szCs w:val="44"/>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方正仿宋_GBK" w:hAnsi="方正仿宋_GBK" w:eastAsia="方正仿宋_GBK" w:cs="方正仿宋_GBK"/>
              <w:b/>
              <w:color w:val="000000" w:themeColor="text1"/>
              <w:sz w:val="32"/>
              <w:szCs w:val="32"/>
              <w14:textFill>
                <w14:solidFill>
                  <w14:schemeClr w14:val="tx1"/>
                </w14:solidFill>
              </w14:textFill>
            </w:rPr>
            <w:fldChar w:fldCharType="end"/>
          </w:r>
        </w:p>
      </w:sdtContent>
    </w:sdt>
    <w:p>
      <w:pPr>
        <w:pStyle w:val="2"/>
        <w:spacing w:line="240" w:lineRule="auto"/>
        <w:ind w:firstLine="640" w:firstLineChars="200"/>
        <w:rPr>
          <w:rFonts w:ascii="方正黑体_GBK" w:hAnsi="方正黑体_GBK" w:eastAsia="方正黑体_GBK" w:cs="方正黑体_GBK"/>
          <w:sz w:val="32"/>
          <w:szCs w:val="32"/>
        </w:rPr>
      </w:pPr>
      <w:bookmarkStart w:id="0" w:name="_Toc14679"/>
      <w:r>
        <w:rPr>
          <w:rFonts w:hint="eastAsia" w:ascii="方正黑体_GBK" w:hAnsi="方正黑体_GBK" w:eastAsia="方正黑体_GBK" w:cs="方正黑体_GBK"/>
          <w:sz w:val="32"/>
          <w:szCs w:val="32"/>
        </w:rPr>
        <w:t>一、基本职能及主要工作</w:t>
      </w:r>
      <w:bookmarkEnd w:id="0"/>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1" w:name="_Toc20374"/>
      <w:r>
        <w:rPr>
          <w:rFonts w:hint="eastAsia" w:ascii="方正楷体_GBK" w:hAnsi="方正楷体_GBK" w:eastAsia="方正楷体_GBK" w:cs="方正楷体_GBK"/>
          <w:b/>
          <w:bCs/>
          <w:color w:val="000000" w:themeColor="text1"/>
          <w:sz w:val="32"/>
          <w:szCs w:val="32"/>
          <w14:textFill>
            <w14:solidFill>
              <w14:schemeClr w14:val="tx1"/>
            </w14:solidFill>
          </w14:textFill>
        </w:rPr>
        <w:t>（一）</w:t>
      </w:r>
      <w:r>
        <w:rPr>
          <w:rFonts w:hint="eastAsia" w:ascii="方正楷体_GBK" w:hAnsi="方正楷体_GBK" w:eastAsia="方正楷体_GBK" w:cs="方正楷体_GBK"/>
          <w:b/>
          <w:bCs/>
          <w:color w:val="000000" w:themeColor="text1"/>
          <w:sz w:val="32"/>
          <w:szCs w:val="32"/>
          <w:lang w:eastAsia="zh-CN"/>
          <w14:textFill>
            <w14:solidFill>
              <w14:schemeClr w14:val="tx1"/>
            </w14:solidFill>
          </w14:textFill>
        </w:rPr>
        <w:t>农民工</w:t>
      </w:r>
      <w:r>
        <w:rPr>
          <w:rFonts w:hint="eastAsia" w:ascii="方正楷体_GBK" w:hAnsi="方正楷体_GBK" w:eastAsia="方正楷体_GBK" w:cs="方正楷体_GBK"/>
          <w:b/>
          <w:bCs/>
          <w:color w:val="000000" w:themeColor="text1"/>
          <w:sz w:val="32"/>
          <w:szCs w:val="32"/>
          <w14:textFill>
            <w14:solidFill>
              <w14:schemeClr w14:val="tx1"/>
            </w14:solidFill>
          </w14:textFill>
        </w:rPr>
        <w:t>服务中心职能简介</w:t>
      </w:r>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bookmarkStart w:id="2" w:name="_Toc14195"/>
      <w:r>
        <w:rPr>
          <w:rFonts w:hint="default" w:ascii="Times New Roman" w:hAnsi="Times New Roman" w:eastAsia="方正仿宋_GBK" w:cs="Times New Roman"/>
          <w:color w:val="000000" w:themeColor="text1"/>
          <w:sz w:val="32"/>
          <w:szCs w:val="32"/>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负责收集、汇总、发布农民工用工信息</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维护农民工合法权益</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 对辖区所有村（居）</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农民工</w:t>
      </w:r>
      <w:r>
        <w:rPr>
          <w:rFonts w:hint="eastAsia" w:ascii="方正仿宋_GBK" w:hAnsi="方正仿宋_GBK" w:eastAsia="方正仿宋_GBK" w:cs="方正仿宋_GBK"/>
          <w:color w:val="000000" w:themeColor="text1"/>
          <w:sz w:val="32"/>
          <w:szCs w:val="32"/>
          <w14:textFill>
            <w14:solidFill>
              <w14:schemeClr w14:val="tx1"/>
            </w14:solidFill>
          </w14:textFill>
        </w:rPr>
        <w:t>进行</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技能培训安排，为农民工提供便捷、高效、优质的一站式综合服务。</w:t>
      </w:r>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r>
        <w:rPr>
          <w:rFonts w:hint="eastAsia" w:ascii="方正楷体_GBK" w:hAnsi="方正楷体_GBK" w:eastAsia="方正楷体_GBK" w:cs="方正楷体_GBK"/>
          <w:b/>
          <w:bCs/>
          <w:color w:val="000000" w:themeColor="text1"/>
          <w:sz w:val="32"/>
          <w:szCs w:val="32"/>
          <w14:textFill>
            <w14:solidFill>
              <w14:schemeClr w14:val="tx1"/>
            </w14:solidFill>
          </w14:textFill>
        </w:rPr>
        <w:t>（二）社区建设服务中心</w:t>
      </w:r>
      <w:r>
        <w:rPr>
          <w:rFonts w:hint="eastAsia" w:ascii="方正楷体_GBK" w:hAnsi="方正楷体_GBK" w:eastAsia="方正楷体_GBK" w:cs="方正楷体_GBK"/>
          <w:b/>
          <w:bCs/>
          <w:color w:val="000000" w:themeColor="text1"/>
          <w:sz w:val="32"/>
          <w:szCs w:val="32"/>
          <w:lang w:eastAsia="zh-CN"/>
          <w14:textFill>
            <w14:solidFill>
              <w14:schemeClr w14:val="tx1"/>
            </w14:solidFill>
          </w14:textFill>
        </w:rPr>
        <w:t>2024</w:t>
      </w:r>
      <w:r>
        <w:rPr>
          <w:rFonts w:hint="eastAsia" w:ascii="方正楷体_GBK" w:hAnsi="方正楷体_GBK" w:eastAsia="方正楷体_GBK" w:cs="方正楷体_GBK"/>
          <w:b/>
          <w:bCs/>
          <w:color w:val="000000" w:themeColor="text1"/>
          <w:sz w:val="32"/>
          <w:szCs w:val="32"/>
          <w14:textFill>
            <w14:solidFill>
              <w14:schemeClr w14:val="tx1"/>
            </w14:solidFill>
          </w14:textFill>
        </w:rPr>
        <w:t>年重点工作</w:t>
      </w:r>
      <w:bookmarkEnd w:id="2"/>
    </w:p>
    <w:p>
      <w:pPr>
        <w:pStyle w:val="2"/>
        <w:spacing w:line="240" w:lineRule="auto"/>
        <w:ind w:firstLine="640" w:firstLineChars="200"/>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bookmarkStart w:id="3" w:name="_Toc573"/>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一是负责全镇农民工服务保障工作，指导各村（社区）建设农民工服务（站）点；二是参与农民工就业、劳务输出转移就业，推进农民工劳务开发和交流合作；三是负责开展农民工返乡创业培训、劳务培训工作；四是宣传农民工有关法律工作，维护农民工合法权益。</w:t>
      </w:r>
    </w:p>
    <w:p>
      <w:pPr>
        <w:pStyle w:val="2"/>
        <w:spacing w:line="240" w:lineRule="auto"/>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二、收支预算情况说明</w:t>
      </w:r>
      <w:bookmarkEnd w:id="3"/>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按照综合预算的原则，</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服务中心所有收入和支出均纳入部门预算管理。收入包括：一般公共预算拨款收入、上年结转；支出包括：（一般公共服务支出、教育支出）、社会保障和就业支出、医疗卫生与计划生育支出、住房保障支出。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年收支总预算</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4" w:name="_Toc21552"/>
      <w:r>
        <w:rPr>
          <w:rFonts w:hint="eastAsia" w:ascii="方正楷体_GBK" w:hAnsi="方正楷体_GBK" w:eastAsia="方正楷体_GBK" w:cs="方正楷体_GBK"/>
          <w:b/>
          <w:bCs/>
          <w:color w:val="000000" w:themeColor="text1"/>
          <w:sz w:val="32"/>
          <w:szCs w:val="32"/>
          <w14:textFill>
            <w14:solidFill>
              <w14:schemeClr w14:val="tx1"/>
            </w14:solidFill>
          </w14:textFill>
        </w:rPr>
        <w:t>（一）收入预算情况</w:t>
      </w:r>
      <w:bookmarkEnd w:id="4"/>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年收入预算</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万元，其中：一般公共预算拨款收入 </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万元，占</w:t>
      </w:r>
      <w:r>
        <w:rPr>
          <w:rFonts w:ascii="Times New Roman" w:hAnsi="Times New Roman" w:eastAsia="方正仿宋_GBK" w:cs="Times New Roman"/>
          <w:color w:val="000000" w:themeColor="text1"/>
          <w:sz w:val="32"/>
          <w:szCs w:val="32"/>
          <w14:textFill>
            <w14:solidFill>
              <w14:schemeClr w14:val="tx1"/>
            </w14:solidFill>
          </w14:textFill>
        </w:rPr>
        <w:t>100</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 %。</w:t>
      </w:r>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5" w:name="_Toc23316"/>
      <w:r>
        <w:rPr>
          <w:rFonts w:hint="eastAsia" w:ascii="方正楷体_GBK" w:hAnsi="方正楷体_GBK" w:eastAsia="方正楷体_GBK" w:cs="方正楷体_GBK"/>
          <w:b/>
          <w:bCs/>
          <w:color w:val="000000" w:themeColor="text1"/>
          <w:sz w:val="32"/>
          <w:szCs w:val="32"/>
          <w14:textFill>
            <w14:solidFill>
              <w14:schemeClr w14:val="tx1"/>
            </w14:solidFill>
          </w14:textFill>
        </w:rPr>
        <w:t>（二）支出预算情况</w:t>
      </w:r>
      <w:bookmarkEnd w:id="5"/>
    </w:p>
    <w:p>
      <w:pPr>
        <w:ind w:firstLine="640" w:firstLineChars="200"/>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年支出预算</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万元，其中：基本支出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万元，占</w:t>
      </w:r>
      <w:r>
        <w:rPr>
          <w:rFonts w:ascii="Times New Roman" w:hAnsi="Times New Roman" w:eastAsia="方正仿宋_GBK" w:cs="Times New Roman"/>
          <w:color w:val="000000" w:themeColor="text1"/>
          <w:sz w:val="32"/>
          <w:szCs w:val="32"/>
          <w14:textFill>
            <w14:solidFill>
              <w14:schemeClr w14:val="tx1"/>
            </w14:solidFill>
          </w14:textFill>
        </w:rPr>
        <w:t>100</w:t>
      </w: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p>
    <w:p>
      <w:pPr>
        <w:pStyle w:val="2"/>
        <w:spacing w:line="240" w:lineRule="auto"/>
        <w:ind w:firstLine="640" w:firstLineChars="200"/>
        <w:rPr>
          <w:rFonts w:ascii="方正黑体_GBK" w:hAnsi="方正黑体_GBK" w:eastAsia="方正黑体_GBK" w:cs="方正黑体_GBK"/>
          <w:sz w:val="32"/>
          <w:szCs w:val="32"/>
        </w:rPr>
      </w:pPr>
      <w:bookmarkStart w:id="6" w:name="_Toc21793"/>
      <w:r>
        <w:rPr>
          <w:rFonts w:hint="eastAsia" w:ascii="方正黑体_GBK" w:hAnsi="方正黑体_GBK" w:eastAsia="方正黑体_GBK" w:cs="方正黑体_GBK"/>
          <w:sz w:val="32"/>
          <w:szCs w:val="32"/>
        </w:rPr>
        <w:t>三、财政拨款收支预算情况说明</w:t>
      </w:r>
      <w:bookmarkEnd w:id="6"/>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年财政拨款收支总预算 </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万元(收入：本年一般公共预算拨款收入</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万元)。支出包括：社会保障和就业支出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98.03</w:t>
      </w:r>
      <w:r>
        <w:rPr>
          <w:rFonts w:hint="eastAsia" w:ascii="方正仿宋_GBK" w:hAnsi="方正仿宋_GBK" w:eastAsia="方正仿宋_GBK" w:cs="方正仿宋_GBK"/>
          <w:color w:val="000000" w:themeColor="text1"/>
          <w:sz w:val="32"/>
          <w:szCs w:val="32"/>
          <w14:textFill>
            <w14:solidFill>
              <w14:schemeClr w14:val="tx1"/>
            </w14:solidFill>
          </w14:textFill>
        </w:rPr>
        <w:t>万元、医疗卫生与计划生育支出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3.62</w:t>
      </w:r>
      <w:r>
        <w:rPr>
          <w:rFonts w:hint="eastAsia" w:ascii="方正仿宋_GBK" w:hAnsi="方正仿宋_GBK" w:eastAsia="方正仿宋_GBK" w:cs="方正仿宋_GBK"/>
          <w:color w:val="000000" w:themeColor="text1"/>
          <w:sz w:val="32"/>
          <w:szCs w:val="32"/>
          <w14:textFill>
            <w14:solidFill>
              <w14:schemeClr w14:val="tx1"/>
            </w14:solidFill>
          </w14:textFill>
        </w:rPr>
        <w:t>万元、住房保障支出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8.95</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p>
    <w:p>
      <w:pPr>
        <w:pStyle w:val="2"/>
        <w:spacing w:line="240" w:lineRule="auto"/>
        <w:ind w:firstLine="640" w:firstLineChars="200"/>
        <w:rPr>
          <w:rFonts w:ascii="方正黑体_GBK" w:hAnsi="方正黑体_GBK" w:eastAsia="方正黑体_GBK" w:cs="方正黑体_GBK"/>
          <w:sz w:val="32"/>
          <w:szCs w:val="32"/>
        </w:rPr>
      </w:pPr>
      <w:bookmarkStart w:id="7" w:name="_Toc27642"/>
      <w:r>
        <w:rPr>
          <w:rFonts w:hint="eastAsia" w:ascii="方正黑体_GBK" w:hAnsi="方正黑体_GBK" w:eastAsia="方正黑体_GBK" w:cs="方正黑体_GBK"/>
          <w:sz w:val="32"/>
          <w:szCs w:val="32"/>
        </w:rPr>
        <w:t>四、一般公共预算当年拨款情况说明</w:t>
      </w:r>
      <w:bookmarkEnd w:id="7"/>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8" w:name="_Toc17631"/>
      <w:r>
        <w:rPr>
          <w:rFonts w:hint="eastAsia" w:ascii="方正楷体_GBK" w:hAnsi="方正楷体_GBK" w:eastAsia="方正楷体_GBK" w:cs="方正楷体_GBK"/>
          <w:b/>
          <w:bCs/>
          <w:color w:val="000000" w:themeColor="text1"/>
          <w:sz w:val="32"/>
          <w:szCs w:val="32"/>
          <w14:textFill>
            <w14:solidFill>
              <w14:schemeClr w14:val="tx1"/>
            </w14:solidFill>
          </w14:textFill>
        </w:rPr>
        <w:t>（一）一般公共预算当年拨款结构情况</w:t>
      </w:r>
      <w:bookmarkEnd w:id="8"/>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年一般公共预算当年拨款</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万元.其中包括：社会保障和就业支出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98.03</w:t>
      </w:r>
      <w:r>
        <w:rPr>
          <w:rFonts w:hint="eastAsia" w:ascii="方正仿宋_GBK" w:hAnsi="方正仿宋_GBK" w:eastAsia="方正仿宋_GBK" w:cs="方正仿宋_GBK"/>
          <w:color w:val="000000" w:themeColor="text1"/>
          <w:sz w:val="32"/>
          <w:szCs w:val="32"/>
          <w14:textFill>
            <w14:solidFill>
              <w14:schemeClr w14:val="tx1"/>
            </w14:solidFill>
          </w14:textFill>
        </w:rPr>
        <w:t>万元，占</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88.64</w:t>
      </w:r>
      <w:r>
        <w:rPr>
          <w:rFonts w:hint="eastAsia" w:ascii="方正仿宋_GBK" w:hAnsi="方正仿宋_GBK" w:eastAsia="方正仿宋_GBK" w:cs="方正仿宋_GBK"/>
          <w:color w:val="000000" w:themeColor="text1"/>
          <w:sz w:val="32"/>
          <w:szCs w:val="32"/>
          <w14:textFill>
            <w14:solidFill>
              <w14:schemeClr w14:val="tx1"/>
            </w14:solidFill>
          </w14:textFill>
        </w:rPr>
        <w:t>%；医疗卫生与计划生育支出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3.62</w:t>
      </w:r>
      <w:r>
        <w:rPr>
          <w:rFonts w:hint="eastAsia" w:ascii="方正仿宋_GBK" w:hAnsi="方正仿宋_GBK" w:eastAsia="方正仿宋_GBK" w:cs="方正仿宋_GBK"/>
          <w:color w:val="000000" w:themeColor="text1"/>
          <w:sz w:val="32"/>
          <w:szCs w:val="32"/>
          <w14:textFill>
            <w14:solidFill>
              <w14:schemeClr w14:val="tx1"/>
            </w14:solidFill>
          </w14:textFill>
        </w:rPr>
        <w:t>万元；占</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3.27</w:t>
      </w:r>
      <w:r>
        <w:rPr>
          <w:rFonts w:hint="eastAsia" w:ascii="方正仿宋_GBK" w:hAnsi="方正仿宋_GBK" w:eastAsia="方正仿宋_GBK" w:cs="方正仿宋_GBK"/>
          <w:color w:val="000000" w:themeColor="text1"/>
          <w:sz w:val="32"/>
          <w:szCs w:val="32"/>
          <w14:textFill>
            <w14:solidFill>
              <w14:schemeClr w14:val="tx1"/>
            </w14:solidFill>
          </w14:textFill>
        </w:rPr>
        <w:t>%；城住房保障支出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8.95</w:t>
      </w:r>
      <w:r>
        <w:rPr>
          <w:rFonts w:hint="eastAsia" w:ascii="方正仿宋_GBK" w:hAnsi="方正仿宋_GBK" w:eastAsia="方正仿宋_GBK" w:cs="方正仿宋_GBK"/>
          <w:color w:val="000000" w:themeColor="text1"/>
          <w:sz w:val="32"/>
          <w:szCs w:val="32"/>
          <w14:textFill>
            <w14:solidFill>
              <w14:schemeClr w14:val="tx1"/>
            </w14:solidFill>
          </w14:textFill>
        </w:rPr>
        <w:t>万元，占</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8.09</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9" w:name="_Toc7317"/>
      <w:r>
        <w:rPr>
          <w:rFonts w:hint="eastAsia" w:ascii="方正楷体_GBK" w:hAnsi="方正楷体_GBK" w:eastAsia="方正楷体_GBK" w:cs="方正楷体_GBK"/>
          <w:b/>
          <w:bCs/>
          <w:color w:val="000000" w:themeColor="text1"/>
          <w:sz w:val="32"/>
          <w:szCs w:val="32"/>
          <w14:textFill>
            <w14:solidFill>
              <w14:schemeClr w14:val="tx1"/>
            </w14:solidFill>
          </w14:textFill>
        </w:rPr>
        <w:t>（二）一般公共预算当年拨款具体使用情况</w:t>
      </w:r>
      <w:bookmarkEnd w:id="9"/>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 社会保障和就业（类）其他社会保障和就业支出（款）</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其他社会保障和就业支出</w:t>
      </w:r>
      <w:r>
        <w:rPr>
          <w:rFonts w:hint="eastAsia" w:ascii="方正仿宋_GBK" w:hAnsi="方正仿宋_GBK" w:eastAsia="方正仿宋_GBK" w:cs="方正仿宋_GBK"/>
          <w:color w:val="000000" w:themeColor="text1"/>
          <w:sz w:val="32"/>
          <w:szCs w:val="32"/>
          <w14:textFill>
            <w14:solidFill>
              <w14:schemeClr w14:val="tx1"/>
            </w14:solidFill>
          </w14:textFill>
        </w:rPr>
        <w:t>（项）：</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年预算数为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87.63</w:t>
      </w:r>
      <w:r>
        <w:rPr>
          <w:rFonts w:hint="eastAsia" w:ascii="方正仿宋_GBK" w:hAnsi="方正仿宋_GBK" w:eastAsia="方正仿宋_GBK" w:cs="方正仿宋_GBK"/>
          <w:color w:val="000000" w:themeColor="text1"/>
          <w:sz w:val="32"/>
          <w:szCs w:val="32"/>
          <w14:textFill>
            <w14:solidFill>
              <w14:schemeClr w14:val="tx1"/>
            </w14:solidFill>
          </w14:textFill>
        </w:rPr>
        <w:t>万</w:t>
      </w:r>
      <w:bookmarkStart w:id="17" w:name="_GoBack"/>
      <w:bookmarkEnd w:id="17"/>
      <w:r>
        <w:rPr>
          <w:rFonts w:hint="eastAsia" w:ascii="方正仿宋_GBK" w:hAnsi="方正仿宋_GBK" w:eastAsia="方正仿宋_GBK" w:cs="方正仿宋_GBK"/>
          <w:color w:val="000000" w:themeColor="text1"/>
          <w:sz w:val="32"/>
          <w:szCs w:val="32"/>
          <w14:textFill>
            <w14:solidFill>
              <w14:schemeClr w14:val="tx1"/>
            </w14:solidFill>
          </w14:textFill>
        </w:rPr>
        <w:t>元，主要用于：机关及所属单位开展等未单独设置项级科目的专门性工作的项目支出。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.社会保障和就业（类）行政事业单位离退休（款）机关事业单位基本养老保险缴费支出（项）:</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年预算数为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10.39</w:t>
      </w:r>
      <w:r>
        <w:rPr>
          <w:rFonts w:hint="eastAsia" w:ascii="方正仿宋_GBK" w:hAnsi="方正仿宋_GBK" w:eastAsia="方正仿宋_GBK" w:cs="方正仿宋_GBK"/>
          <w:color w:val="000000" w:themeColor="text1"/>
          <w:sz w:val="32"/>
          <w:szCs w:val="32"/>
          <w14:textFill>
            <w14:solidFill>
              <w14:schemeClr w14:val="tx1"/>
            </w14:solidFill>
          </w14:textFill>
        </w:rPr>
        <w:t>万元，主要用于：实施养老保险制度后，部门按规定由单位缴纳的基本养老保险费支出。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4</w:t>
      </w:r>
      <w:r>
        <w:rPr>
          <w:rFonts w:hint="eastAsia" w:ascii="方正仿宋_GBK" w:hAnsi="方正仿宋_GBK" w:eastAsia="方正仿宋_GBK" w:cs="方正仿宋_GBK"/>
          <w:color w:val="000000" w:themeColor="text1"/>
          <w:sz w:val="32"/>
          <w:szCs w:val="32"/>
          <w14:textFill>
            <w14:solidFill>
              <w14:schemeClr w14:val="tx1"/>
            </w14:solidFill>
          </w14:textFill>
        </w:rPr>
        <w:t>.医疗卫生与计划生育（类）行政事业单位医疗（款）事业单位医疗（项）:</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年预算数为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3.62</w:t>
      </w:r>
      <w:r>
        <w:rPr>
          <w:rFonts w:hint="eastAsia" w:ascii="方正仿宋_GBK" w:hAnsi="方正仿宋_GBK" w:eastAsia="方正仿宋_GBK" w:cs="方正仿宋_GBK"/>
          <w:color w:val="000000" w:themeColor="text1"/>
          <w:sz w:val="32"/>
          <w:szCs w:val="32"/>
          <w14:textFill>
            <w14:solidFill>
              <w14:schemeClr w14:val="tx1"/>
            </w14:solidFill>
          </w14:textFill>
        </w:rPr>
        <w:t>万元，主要用于：部门下属事业单位基本医疗保险缴费支出。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5</w:t>
      </w:r>
      <w:r>
        <w:rPr>
          <w:rFonts w:hint="eastAsia" w:ascii="方正仿宋_GBK" w:hAnsi="方正仿宋_GBK" w:eastAsia="方正仿宋_GBK" w:cs="方正仿宋_GBK"/>
          <w:color w:val="000000" w:themeColor="text1"/>
          <w:sz w:val="32"/>
          <w:szCs w:val="32"/>
          <w14:textFill>
            <w14:solidFill>
              <w14:schemeClr w14:val="tx1"/>
            </w14:solidFill>
          </w14:textFill>
        </w:rPr>
        <w:t>.住房保障（类）住房改革支出（款）住房公积金（项）:</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年预算数为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95</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万元，主要用于：部门按人力资源和社会保障部、财政部规定的基本工资和津贴补贴以及规定比例为职工缴纳的住房公积金支出。 </w:t>
      </w:r>
    </w:p>
    <w:p>
      <w:pPr>
        <w:pStyle w:val="2"/>
        <w:spacing w:line="240" w:lineRule="auto"/>
        <w:ind w:firstLine="640" w:firstLineChars="200"/>
        <w:rPr>
          <w:rFonts w:ascii="方正黑体_GBK" w:hAnsi="方正黑体_GBK" w:eastAsia="方正黑体_GBK" w:cs="方正黑体_GBK"/>
          <w:sz w:val="32"/>
          <w:szCs w:val="32"/>
        </w:rPr>
      </w:pPr>
      <w:bookmarkStart w:id="10" w:name="_Toc32313"/>
      <w:r>
        <w:rPr>
          <w:rFonts w:hint="eastAsia" w:ascii="方正黑体_GBK" w:hAnsi="方正黑体_GBK" w:eastAsia="方正黑体_GBK" w:cs="方正黑体_GBK"/>
          <w:sz w:val="32"/>
          <w:szCs w:val="32"/>
        </w:rPr>
        <w:t>五、一般公共预算基本支出情况说明</w:t>
      </w:r>
      <w:bookmarkEnd w:id="10"/>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年一般公共预算基本支出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110.59</w:t>
      </w:r>
      <w:r>
        <w:rPr>
          <w:rFonts w:hint="eastAsia" w:ascii="方正仿宋_GBK" w:hAnsi="方正仿宋_GBK" w:eastAsia="方正仿宋_GBK" w:cs="方正仿宋_GBK"/>
          <w:color w:val="000000" w:themeColor="text1"/>
          <w:sz w:val="32"/>
          <w:szCs w:val="32"/>
          <w14:textFill>
            <w14:solidFill>
              <w14:schemeClr w14:val="tx1"/>
            </w14:solidFill>
          </w14:textFill>
        </w:rPr>
        <w:t>万元，其中：人员经费</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100.67</w:t>
      </w:r>
      <w:r>
        <w:rPr>
          <w:rFonts w:hint="eastAsia" w:ascii="方正仿宋_GBK" w:hAnsi="方正仿宋_GBK" w:eastAsia="方正仿宋_GBK" w:cs="方正仿宋_GBK"/>
          <w:color w:val="000000" w:themeColor="text1"/>
          <w:sz w:val="32"/>
          <w:szCs w:val="32"/>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公用经费 </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9.92</w:t>
      </w:r>
      <w:r>
        <w:rPr>
          <w:rFonts w:hint="eastAsia" w:ascii="方正仿宋_GBK" w:hAnsi="方正仿宋_GBK" w:eastAsia="方正仿宋_GBK" w:cs="方正仿宋_GBK"/>
          <w:color w:val="000000" w:themeColor="text1"/>
          <w:sz w:val="32"/>
          <w:szCs w:val="32"/>
          <w14:textFill>
            <w14:solidFill>
              <w14:schemeClr w14:val="tx1"/>
            </w14:solidFill>
          </w14:textFill>
        </w:rPr>
        <w:t>万元，主要包括：办公费、印刷费、手续费、水费、电费、邮电费、差旅费、维修（护）费、会议费、培训费、劳务费、工会经费、福利费、其他交通费、其他商品和服务支出。</w:t>
      </w:r>
    </w:p>
    <w:p>
      <w:pPr>
        <w:pStyle w:val="2"/>
        <w:spacing w:line="240" w:lineRule="auto"/>
        <w:ind w:firstLine="640" w:firstLineChars="200"/>
        <w:rPr>
          <w:rFonts w:ascii="方正黑体_GBK" w:hAnsi="方正黑体_GBK" w:eastAsia="方正黑体_GBK" w:cs="方正黑体_GBK"/>
          <w:sz w:val="32"/>
          <w:szCs w:val="32"/>
        </w:rPr>
      </w:pPr>
      <w:bookmarkStart w:id="11" w:name="_Toc12073"/>
      <w:r>
        <w:rPr>
          <w:rFonts w:hint="eastAsia" w:ascii="方正黑体_GBK" w:hAnsi="方正黑体_GBK" w:eastAsia="方正黑体_GBK" w:cs="方正黑体_GBK"/>
          <w:sz w:val="32"/>
          <w:szCs w:val="32"/>
        </w:rPr>
        <w:t>六、“三公”经费财政拨款预算安排情况说明</w:t>
      </w:r>
      <w:bookmarkEnd w:id="11"/>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年“三公”经费财政拨款预算数 </w:t>
      </w:r>
      <w:r>
        <w:rPr>
          <w:rFonts w:ascii="Times New Roman" w:hAnsi="Times New Roman" w:eastAsia="方正仿宋_GBK" w:cs="Times New Roman"/>
          <w:color w:val="000000" w:themeColor="text1"/>
          <w:sz w:val="32"/>
          <w:szCs w:val="32"/>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万元，其中：因公出国（境）经费 </w:t>
      </w:r>
      <w:r>
        <w:rPr>
          <w:rFonts w:ascii="Times New Roman" w:hAnsi="Times New Roman" w:eastAsia="方正仿宋_GBK" w:cs="Times New Roman"/>
          <w:color w:val="000000" w:themeColor="text1"/>
          <w:sz w:val="32"/>
          <w:szCs w:val="32"/>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万元，公务接待费 </w:t>
      </w:r>
      <w:r>
        <w:rPr>
          <w:rFonts w:ascii="Times New Roman" w:hAnsi="Times New Roman" w:eastAsia="方正仿宋_GBK" w:cs="Times New Roman"/>
          <w:color w:val="000000" w:themeColor="text1"/>
          <w:sz w:val="32"/>
          <w:szCs w:val="32"/>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万元，公务用车购置及运行维护费 </w:t>
      </w:r>
      <w:r>
        <w:rPr>
          <w:rFonts w:ascii="Times New Roman" w:hAnsi="Times New Roman" w:eastAsia="方正仿宋_GBK" w:cs="Times New Roman"/>
          <w:color w:val="000000" w:themeColor="text1"/>
          <w:sz w:val="32"/>
          <w:szCs w:val="32"/>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p>
    <w:p>
      <w:pPr>
        <w:pStyle w:val="2"/>
        <w:spacing w:line="240" w:lineRule="auto"/>
        <w:ind w:firstLine="640" w:firstLineChars="200"/>
        <w:rPr>
          <w:rFonts w:ascii="方正黑体_GBK" w:hAnsi="方正黑体_GBK" w:eastAsia="方正黑体_GBK" w:cs="方正黑体_GBK"/>
          <w:sz w:val="32"/>
          <w:szCs w:val="32"/>
        </w:rPr>
      </w:pPr>
      <w:bookmarkStart w:id="12" w:name="_Toc10801"/>
      <w:r>
        <w:rPr>
          <w:rFonts w:hint="eastAsia" w:ascii="方正黑体_GBK" w:hAnsi="方正黑体_GBK" w:eastAsia="方正黑体_GBK" w:cs="方正黑体_GBK"/>
          <w:sz w:val="32"/>
          <w:szCs w:val="32"/>
        </w:rPr>
        <w:t>七、政府性基金预算支出情况说明</w:t>
      </w:r>
      <w:bookmarkEnd w:id="12"/>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年没有使用政府性基金预算拨款安排的支出。</w:t>
      </w:r>
    </w:p>
    <w:p>
      <w:pPr>
        <w:pStyle w:val="2"/>
        <w:spacing w:line="240" w:lineRule="auto"/>
        <w:ind w:firstLine="640" w:firstLineChars="200"/>
        <w:rPr>
          <w:rFonts w:ascii="方正黑体_GBK" w:hAnsi="方正黑体_GBK" w:eastAsia="方正黑体_GBK" w:cs="方正黑体_GBK"/>
          <w:sz w:val="32"/>
          <w:szCs w:val="32"/>
        </w:rPr>
      </w:pPr>
      <w:bookmarkStart w:id="13" w:name="_Toc8512"/>
      <w:r>
        <w:rPr>
          <w:rFonts w:hint="eastAsia" w:ascii="方正黑体_GBK" w:hAnsi="方正黑体_GBK" w:eastAsia="方正黑体_GBK" w:cs="方正黑体_GBK"/>
          <w:sz w:val="32"/>
          <w:szCs w:val="32"/>
        </w:rPr>
        <w:t>八、其他重要事项的情况说明</w:t>
      </w:r>
      <w:bookmarkEnd w:id="13"/>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14" w:name="_Toc3728"/>
      <w:r>
        <w:rPr>
          <w:rFonts w:hint="eastAsia" w:ascii="方正楷体_GBK" w:hAnsi="方正楷体_GBK" w:eastAsia="方正楷体_GBK" w:cs="方正楷体_GBK"/>
          <w:b/>
          <w:bCs/>
          <w:color w:val="000000" w:themeColor="text1"/>
          <w:sz w:val="32"/>
          <w:szCs w:val="32"/>
          <w14:textFill>
            <w14:solidFill>
              <w14:schemeClr w14:val="tx1"/>
            </w14:solidFill>
          </w14:textFill>
        </w:rPr>
        <w:t>（一）政府采购情况</w:t>
      </w:r>
      <w:bookmarkEnd w:id="14"/>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2024</w:t>
      </w:r>
      <w:r>
        <w:rPr>
          <w:rFonts w:hint="eastAsia" w:ascii="方正仿宋_GBK" w:hAnsi="方正仿宋_GBK" w:eastAsia="方正仿宋_GBK" w:cs="方正仿宋_GBK"/>
          <w:color w:val="000000" w:themeColor="text1"/>
          <w:sz w:val="32"/>
          <w:szCs w:val="32"/>
          <w14:textFill>
            <w14:solidFill>
              <w14:schemeClr w14:val="tx1"/>
            </w14:solidFill>
          </w14:textFill>
        </w:rPr>
        <w:t>年，</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服务中心安排政府采购预算 </w:t>
      </w:r>
      <w:r>
        <w:rPr>
          <w:rFonts w:ascii="Times New Roman" w:hAnsi="Times New Roman" w:eastAsia="方正仿宋_GBK" w:cs="Times New Roman"/>
          <w:color w:val="000000" w:themeColor="text1"/>
          <w:sz w:val="32"/>
          <w:szCs w:val="32"/>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万万元。</w:t>
      </w:r>
    </w:p>
    <w:p>
      <w:pPr>
        <w:ind w:firstLine="640" w:firstLineChars="200"/>
        <w:outlineLvl w:val="1"/>
        <w:rPr>
          <w:rFonts w:ascii="方正楷体_GBK" w:hAnsi="方正楷体_GBK" w:eastAsia="方正楷体_GBK" w:cs="方正楷体_GBK"/>
          <w:b/>
          <w:bCs/>
          <w:color w:val="000000" w:themeColor="text1"/>
          <w:sz w:val="32"/>
          <w:szCs w:val="32"/>
          <w14:textFill>
            <w14:solidFill>
              <w14:schemeClr w14:val="tx1"/>
            </w14:solidFill>
          </w14:textFill>
        </w:rPr>
      </w:pPr>
      <w:bookmarkStart w:id="15" w:name="_Toc28247"/>
      <w:r>
        <w:rPr>
          <w:rFonts w:hint="eastAsia" w:ascii="方正楷体_GBK" w:hAnsi="方正楷体_GBK" w:eastAsia="方正楷体_GBK" w:cs="方正楷体_GBK"/>
          <w:b/>
          <w:bCs/>
          <w:color w:val="000000" w:themeColor="text1"/>
          <w:sz w:val="32"/>
          <w:szCs w:val="32"/>
          <w14:textFill>
            <w14:solidFill>
              <w14:schemeClr w14:val="tx1"/>
            </w14:solidFill>
          </w14:textFill>
        </w:rPr>
        <w:t>（二）国有资产占有使用情况</w:t>
      </w:r>
      <w:bookmarkEnd w:id="15"/>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截至</w:t>
      </w:r>
      <w:r>
        <w:rPr>
          <w:rFonts w:ascii="Times New Roman" w:hAnsi="Times New Roman" w:eastAsia="方正仿宋_GBK" w:cs="Times New Roman"/>
          <w:color w:val="000000" w:themeColor="text1"/>
          <w:sz w:val="32"/>
          <w:szCs w:val="32"/>
          <w14:textFill>
            <w14:solidFill>
              <w14:schemeClr w14:val="tx1"/>
            </w14:solidFill>
          </w14:textFill>
        </w:rPr>
        <w:t>20</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20</w:t>
      </w:r>
      <w:r>
        <w:rPr>
          <w:rFonts w:hint="eastAsia" w:ascii="方正仿宋_GBK" w:hAnsi="方正仿宋_GBK" w:eastAsia="方正仿宋_GBK" w:cs="方正仿宋_GBK"/>
          <w:color w:val="000000" w:themeColor="text1"/>
          <w:sz w:val="32"/>
          <w:szCs w:val="32"/>
          <w14:textFill>
            <w14:solidFill>
              <w14:schemeClr w14:val="tx1"/>
            </w14:solidFill>
          </w14:textFill>
        </w:rPr>
        <w:t>年底，</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平梁镇农民工</w:t>
      </w:r>
      <w:r>
        <w:rPr>
          <w:rFonts w:hint="eastAsia" w:ascii="方正仿宋_GBK" w:hAnsi="方正仿宋_GBK" w:eastAsia="方正仿宋_GBK" w:cs="方正仿宋_GBK"/>
          <w:color w:val="000000" w:themeColor="text1"/>
          <w:sz w:val="32"/>
          <w:szCs w:val="32"/>
          <w14:textFill>
            <w14:solidFill>
              <w14:schemeClr w14:val="tx1"/>
            </w14:solidFill>
          </w14:textFill>
        </w:rPr>
        <w:t>服务中心所属各预算单位无车辆 。</w:t>
      </w:r>
    </w:p>
    <w:p>
      <w:pPr>
        <w:pStyle w:val="2"/>
        <w:spacing w:line="240" w:lineRule="auto"/>
        <w:ind w:firstLine="640" w:firstLineChars="200"/>
        <w:rPr>
          <w:rFonts w:ascii="方正黑体_GBK" w:hAnsi="方正黑体_GBK" w:eastAsia="方正黑体_GBK" w:cs="方正黑体_GBK"/>
          <w:sz w:val="32"/>
          <w:szCs w:val="32"/>
        </w:rPr>
      </w:pPr>
      <w:bookmarkStart w:id="16" w:name="_Toc14926"/>
      <w:r>
        <w:rPr>
          <w:rFonts w:hint="eastAsia" w:ascii="方正黑体_GBK" w:hAnsi="方正黑体_GBK" w:eastAsia="方正黑体_GBK" w:cs="方正黑体_GBK"/>
          <w:sz w:val="32"/>
          <w:szCs w:val="32"/>
        </w:rPr>
        <w:t>九、名词解释</w:t>
      </w:r>
      <w:bookmarkEnd w:id="16"/>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.一般公共预算拨款收入：指省级财政当年拨付的资金。</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.社会保障和就业（类）其他社会保障和就业（款）其他社会保障和就业支出（项）：指除上述项目外，其他用于行政事业单位离退休方面的支出。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.医疗卫生与计划生育（类）行政事业单位医疗（款）事业单位医疗（项）：指事业单位用于缴纳单位基本医疗保险支出。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4</w:t>
      </w:r>
      <w:r>
        <w:rPr>
          <w:rFonts w:hint="eastAsia" w:ascii="方正仿宋_GBK" w:hAnsi="方正仿宋_GBK" w:eastAsia="方正仿宋_GBK" w:cs="方正仿宋_GBK"/>
          <w:color w:val="000000" w:themeColor="text1"/>
          <w:sz w:val="32"/>
          <w:szCs w:val="32"/>
          <w14:textFill>
            <w14:solidFill>
              <w14:schemeClr w14:val="tx1"/>
            </w14:solidFill>
          </w14:textFill>
        </w:rPr>
        <w:t>.住房保障（类）住房改革支出（款）住房公积金（项）：指按照《住房公积金管理条例》的规定，由单位及其在职职工缴存的长期住房储金。</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5</w:t>
      </w:r>
      <w:r>
        <w:rPr>
          <w:rFonts w:hint="eastAsia" w:ascii="方正仿宋_GBK" w:hAnsi="方正仿宋_GBK" w:eastAsia="方正仿宋_GBK" w:cs="方正仿宋_GBK"/>
          <w:color w:val="000000" w:themeColor="text1"/>
          <w:sz w:val="32"/>
          <w:szCs w:val="32"/>
          <w14:textFill>
            <w14:solidFill>
              <w14:schemeClr w14:val="tx1"/>
            </w14:solidFill>
          </w14:textFill>
        </w:rPr>
        <w:t>.基本支出：指为保证机构正常运转，完成日常工作任务而发生的人员支出和公用支出。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6</w:t>
      </w:r>
      <w:r>
        <w:rPr>
          <w:rFonts w:hint="eastAsia" w:ascii="方正仿宋_GBK" w:hAnsi="方正仿宋_GBK" w:eastAsia="方正仿宋_GBK" w:cs="方正仿宋_GBK"/>
          <w:color w:val="000000" w:themeColor="text1"/>
          <w:sz w:val="32"/>
          <w:szCs w:val="32"/>
          <w14:textFill>
            <w14:solidFill>
              <w14:schemeClr w14:val="tx1"/>
            </w14:solidFill>
          </w14:textFill>
        </w:rPr>
        <w:t>.“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7</w:t>
      </w:r>
      <w:r>
        <w:rPr>
          <w:rFonts w:hint="eastAsia" w:ascii="方正仿宋_GBK" w:hAnsi="方正仿宋_GBK" w:eastAsia="方正仿宋_GBK" w:cs="方正仿宋_GBK"/>
          <w:color w:val="000000" w:themeColor="text1"/>
          <w:sz w:val="32"/>
          <w:szCs w:val="32"/>
          <w14:textFill>
            <w14:solidFill>
              <w14:schemeClr w14:val="tx1"/>
            </w14:solidFill>
          </w14:textFill>
        </w:rPr>
        <w:t>.机关运行经费：为保障行政单位（包含参照公务员法管理的事业单位）运行用于购买货物和服务的各项资金。包括办公及办公费、水费、电费、印刷费、邮电费、差旅费、会议费等费用开支。</w:t>
      </w: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p>
      <w:pPr>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附件：</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年巴州区单位部门收支总表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年巴州区单位部门收入总表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年巴州区单位财政拨款收支预算总表</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表2-1. 2024年巴州区单位财政拨款支出预算表（部门经济类科目）</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年巴州区单位一般公共预算支出预算表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年单位一般公共预算基本支出预算表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年单位一般公共预算项目支出预算表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年单位一般公共预算“三公”经费预算表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年政府性基金支出预算表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年政府基金预算“三公”经费支出预算表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5</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年国有资本经营预算支出预算表</w:t>
      </w:r>
    </w:p>
    <w:p>
      <w:pPr>
        <w:ind w:firstLine="640" w:firstLineChars="200"/>
        <w:rPr>
          <w:rFonts w:hint="eastAsia" w:ascii="仿宋" w:hAnsi="仿宋" w:eastAsia="仿宋" w:cs="仿宋"/>
          <w:color w:val="000000" w:themeColor="text1"/>
          <w:sz w:val="32"/>
          <w:szCs w:val="32"/>
          <w14:textFill>
            <w14:solidFill>
              <w14:schemeClr w14:val="tx1"/>
            </w14:solidFill>
          </w14:textFill>
        </w:rPr>
      </w:pPr>
    </w:p>
    <w:p>
      <w:pPr>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2C1"/>
    <w:rsid w:val="0009310D"/>
    <w:rsid w:val="000A2DE7"/>
    <w:rsid w:val="001B6213"/>
    <w:rsid w:val="00265BA1"/>
    <w:rsid w:val="002F5B42"/>
    <w:rsid w:val="00430A67"/>
    <w:rsid w:val="00463048"/>
    <w:rsid w:val="00474DE5"/>
    <w:rsid w:val="004A4D03"/>
    <w:rsid w:val="004B058D"/>
    <w:rsid w:val="00532C45"/>
    <w:rsid w:val="006452C1"/>
    <w:rsid w:val="00687D24"/>
    <w:rsid w:val="006B7B0E"/>
    <w:rsid w:val="006E7785"/>
    <w:rsid w:val="006F69EE"/>
    <w:rsid w:val="008640E2"/>
    <w:rsid w:val="009354DF"/>
    <w:rsid w:val="00AD2F67"/>
    <w:rsid w:val="00C40F78"/>
    <w:rsid w:val="00CA720C"/>
    <w:rsid w:val="00CF3245"/>
    <w:rsid w:val="00CF5987"/>
    <w:rsid w:val="00D34013"/>
    <w:rsid w:val="00D63EB5"/>
    <w:rsid w:val="00E802F4"/>
    <w:rsid w:val="00EB0203"/>
    <w:rsid w:val="02926EFC"/>
    <w:rsid w:val="02EB6717"/>
    <w:rsid w:val="050329C9"/>
    <w:rsid w:val="05111C3D"/>
    <w:rsid w:val="085F0486"/>
    <w:rsid w:val="0AAC6DC6"/>
    <w:rsid w:val="0D3824C9"/>
    <w:rsid w:val="0E4B55C3"/>
    <w:rsid w:val="0F464A13"/>
    <w:rsid w:val="10047AC4"/>
    <w:rsid w:val="11A451D8"/>
    <w:rsid w:val="16B97FE0"/>
    <w:rsid w:val="1E4B01E7"/>
    <w:rsid w:val="1E6C4B73"/>
    <w:rsid w:val="1F954E26"/>
    <w:rsid w:val="21E226CD"/>
    <w:rsid w:val="24366038"/>
    <w:rsid w:val="24D22B8F"/>
    <w:rsid w:val="25F70D4B"/>
    <w:rsid w:val="268059A8"/>
    <w:rsid w:val="27834865"/>
    <w:rsid w:val="27940B50"/>
    <w:rsid w:val="28540689"/>
    <w:rsid w:val="28E0270B"/>
    <w:rsid w:val="2BCA0371"/>
    <w:rsid w:val="2C7A11A5"/>
    <w:rsid w:val="30915F2C"/>
    <w:rsid w:val="30EE39FA"/>
    <w:rsid w:val="33D13736"/>
    <w:rsid w:val="34616DD6"/>
    <w:rsid w:val="347A50B1"/>
    <w:rsid w:val="37F668B6"/>
    <w:rsid w:val="39B37EFF"/>
    <w:rsid w:val="3C9F46C2"/>
    <w:rsid w:val="3F6A4698"/>
    <w:rsid w:val="412D4D9E"/>
    <w:rsid w:val="44252FEA"/>
    <w:rsid w:val="44471DE6"/>
    <w:rsid w:val="44DA2CDF"/>
    <w:rsid w:val="467C6A97"/>
    <w:rsid w:val="46CA6325"/>
    <w:rsid w:val="480D6E23"/>
    <w:rsid w:val="4BA04142"/>
    <w:rsid w:val="4BA26D99"/>
    <w:rsid w:val="4F1E4C17"/>
    <w:rsid w:val="523C39E8"/>
    <w:rsid w:val="56F702F2"/>
    <w:rsid w:val="598A6729"/>
    <w:rsid w:val="5E160FEF"/>
    <w:rsid w:val="5FF33BCE"/>
    <w:rsid w:val="63823EF7"/>
    <w:rsid w:val="63E553C6"/>
    <w:rsid w:val="6B0A7795"/>
    <w:rsid w:val="6C4B1AE9"/>
    <w:rsid w:val="6C777AC3"/>
    <w:rsid w:val="6F99363C"/>
    <w:rsid w:val="71EF7E97"/>
    <w:rsid w:val="743E5110"/>
    <w:rsid w:val="778E70F0"/>
    <w:rsid w:val="799A45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批注框文本 Char"/>
    <w:basedOn w:val="7"/>
    <w:link w:val="3"/>
    <w:semiHidden/>
    <w:qFormat/>
    <w:uiPriority w:val="99"/>
    <w:rPr>
      <w:sz w:val="18"/>
      <w:szCs w:val="18"/>
    </w:rPr>
  </w:style>
  <w:style w:type="paragraph" w:customStyle="1" w:styleId="11">
    <w:name w:val="WPSOffice手动目录 1"/>
    <w:qFormat/>
    <w:uiPriority w:val="0"/>
    <w:rPr>
      <w:rFonts w:asciiTheme="minorHAnsi" w:hAnsiTheme="minorHAnsi" w:eastAsiaTheme="minorEastAsia" w:cstheme="minorBidi"/>
      <w:lang w:val="en-US" w:eastAsia="zh-CN" w:bidi="ar-SA"/>
    </w:rPr>
  </w:style>
  <w:style w:type="paragraph" w:customStyle="1" w:styleId="12">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2519</Words>
  <Characters>1281</Characters>
  <Lines>10</Lines>
  <Paragraphs>7</Paragraphs>
  <TotalTime>20</TotalTime>
  <ScaleCrop>false</ScaleCrop>
  <LinksUpToDate>false</LinksUpToDate>
  <CharactersWithSpaces>3793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2024-07-18T07:09:39Z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60E1646B506C4A0EBF74401944A238AE</vt:lpwstr>
  </property>
</Properties>
</file>