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ind w:left="440" w:hanging="520" w:hangingChars="100"/>
        <w:jc w:val="cente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pPr>
    </w:p>
    <w:p>
      <w:pPr>
        <w:widowControl/>
        <w:wordWrap w:val="0"/>
        <w:spacing w:line="480" w:lineRule="atLeast"/>
        <w:ind w:left="440" w:hanging="520" w:hangingChars="100"/>
        <w:jc w:val="cente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pPr>
    </w:p>
    <w:p>
      <w:pPr>
        <w:widowControl/>
        <w:wordWrap w:val="0"/>
        <w:spacing w:line="480" w:lineRule="atLeast"/>
        <w:ind w:left="440" w:hanging="520" w:hangingChars="100"/>
        <w:jc w:val="cente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pPr>
    </w:p>
    <w:p>
      <w:pPr>
        <w:widowControl/>
        <w:wordWrap w:val="0"/>
        <w:spacing w:line="480" w:lineRule="atLeast"/>
        <w:ind w:left="440" w:hanging="520" w:hangingChars="100"/>
        <w:jc w:val="cente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pPr>
      <w: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t>巴中市巴州区三江镇人民政府</w:t>
      </w:r>
    </w:p>
    <w:p>
      <w:pPr>
        <w:widowControl/>
        <w:wordWrap w:val="0"/>
        <w:spacing w:line="480" w:lineRule="atLeast"/>
        <w:ind w:left="440" w:hanging="520" w:hangingChars="100"/>
        <w:jc w:val="center"/>
        <w:rPr>
          <w:rFonts w:hint="eastAsia" w:ascii="方正小标宋_GBK" w:hAnsi="方正小标宋_GBK" w:eastAsia="方正小标宋_GBK" w:cs="方正小标宋_GBK"/>
          <w:color w:val="000000" w:themeColor="text1"/>
          <w:kern w:val="0"/>
          <w:sz w:val="52"/>
          <w:szCs w:val="52"/>
          <w:lang w:eastAsia="zh-CN"/>
          <w14:textFill>
            <w14:solidFill>
              <w14:schemeClr w14:val="tx1"/>
            </w14:solidFill>
          </w14:textFill>
        </w:rPr>
      </w:pPr>
      <w: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t>财政所</w:t>
      </w:r>
      <w:r>
        <w:rPr>
          <w:rFonts w:hint="eastAsia" w:ascii="方正小标宋_GBK" w:hAnsi="方正小标宋_GBK" w:eastAsia="方正小标宋_GBK" w:cs="方正小标宋_GBK"/>
          <w:color w:val="000000" w:themeColor="text1"/>
          <w:kern w:val="0"/>
          <w:sz w:val="52"/>
          <w:szCs w:val="52"/>
          <w:lang w:eastAsia="zh-CN"/>
          <w14:textFill>
            <w14:solidFill>
              <w14:schemeClr w14:val="tx1"/>
            </w14:solidFill>
          </w14:textFill>
        </w:rPr>
        <w:t>2024</w:t>
      </w:r>
      <w:r>
        <w:rPr>
          <w:rFonts w:hint="eastAsia" w:ascii="方正小标宋_GBK" w:hAnsi="方正小标宋_GBK" w:eastAsia="方正小标宋_GBK" w:cs="方正小标宋_GBK"/>
          <w:color w:val="000000" w:themeColor="text1"/>
          <w:kern w:val="0"/>
          <w:sz w:val="52"/>
          <w:szCs w:val="52"/>
          <w:lang w:val="en-US" w:eastAsia="zh-CN"/>
          <w14:textFill>
            <w14:solidFill>
              <w14:schemeClr w14:val="tx1"/>
            </w14:solidFill>
          </w14:textFill>
        </w:rPr>
        <w:t>年</w:t>
      </w:r>
      <w:r>
        <w:rPr>
          <w:rFonts w:hint="eastAsia" w:ascii="方正小标宋_GBK" w:hAnsi="方正小标宋_GBK" w:eastAsia="方正小标宋_GBK" w:cs="方正小标宋_GBK"/>
          <w:color w:val="000000" w:themeColor="text1"/>
          <w:kern w:val="0"/>
          <w:sz w:val="52"/>
          <w:szCs w:val="52"/>
          <w14:textFill>
            <w14:solidFill>
              <w14:schemeClr w14:val="tx1"/>
            </w14:solidFill>
          </w14:textFill>
        </w:rPr>
        <w:t>部门预算编制说明</w:t>
      </w:r>
    </w:p>
    <w:p>
      <w:pPr>
        <w:widowControl/>
        <w:wordWrap w:val="0"/>
        <w:spacing w:line="480" w:lineRule="atLeast"/>
        <w:ind w:left="440" w:hanging="440" w:hangingChars="100"/>
        <w:jc w:val="center"/>
        <w:rPr>
          <w:rFonts w:hint="eastAsia" w:ascii="黑体" w:hAnsi="黑体" w:eastAsia="黑体" w:cs="黑体"/>
          <w:color w:val="000000" w:themeColor="text1"/>
          <w:kern w:val="0"/>
          <w:sz w:val="44"/>
          <w:szCs w:val="44"/>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jc w:val="center"/>
        <w:outlineLvl w:val="9"/>
        <w:rPr>
          <w:rFonts w:hint="eastAsia" w:ascii="仿宋" w:hAnsi="仿宋" w:eastAsia="仿宋" w:cs="仿宋"/>
          <w:b/>
          <w:bCs/>
          <w:color w:val="000000" w:themeColor="text1"/>
          <w:kern w:val="0"/>
          <w:sz w:val="28"/>
          <w:szCs w:val="28"/>
          <w:lang w:val="en-US" w:eastAsia="zh-CN"/>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目    录</w:t>
      </w:r>
    </w:p>
    <w:p>
      <w:pPr>
        <w:pStyle w:val="2"/>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（一）职能</w:t>
      </w:r>
      <w:r>
        <w:rPr>
          <w:rFonts w:hint="eastAsia" w:ascii="仿宋" w:hAnsi="仿宋" w:eastAsia="仿宋" w:cs="仿宋"/>
          <w:color w:val="000000" w:themeColor="text1"/>
          <w:kern w:val="0"/>
          <w:sz w:val="28"/>
          <w:szCs w:val="28"/>
          <w:lang w:val="en-US" w:eastAsia="zh-CN"/>
          <w14:textFill>
            <w14:solidFill>
              <w14:schemeClr w14:val="tx1"/>
            </w14:solidFill>
          </w14:textFill>
        </w:rPr>
        <w:t>简介.......................................1</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（二）</w:t>
      </w:r>
      <w:r>
        <w:rPr>
          <w:rFonts w:hint="eastAsia" w:ascii="仿宋" w:hAnsi="仿宋" w:eastAsia="仿宋" w:cs="仿宋"/>
          <w:color w:val="000000" w:themeColor="text1"/>
          <w:kern w:val="0"/>
          <w:sz w:val="28"/>
          <w:szCs w:val="28"/>
          <w:lang w:eastAsia="zh-CN"/>
          <w14:textFill>
            <w14:solidFill>
              <w14:schemeClr w14:val="tx1"/>
            </w14:solidFill>
          </w14:textFill>
        </w:rPr>
        <w:t>2024</w:t>
      </w:r>
      <w:r>
        <w:rPr>
          <w:rFonts w:hint="eastAsia" w:ascii="仿宋" w:hAnsi="仿宋" w:eastAsia="仿宋" w:cs="仿宋"/>
          <w:color w:val="000000" w:themeColor="text1"/>
          <w:kern w:val="0"/>
          <w:sz w:val="28"/>
          <w:szCs w:val="28"/>
          <w14:textFill>
            <w14:solidFill>
              <w14:schemeClr w14:val="tx1"/>
            </w14:solidFill>
          </w14:textFill>
        </w:rPr>
        <w:t>年重点工作</w:t>
      </w:r>
      <w:r>
        <w:rPr>
          <w:rFonts w:hint="eastAsia" w:ascii="仿宋" w:hAnsi="仿宋" w:eastAsia="仿宋" w:cs="仿宋"/>
          <w:color w:val="000000" w:themeColor="text1"/>
          <w:kern w:val="0"/>
          <w:sz w:val="28"/>
          <w:szCs w:val="28"/>
          <w:lang w:val="en-US" w:eastAsia="zh-CN"/>
          <w14:textFill>
            <w14:solidFill>
              <w14:schemeClr w14:val="tx1"/>
            </w14:solidFill>
          </w14:textFill>
        </w:rPr>
        <w:t>................................1</w:t>
      </w:r>
    </w:p>
    <w:p>
      <w:pPr>
        <w:pStyle w:val="2"/>
        <w:numPr>
          <w:ilvl w:val="0"/>
          <w:numId w:val="1"/>
        </w:numP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部门预算单位构成</w:t>
      </w:r>
      <w:r>
        <w:rPr>
          <w:rFonts w:hint="eastAsia" w:ascii="仿宋" w:hAnsi="仿宋" w:eastAsia="仿宋" w:cs="仿宋"/>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三、收支预算情况说明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（一）收入预算情况</w:t>
      </w:r>
      <w:r>
        <w:rPr>
          <w:rFonts w:hint="eastAsia" w:ascii="仿宋" w:hAnsi="仿宋" w:eastAsia="仿宋" w:cs="仿宋"/>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（二）支出预算情况</w:t>
      </w:r>
      <w:r>
        <w:rPr>
          <w:rFonts w:hint="eastAsia" w:ascii="仿宋" w:hAnsi="仿宋" w:eastAsia="仿宋" w:cs="仿宋"/>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四、财政拨款收支预算情况说明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五、一般公共预算当年拨款情况说明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　（一）一般公共预算当年拨款规模变化情况</w:t>
      </w:r>
      <w:r>
        <w:rPr>
          <w:rFonts w:hint="eastAsia" w:ascii="仿宋" w:hAnsi="仿宋" w:eastAsia="仿宋" w:cs="仿宋"/>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（二）一般公共预算当年拨款结构情况</w:t>
      </w:r>
      <w:r>
        <w:rPr>
          <w:rFonts w:hint="eastAsia" w:ascii="仿宋" w:hAnsi="仿宋" w:eastAsia="仿宋" w:cs="仿宋"/>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（三）一般公共预算当年拨款具体使用情况</w:t>
      </w:r>
      <w:r>
        <w:rPr>
          <w:rFonts w:hint="eastAsia" w:ascii="仿宋" w:hAnsi="仿宋" w:eastAsia="仿宋" w:cs="仿宋"/>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六、一般公共预算基本支出情况说明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七、“三公”经费财政拨款预算安排情况说明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八、政府性基金预算支出情况说明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.........................5</w:t>
      </w:r>
    </w:p>
    <w:p>
      <w:pPr>
        <w:widowControl/>
        <w:wordWrap w:val="0"/>
        <w:spacing w:line="480" w:lineRule="atLeast"/>
        <w:jc w:val="both"/>
        <w:outlineLvl w:val="9"/>
        <w:rPr>
          <w:rFonts w:hint="eastAsia" w:ascii="仿宋" w:hAnsi="仿宋" w:eastAsia="仿宋" w:cs="仿宋"/>
          <w:color w:val="000000" w:themeColor="text1"/>
          <w:kern w:val="0"/>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九、其他重要事项的情况说明</w:t>
      </w:r>
      <w:r>
        <w:rPr>
          <w:rFonts w:hint="eastAsia" w:ascii="仿宋" w:hAnsi="仿宋" w:eastAsia="仿宋" w:cs="仿宋"/>
          <w:color w:val="000000" w:themeColor="text1"/>
          <w:kern w:val="0"/>
          <w:sz w:val="28"/>
          <w:szCs w:val="28"/>
          <w:lang w:val="en-US" w:eastAsia="zh-CN"/>
          <w14:textFill>
            <w14:solidFill>
              <w14:schemeClr w14:val="tx1"/>
            </w14:solidFill>
          </w14:textFill>
        </w:rPr>
        <w:t>.............................5</w:t>
      </w:r>
    </w:p>
    <w:p>
      <w:pPr>
        <w:pStyle w:val="2"/>
        <w:rPr>
          <w:rFonts w:hint="eastAsia" w:ascii="仿宋" w:hAnsi="仿宋" w:eastAsia="仿宋" w:cs="仿宋"/>
          <w:color w:val="000000" w:themeColor="text1"/>
          <w:kern w:val="0"/>
          <w:sz w:val="28"/>
          <w:szCs w:val="28"/>
          <w14:textFill>
            <w14:solidFill>
              <w14:schemeClr w14:val="tx1"/>
            </w14:solidFill>
          </w14:textFill>
        </w:rPr>
      </w:pPr>
    </w:p>
    <w:p>
      <w:pPr>
        <w:pStyle w:val="2"/>
        <w:rPr>
          <w:rFonts w:hint="eastAsia" w:ascii="仿宋" w:hAnsi="仿宋" w:eastAsia="仿宋" w:cs="仿宋"/>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 w:hAnsi="仿宋" w:eastAsia="仿宋" w:cs="仿宋"/>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 w:hAnsi="仿宋" w:eastAsia="仿宋" w:cs="仿宋"/>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 w:hAnsi="仿宋" w:eastAsia="仿宋" w:cs="仿宋"/>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 w:hAnsi="仿宋" w:eastAsia="仿宋" w:cs="仿宋"/>
          <w:color w:val="000000" w:themeColor="text1"/>
          <w:kern w:val="0"/>
          <w:sz w:val="28"/>
          <w:szCs w:val="28"/>
          <w14:textFill>
            <w14:solidFill>
              <w14:schemeClr w14:val="tx1"/>
            </w14:solidFill>
          </w14:textFill>
        </w:rPr>
      </w:pPr>
    </w:p>
    <w:p>
      <w:pPr>
        <w:widowControl/>
        <w:wordWrap w:val="0"/>
        <w:spacing w:line="480" w:lineRule="atLeast"/>
        <w:jc w:val="both"/>
        <w:rPr>
          <w:rFonts w:hint="eastAsia" w:ascii="黑体" w:hAnsi="黑体" w:eastAsia="黑体" w:cs="黑体"/>
          <w:b/>
          <w:bCs/>
          <w:color w:val="000000" w:themeColor="text1"/>
          <w:kern w:val="0"/>
          <w:sz w:val="32"/>
          <w:szCs w:val="32"/>
          <w14:textFill>
            <w14:solidFill>
              <w14:schemeClr w14:val="tx1"/>
            </w14:solidFill>
          </w14:textFill>
        </w:rPr>
      </w:pPr>
    </w:p>
    <w:p>
      <w:pPr>
        <w:widowControl/>
        <w:wordWrap w:val="0"/>
        <w:spacing w:line="480" w:lineRule="atLeast"/>
        <w:jc w:val="both"/>
        <w:rPr>
          <w:rFonts w:hint="eastAsia" w:ascii="黑体" w:hAnsi="黑体" w:eastAsia="黑体" w:cs="黑体"/>
          <w:b/>
          <w:bCs/>
          <w:color w:val="000000" w:themeColor="text1"/>
          <w:kern w:val="0"/>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widowControl/>
        <w:wordWrap w:val="0"/>
        <w:spacing w:line="480" w:lineRule="atLeast"/>
        <w:jc w:val="both"/>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一、基本职能及主要工作</w:t>
      </w:r>
    </w:p>
    <w:p>
      <w:pPr>
        <w:widowControl/>
        <w:wordWrap w:val="0"/>
        <w:spacing w:line="480" w:lineRule="atLeast"/>
        <w:jc w:val="both"/>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b/>
          <w:bCs/>
          <w:color w:val="000000" w:themeColor="text1"/>
          <w:kern w:val="0"/>
          <w:sz w:val="32"/>
          <w:szCs w:val="32"/>
          <w14:textFill>
            <w14:solidFill>
              <w14:schemeClr w14:val="tx1"/>
            </w14:solidFill>
          </w14:textFill>
        </w:rPr>
        <w:t>（一）职能简介</w:t>
      </w:r>
    </w:p>
    <w:p>
      <w:pPr>
        <w:widowControl/>
        <w:wordWrap w:val="0"/>
        <w:spacing w:line="480" w:lineRule="atLeast"/>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1.负责贯彻执行各类财经纪律规定。</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2.负责编制财政预算、决算并严格执行；</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3.负责各项惠民资金的审核发放和项目资金监管；</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4.负责管理本镇国有资产和政府性债权债务；</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5.负责指导本镇行政事业单位财务管理；</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6.负责督导各村（社区）财务信息公开工作；</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7、负责村账镇管工作；</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8、负责农村土地流转、集体资产的监督管理工作</w:t>
      </w:r>
    </w:p>
    <w:p>
      <w:pPr>
        <w:widowControl/>
        <w:wordWrap w:val="0"/>
        <w:spacing w:line="480" w:lineRule="atLeast"/>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9、负责向财政、农业等部门争取资金工作；</w:t>
      </w:r>
    </w:p>
    <w:p>
      <w:pPr>
        <w:widowControl/>
        <w:wordWrap w:val="0"/>
        <w:spacing w:line="480" w:lineRule="atLeast"/>
        <w:ind w:firstLine="64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10、负责工资管理工作；负责党委政府安排的其他临时工作。</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（二）</w:t>
      </w:r>
      <w:r>
        <w:rPr>
          <w:rFonts w:hint="eastAsia" w:ascii="仿宋" w:hAnsi="仿宋" w:eastAsia="仿宋" w:cs="仿宋"/>
          <w:b/>
          <w:bCs/>
          <w:color w:val="000000" w:themeColor="text1"/>
          <w:kern w:val="0"/>
          <w:sz w:val="32"/>
          <w:szCs w:val="32"/>
          <w:lang w:val="en-US" w:eastAsia="zh-CN"/>
          <w14:textFill>
            <w14:solidFill>
              <w14:schemeClr w14:val="tx1"/>
            </w14:solidFill>
          </w14:textFill>
        </w:rPr>
        <w:t>财政所</w:t>
      </w:r>
      <w:r>
        <w:rPr>
          <w:rFonts w:hint="eastAsia" w:ascii="仿宋" w:hAnsi="仿宋" w:eastAsia="仿宋" w:cs="仿宋"/>
          <w:b/>
          <w:bCs/>
          <w:color w:val="000000" w:themeColor="text1"/>
          <w:kern w:val="0"/>
          <w:sz w:val="32"/>
          <w:szCs w:val="32"/>
          <w:lang w:eastAsia="zh-CN"/>
          <w14:textFill>
            <w14:solidFill>
              <w14:schemeClr w14:val="tx1"/>
            </w14:solidFill>
          </w14:textFill>
        </w:rPr>
        <w:t>2024</w:t>
      </w:r>
      <w:r>
        <w:rPr>
          <w:rFonts w:hint="eastAsia" w:ascii="仿宋" w:hAnsi="仿宋" w:eastAsia="仿宋" w:cs="仿宋"/>
          <w:b/>
          <w:bCs/>
          <w:color w:val="000000" w:themeColor="text1"/>
          <w:kern w:val="0"/>
          <w:sz w:val="32"/>
          <w:szCs w:val="32"/>
          <w14:textFill>
            <w14:solidFill>
              <w14:schemeClr w14:val="tx1"/>
            </w14:solidFill>
          </w14:textFill>
        </w:rPr>
        <w:t>年重点工作</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一是</w:t>
      </w:r>
      <w:r>
        <w:rPr>
          <w:rFonts w:hint="eastAsia" w:ascii="仿宋" w:hAnsi="仿宋" w:eastAsia="仿宋" w:cs="仿宋"/>
          <w:color w:val="000000" w:themeColor="text1"/>
          <w:kern w:val="0"/>
          <w:sz w:val="32"/>
          <w:szCs w:val="32"/>
          <w14:textFill>
            <w14:solidFill>
              <w14:schemeClr w14:val="tx1"/>
            </w14:solidFill>
          </w14:textFill>
        </w:rPr>
        <w:t>加强财政队伍建设，建立健全各种制度，积极参加区财政局、镇党委政府组织的各种政治和业务学习，不断提高政策和业务水平；</w:t>
      </w:r>
      <w:r>
        <w:rPr>
          <w:rFonts w:hint="eastAsia" w:ascii="仿宋" w:hAnsi="仿宋" w:eastAsia="仿宋" w:cs="仿宋"/>
          <w:b/>
          <w:bCs/>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14:textFill>
            <w14:solidFill>
              <w14:schemeClr w14:val="tx1"/>
            </w14:solidFill>
          </w14:textFill>
        </w:rPr>
        <w:t>积极调整和优化支出结构，科学合理安排资金，分轻重缓急，做到确保工资按时发放，确保机关正常运转、保证重点项目支出，大力压缩公用经费支出，根据单位各项工作任务、财力情况，做到有保有压，确保重点，统筹安排，从而把有限的财力更多地用于人民群众生产、生活急需的项目上，不断加大对农业及基础设施建设的投入力度，有效地促进全镇经济和社会事业协调发展；</w:t>
      </w:r>
      <w:r>
        <w:rPr>
          <w:rFonts w:hint="eastAsia" w:ascii="仿宋" w:hAnsi="仿宋" w:eastAsia="仿宋" w:cs="仿宋"/>
          <w:b/>
          <w:bCs/>
          <w:color w:val="000000" w:themeColor="text1"/>
          <w:kern w:val="0"/>
          <w:sz w:val="32"/>
          <w:szCs w:val="32"/>
          <w14:textFill>
            <w14:solidFill>
              <w14:schemeClr w14:val="tx1"/>
            </w14:solidFill>
          </w14:textFill>
        </w:rPr>
        <w:t>三是</w:t>
      </w:r>
      <w:r>
        <w:rPr>
          <w:rFonts w:hint="eastAsia" w:ascii="仿宋" w:hAnsi="仿宋" w:eastAsia="仿宋" w:cs="仿宋"/>
          <w:color w:val="000000" w:themeColor="text1"/>
          <w:kern w:val="0"/>
          <w:sz w:val="32"/>
          <w:szCs w:val="32"/>
          <w14:textFill>
            <w14:solidFill>
              <w14:schemeClr w14:val="tx1"/>
            </w14:solidFill>
          </w14:textFill>
        </w:rPr>
        <w:t>努力做好镇年度预算编制工作，本着积极稳妥“量入为出、收支平衡”的原则，根据年初各部门预算安排，制定出全镇预算编制情况；</w:t>
      </w:r>
      <w:r>
        <w:rPr>
          <w:rFonts w:hint="eastAsia" w:ascii="仿宋" w:hAnsi="仿宋" w:eastAsia="仿宋" w:cs="仿宋"/>
          <w:b/>
          <w:bCs/>
          <w:color w:val="000000" w:themeColor="text1"/>
          <w:kern w:val="0"/>
          <w:sz w:val="32"/>
          <w:szCs w:val="32"/>
          <w14:textFill>
            <w14:solidFill>
              <w14:schemeClr w14:val="tx1"/>
            </w14:solidFill>
          </w14:textFill>
        </w:rPr>
        <w:t>四是</w:t>
      </w:r>
      <w:r>
        <w:rPr>
          <w:rFonts w:hint="eastAsia" w:ascii="仿宋" w:hAnsi="仿宋" w:eastAsia="仿宋" w:cs="仿宋"/>
          <w:color w:val="000000" w:themeColor="text1"/>
          <w:kern w:val="0"/>
          <w:sz w:val="32"/>
          <w:szCs w:val="32"/>
          <w14:textFill>
            <w14:solidFill>
              <w14:schemeClr w14:val="tx1"/>
            </w14:solidFill>
          </w14:textFill>
        </w:rPr>
        <w:t>严格票据管理，指定专人负责，建立严格领缴签字手续，并定期进行审核，预防漏洞发生；</w:t>
      </w:r>
      <w:r>
        <w:rPr>
          <w:rFonts w:hint="eastAsia" w:ascii="仿宋" w:hAnsi="仿宋" w:eastAsia="仿宋" w:cs="仿宋"/>
          <w:b/>
          <w:bCs/>
          <w:color w:val="000000" w:themeColor="text1"/>
          <w:kern w:val="0"/>
          <w:sz w:val="32"/>
          <w:szCs w:val="32"/>
          <w14:textFill>
            <w14:solidFill>
              <w14:schemeClr w14:val="tx1"/>
            </w14:solidFill>
          </w14:textFill>
        </w:rPr>
        <w:t>五是</w:t>
      </w:r>
      <w:r>
        <w:rPr>
          <w:rFonts w:hint="eastAsia" w:ascii="仿宋" w:hAnsi="仿宋" w:eastAsia="仿宋" w:cs="仿宋"/>
          <w:color w:val="000000" w:themeColor="text1"/>
          <w:kern w:val="0"/>
          <w:sz w:val="32"/>
          <w:szCs w:val="32"/>
          <w14:textFill>
            <w14:solidFill>
              <w14:schemeClr w14:val="tx1"/>
            </w14:solidFill>
          </w14:textFill>
        </w:rPr>
        <w:t>做好代理记账工作，严格遵守财经纪律，把好审核关</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b/>
          <w:bCs/>
          <w:color w:val="000000" w:themeColor="text1"/>
          <w:kern w:val="0"/>
          <w:sz w:val="32"/>
          <w:szCs w:val="32"/>
          <w14:textFill>
            <w14:solidFill>
              <w14:schemeClr w14:val="tx1"/>
            </w14:solidFill>
          </w14:textFill>
        </w:rPr>
        <w:t>六是</w:t>
      </w:r>
      <w:r>
        <w:rPr>
          <w:rFonts w:hint="eastAsia" w:ascii="仿宋" w:hAnsi="仿宋" w:eastAsia="仿宋" w:cs="仿宋"/>
          <w:color w:val="000000" w:themeColor="text1"/>
          <w:kern w:val="0"/>
          <w:sz w:val="32"/>
          <w:szCs w:val="32"/>
          <w14:textFill>
            <w14:solidFill>
              <w14:schemeClr w14:val="tx1"/>
            </w14:solidFill>
          </w14:textFill>
        </w:rPr>
        <w:t>统筹做好乡镇行政区划和村级建制调整改革“后半篇文章”，清理资产存量，制定盘活措施，最终达到盘活闲置资产的效果，充分发挥闲置资产的使用效益。</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二、部门预算单位构成</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人民政府财政所是行政单位，属于二级预算单位。</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三、收支预算情况说明</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按照综合预算的原则，</w:t>
      </w: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人民政府财政所所有收入和支出均纳入部门预算管理。收入包括：一般公共预算拨款收入、上年结转；支出包括：（一般公共服务支出、社会保障和就业支出、</w:t>
      </w:r>
      <w:r>
        <w:rPr>
          <w:rFonts w:hint="eastAsia" w:ascii="仿宋" w:hAnsi="仿宋" w:eastAsia="仿宋" w:cs="仿宋"/>
          <w:color w:val="000000" w:themeColor="text1"/>
          <w:kern w:val="0"/>
          <w:sz w:val="32"/>
          <w:szCs w:val="32"/>
          <w:lang w:eastAsia="zh-CN"/>
          <w14:textFill>
            <w14:solidFill>
              <w14:schemeClr w14:val="tx1"/>
            </w14:solidFill>
          </w14:textFill>
        </w:rPr>
        <w:t>卫生健康</w:t>
      </w:r>
      <w:r>
        <w:rPr>
          <w:rFonts w:hint="eastAsia" w:ascii="仿宋" w:hAnsi="仿宋" w:eastAsia="仿宋" w:cs="仿宋"/>
          <w:color w:val="000000" w:themeColor="text1"/>
          <w:kern w:val="0"/>
          <w:sz w:val="32"/>
          <w:szCs w:val="32"/>
          <w14:textFill>
            <w14:solidFill>
              <w14:schemeClr w14:val="tx1"/>
            </w14:solidFill>
          </w14:textFill>
        </w:rPr>
        <w:t>支出、住房保障支出。</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年收支总预算</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（一）收入预算情况</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年收入预算</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万元，其中：一般公共预算拨款收入</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万元，占</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（二）支出预算情况</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年支出预算</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万元，其中：基本支出</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万元，占</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无</w:t>
      </w:r>
      <w:r>
        <w:rPr>
          <w:rFonts w:hint="eastAsia" w:ascii="仿宋" w:hAnsi="仿宋" w:eastAsia="仿宋" w:cs="仿宋"/>
          <w:color w:val="000000" w:themeColor="text1"/>
          <w:kern w:val="0"/>
          <w:sz w:val="32"/>
          <w:szCs w:val="32"/>
          <w14:textFill>
            <w14:solidFill>
              <w14:schemeClr w14:val="tx1"/>
            </w14:solidFill>
          </w14:textFill>
        </w:rPr>
        <w:t>项目支出。</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四、财政拨款收支预算情况说明</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年财政拨款收支总预算</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万元。收入包括：本年一般公共预算拨款收入</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万元；支出包括：一般公共服务支出</w:t>
      </w:r>
      <w:r>
        <w:rPr>
          <w:rFonts w:hint="eastAsia" w:ascii="仿宋" w:hAnsi="仿宋" w:eastAsia="仿宋" w:cs="仿宋"/>
          <w:color w:val="000000" w:themeColor="text1"/>
          <w:kern w:val="0"/>
          <w:sz w:val="32"/>
          <w:szCs w:val="32"/>
          <w:lang w:val="en-US" w:eastAsia="zh-CN"/>
          <w14:textFill>
            <w14:solidFill>
              <w14:schemeClr w14:val="tx1"/>
            </w14:solidFill>
          </w14:textFill>
        </w:rPr>
        <w:t>44.69</w:t>
      </w:r>
      <w:r>
        <w:rPr>
          <w:rFonts w:hint="eastAsia" w:ascii="仿宋" w:hAnsi="仿宋" w:eastAsia="仿宋" w:cs="仿宋"/>
          <w:color w:val="000000" w:themeColor="text1"/>
          <w:kern w:val="0"/>
          <w:sz w:val="32"/>
          <w:szCs w:val="32"/>
          <w14:textFill>
            <w14:solidFill>
              <w14:schemeClr w14:val="tx1"/>
            </w14:solidFill>
          </w14:textFill>
        </w:rPr>
        <w:t>万元、社会保障和就业支出</w:t>
      </w:r>
      <w:r>
        <w:rPr>
          <w:rFonts w:hint="eastAsia" w:ascii="仿宋" w:hAnsi="仿宋" w:eastAsia="仿宋" w:cs="仿宋"/>
          <w:color w:val="000000" w:themeColor="text1"/>
          <w:kern w:val="0"/>
          <w:sz w:val="32"/>
          <w:szCs w:val="32"/>
          <w:lang w:val="en-US" w:eastAsia="zh-CN"/>
          <w14:textFill>
            <w14:solidFill>
              <w14:schemeClr w14:val="tx1"/>
            </w14:solidFill>
          </w14:textFill>
        </w:rPr>
        <w:t>4.94</w:t>
      </w:r>
      <w:r>
        <w:rPr>
          <w:rFonts w:hint="eastAsia" w:ascii="仿宋" w:hAnsi="仿宋" w:eastAsia="仿宋" w:cs="仿宋"/>
          <w:color w:val="000000" w:themeColor="text1"/>
          <w:kern w:val="0"/>
          <w:sz w:val="32"/>
          <w:szCs w:val="32"/>
          <w14:textFill>
            <w14:solidFill>
              <w14:schemeClr w14:val="tx1"/>
            </w14:solidFill>
          </w14:textFill>
        </w:rPr>
        <w:t>万元、</w:t>
      </w:r>
      <w:r>
        <w:rPr>
          <w:rFonts w:hint="eastAsia" w:ascii="仿宋" w:hAnsi="仿宋" w:eastAsia="仿宋" w:cs="仿宋"/>
          <w:color w:val="000000" w:themeColor="text1"/>
          <w:kern w:val="0"/>
          <w:sz w:val="32"/>
          <w:szCs w:val="32"/>
          <w:lang w:eastAsia="zh-CN"/>
          <w14:textFill>
            <w14:solidFill>
              <w14:schemeClr w14:val="tx1"/>
            </w14:solidFill>
          </w14:textFill>
        </w:rPr>
        <w:t>卫生健康</w:t>
      </w:r>
      <w:r>
        <w:rPr>
          <w:rFonts w:hint="eastAsia" w:ascii="仿宋" w:hAnsi="仿宋" w:eastAsia="仿宋" w:cs="仿宋"/>
          <w:color w:val="000000" w:themeColor="text1"/>
          <w:kern w:val="0"/>
          <w:sz w:val="32"/>
          <w:szCs w:val="32"/>
          <w14:textFill>
            <w14:solidFill>
              <w14:schemeClr w14:val="tx1"/>
            </w14:solidFill>
          </w14:textFill>
        </w:rPr>
        <w:t>支出</w:t>
      </w:r>
      <w:r>
        <w:rPr>
          <w:rFonts w:hint="eastAsia" w:ascii="仿宋" w:hAnsi="仿宋" w:eastAsia="仿宋" w:cs="仿宋"/>
          <w:color w:val="000000" w:themeColor="text1"/>
          <w:kern w:val="0"/>
          <w:sz w:val="32"/>
          <w:szCs w:val="32"/>
          <w:lang w:val="en-US" w:eastAsia="zh-CN"/>
          <w14:textFill>
            <w14:solidFill>
              <w14:schemeClr w14:val="tx1"/>
            </w14:solidFill>
          </w14:textFill>
        </w:rPr>
        <w:t>1.77</w:t>
      </w:r>
      <w:r>
        <w:rPr>
          <w:rFonts w:hint="eastAsia" w:ascii="仿宋" w:hAnsi="仿宋" w:eastAsia="仿宋" w:cs="仿宋"/>
          <w:color w:val="000000" w:themeColor="text1"/>
          <w:kern w:val="0"/>
          <w:sz w:val="32"/>
          <w:szCs w:val="32"/>
          <w14:textFill>
            <w14:solidFill>
              <w14:schemeClr w14:val="tx1"/>
            </w14:solidFill>
          </w14:textFill>
        </w:rPr>
        <w:t>万元、住房保障支出</w:t>
      </w:r>
      <w:r>
        <w:rPr>
          <w:rFonts w:hint="eastAsia" w:ascii="仿宋" w:hAnsi="仿宋" w:eastAsia="仿宋" w:cs="仿宋"/>
          <w:color w:val="000000" w:themeColor="text1"/>
          <w:kern w:val="0"/>
          <w:sz w:val="32"/>
          <w:szCs w:val="32"/>
          <w:lang w:val="en-US" w:eastAsia="zh-CN"/>
          <w14:textFill>
            <w14:solidFill>
              <w14:schemeClr w14:val="tx1"/>
            </w14:solidFill>
          </w14:textFill>
        </w:rPr>
        <w:t>4.23</w:t>
      </w:r>
      <w:r>
        <w:rPr>
          <w:rFonts w:hint="eastAsia" w:ascii="仿宋" w:hAnsi="仿宋" w:eastAsia="仿宋" w:cs="仿宋"/>
          <w:color w:val="000000" w:themeColor="text1"/>
          <w:kern w:val="0"/>
          <w:sz w:val="32"/>
          <w:szCs w:val="32"/>
          <w14:textFill>
            <w14:solidFill>
              <w14:schemeClr w14:val="tx1"/>
            </w14:solidFill>
          </w14:textFill>
        </w:rPr>
        <w:t>万元。</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五、一般公共预算当年拨款情况说明</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（一）一般公共预算当年拨款规模变化情况</w:t>
      </w:r>
    </w:p>
    <w:p>
      <w:pPr>
        <w:widowControl/>
        <w:wordWrap w:val="0"/>
        <w:spacing w:line="480" w:lineRule="atLeast"/>
        <w:ind w:firstLine="64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年一般公共预算当年拨款</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万元，比20</w:t>
      </w:r>
      <w:r>
        <w:rPr>
          <w:rFonts w:hint="eastAsia" w:ascii="仿宋" w:hAnsi="仿宋" w:eastAsia="仿宋" w:cs="仿宋"/>
          <w:color w:val="000000" w:themeColor="text1"/>
          <w:kern w:val="0"/>
          <w:sz w:val="32"/>
          <w:szCs w:val="32"/>
          <w:lang w:val="en-US" w:eastAsia="zh-CN"/>
          <w14:textFill>
            <w14:solidFill>
              <w14:schemeClr w14:val="tx1"/>
            </w14:solidFill>
          </w14:textFill>
        </w:rPr>
        <w:t>23</w:t>
      </w:r>
      <w:r>
        <w:rPr>
          <w:rFonts w:hint="eastAsia" w:ascii="仿宋" w:hAnsi="仿宋" w:eastAsia="仿宋" w:cs="仿宋"/>
          <w:color w:val="000000" w:themeColor="text1"/>
          <w:kern w:val="0"/>
          <w:sz w:val="32"/>
          <w:szCs w:val="32"/>
          <w14:textFill>
            <w14:solidFill>
              <w14:schemeClr w14:val="tx1"/>
            </w14:solidFill>
          </w14:textFill>
        </w:rPr>
        <w:t>年预算数</w:t>
      </w:r>
      <w:r>
        <w:rPr>
          <w:rFonts w:hint="eastAsia" w:ascii="仿宋" w:hAnsi="仿宋" w:eastAsia="仿宋" w:cs="仿宋"/>
          <w:color w:val="000000" w:themeColor="text1"/>
          <w:kern w:val="0"/>
          <w:sz w:val="32"/>
          <w:szCs w:val="32"/>
          <w:lang w:val="en-US" w:eastAsia="zh-CN"/>
          <w14:textFill>
            <w14:solidFill>
              <w14:schemeClr w14:val="tx1"/>
            </w14:solidFill>
          </w14:textFill>
        </w:rPr>
        <w:t>增加0.89</w:t>
      </w:r>
      <w:r>
        <w:rPr>
          <w:rFonts w:hint="eastAsia" w:ascii="仿宋" w:hAnsi="仿宋" w:eastAsia="仿宋" w:cs="仿宋"/>
          <w:color w:val="000000" w:themeColor="text1"/>
          <w:kern w:val="0"/>
          <w:sz w:val="32"/>
          <w:szCs w:val="32"/>
          <w14:textFill>
            <w14:solidFill>
              <w14:schemeClr w14:val="tx1"/>
            </w14:solidFill>
          </w14:textFill>
        </w:rPr>
        <w:t>万元。</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（二）一般公共预算当年拨款结构情况</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一般公共服务支出</w:t>
      </w:r>
      <w:r>
        <w:rPr>
          <w:rFonts w:hint="eastAsia" w:ascii="仿宋" w:hAnsi="仿宋" w:eastAsia="仿宋" w:cs="仿宋"/>
          <w:color w:val="000000" w:themeColor="text1"/>
          <w:kern w:val="0"/>
          <w:sz w:val="32"/>
          <w:szCs w:val="32"/>
          <w:lang w:val="en-US" w:eastAsia="zh-CN"/>
          <w14:textFill>
            <w14:solidFill>
              <w14:schemeClr w14:val="tx1"/>
            </w14:solidFill>
          </w14:textFill>
        </w:rPr>
        <w:t>44.69</w:t>
      </w:r>
      <w:r>
        <w:rPr>
          <w:rFonts w:hint="eastAsia" w:ascii="仿宋" w:hAnsi="仿宋" w:eastAsia="仿宋" w:cs="仿宋"/>
          <w:color w:val="000000" w:themeColor="text1"/>
          <w:kern w:val="0"/>
          <w:sz w:val="32"/>
          <w:szCs w:val="32"/>
          <w14:textFill>
            <w14:solidFill>
              <w14:schemeClr w14:val="tx1"/>
            </w14:solidFill>
          </w14:textFill>
        </w:rPr>
        <w:t>万元，占</w:t>
      </w:r>
      <w:r>
        <w:rPr>
          <w:rFonts w:hint="eastAsia" w:ascii="仿宋" w:hAnsi="仿宋" w:eastAsia="仿宋" w:cs="仿宋"/>
          <w:color w:val="000000" w:themeColor="text1"/>
          <w:kern w:val="0"/>
          <w:sz w:val="32"/>
          <w:szCs w:val="32"/>
          <w:lang w:val="en-US" w:eastAsia="zh-CN"/>
          <w14:textFill>
            <w14:solidFill>
              <w14:schemeClr w14:val="tx1"/>
            </w14:solidFill>
          </w14:textFill>
        </w:rPr>
        <w:t>80.32</w:t>
      </w:r>
      <w:r>
        <w:rPr>
          <w:rFonts w:hint="eastAsia" w:ascii="仿宋" w:hAnsi="仿宋" w:eastAsia="仿宋" w:cs="仿宋"/>
          <w:color w:val="000000" w:themeColor="text1"/>
          <w:kern w:val="0"/>
          <w:sz w:val="32"/>
          <w:szCs w:val="32"/>
          <w14:textFill>
            <w14:solidFill>
              <w14:schemeClr w14:val="tx1"/>
            </w14:solidFill>
          </w14:textFill>
        </w:rPr>
        <w:t>%；社会保障和就业支出</w:t>
      </w:r>
      <w:r>
        <w:rPr>
          <w:rFonts w:hint="eastAsia" w:ascii="仿宋" w:hAnsi="仿宋" w:eastAsia="仿宋" w:cs="仿宋"/>
          <w:color w:val="000000" w:themeColor="text1"/>
          <w:kern w:val="0"/>
          <w:sz w:val="32"/>
          <w:szCs w:val="32"/>
          <w:lang w:val="en-US" w:eastAsia="zh-CN"/>
          <w14:textFill>
            <w14:solidFill>
              <w14:schemeClr w14:val="tx1"/>
            </w14:solidFill>
          </w14:textFill>
        </w:rPr>
        <w:t>4.94</w:t>
      </w:r>
      <w:r>
        <w:rPr>
          <w:rFonts w:hint="eastAsia" w:ascii="仿宋" w:hAnsi="仿宋" w:eastAsia="仿宋" w:cs="仿宋"/>
          <w:color w:val="000000" w:themeColor="text1"/>
          <w:kern w:val="0"/>
          <w:sz w:val="32"/>
          <w:szCs w:val="32"/>
          <w14:textFill>
            <w14:solidFill>
              <w14:schemeClr w14:val="tx1"/>
            </w14:solidFill>
          </w14:textFill>
        </w:rPr>
        <w:t>万元，占</w:t>
      </w:r>
      <w:r>
        <w:rPr>
          <w:rFonts w:hint="eastAsia" w:ascii="仿宋" w:hAnsi="仿宋" w:eastAsia="仿宋" w:cs="仿宋"/>
          <w:color w:val="000000" w:themeColor="text1"/>
          <w:kern w:val="0"/>
          <w:sz w:val="32"/>
          <w:szCs w:val="32"/>
          <w:lang w:val="en-US" w:eastAsia="zh-CN"/>
          <w14:textFill>
            <w14:solidFill>
              <w14:schemeClr w14:val="tx1"/>
            </w14:solidFill>
          </w14:textFill>
        </w:rPr>
        <w:t>8.9</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卫生健康</w:t>
      </w:r>
      <w:r>
        <w:rPr>
          <w:rFonts w:hint="eastAsia" w:ascii="仿宋" w:hAnsi="仿宋" w:eastAsia="仿宋" w:cs="仿宋"/>
          <w:color w:val="000000" w:themeColor="text1"/>
          <w:kern w:val="0"/>
          <w:sz w:val="32"/>
          <w:szCs w:val="32"/>
          <w14:textFill>
            <w14:solidFill>
              <w14:schemeClr w14:val="tx1"/>
            </w14:solidFill>
          </w14:textFill>
        </w:rPr>
        <w:t>支出</w:t>
      </w:r>
      <w:r>
        <w:rPr>
          <w:rFonts w:hint="eastAsia" w:ascii="仿宋" w:hAnsi="仿宋" w:eastAsia="仿宋" w:cs="仿宋"/>
          <w:color w:val="000000" w:themeColor="text1"/>
          <w:kern w:val="0"/>
          <w:sz w:val="32"/>
          <w:szCs w:val="32"/>
          <w:lang w:val="en-US" w:eastAsia="zh-CN"/>
          <w14:textFill>
            <w14:solidFill>
              <w14:schemeClr w14:val="tx1"/>
            </w14:solidFill>
          </w14:textFill>
        </w:rPr>
        <w:t>1.77</w:t>
      </w:r>
      <w:r>
        <w:rPr>
          <w:rFonts w:hint="eastAsia" w:ascii="仿宋" w:hAnsi="仿宋" w:eastAsia="仿宋" w:cs="仿宋"/>
          <w:color w:val="000000" w:themeColor="text1"/>
          <w:kern w:val="0"/>
          <w:sz w:val="32"/>
          <w:szCs w:val="32"/>
          <w14:textFill>
            <w14:solidFill>
              <w14:schemeClr w14:val="tx1"/>
            </w14:solidFill>
          </w14:textFill>
        </w:rPr>
        <w:t>万元，占</w:t>
      </w:r>
      <w:r>
        <w:rPr>
          <w:rFonts w:hint="eastAsia" w:ascii="仿宋" w:hAnsi="仿宋" w:eastAsia="仿宋" w:cs="仿宋"/>
          <w:color w:val="000000" w:themeColor="text1"/>
          <w:kern w:val="0"/>
          <w:sz w:val="32"/>
          <w:szCs w:val="32"/>
          <w:lang w:val="en-US" w:eastAsia="zh-CN"/>
          <w14:textFill>
            <w14:solidFill>
              <w14:schemeClr w14:val="tx1"/>
            </w14:solidFill>
          </w14:textFill>
        </w:rPr>
        <w:t>3.18</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；住房保障支出</w:t>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4.23万元，占7.6% </w:t>
      </w:r>
      <w:r>
        <w:rPr>
          <w:rFonts w:hint="eastAsia" w:ascii="仿宋" w:hAnsi="仿宋" w:eastAsia="仿宋" w:cs="仿宋"/>
          <w:color w:val="000000" w:themeColor="text1"/>
          <w:kern w:val="0"/>
          <w:sz w:val="32"/>
          <w:szCs w:val="32"/>
          <w14:textFill>
            <w14:solidFill>
              <w14:schemeClr w14:val="tx1"/>
            </w14:solidFill>
          </w14:textFill>
        </w:rPr>
        <w:t>。</w:t>
      </w:r>
    </w:p>
    <w:p>
      <w:pPr>
        <w:widowControl/>
        <w:wordWrap w:val="0"/>
        <w:spacing w:line="480" w:lineRule="atLeast"/>
        <w:ind w:firstLine="640"/>
        <w:jc w:val="left"/>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（三）一般公共预算当年拨款具体使用情况</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1.一般公共服务(类)财政事务(款)行政运行(项):</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44.69</w:t>
      </w:r>
      <w:r>
        <w:rPr>
          <w:rFonts w:hint="eastAsia" w:ascii="仿宋" w:hAnsi="仿宋" w:eastAsia="仿宋" w:cs="仿宋"/>
          <w:color w:val="000000" w:themeColor="text1"/>
          <w:kern w:val="0"/>
          <w:sz w:val="32"/>
          <w:szCs w:val="32"/>
          <w14:textFill>
            <w14:solidFill>
              <w14:schemeClr w14:val="tx1"/>
            </w14:solidFill>
          </w14:textFill>
        </w:rPr>
        <w:t>万元，主要用于：机关及所属单位正常运转的基本支出，包括基本工资、津贴补贴等人员经费以及办公费</w:t>
      </w:r>
      <w:r>
        <w:rPr>
          <w:rFonts w:hint="eastAsia" w:ascii="仿宋" w:hAnsi="仿宋" w:eastAsia="仿宋" w:cs="仿宋"/>
          <w:color w:val="000000" w:themeColor="text1"/>
          <w:kern w:val="0"/>
          <w:sz w:val="32"/>
          <w:szCs w:val="32"/>
          <w:lang w:val="en-US" w:eastAsia="zh-CN"/>
          <w14:textFill>
            <w14:solidFill>
              <w14:schemeClr w14:val="tx1"/>
            </w14:solidFill>
          </w14:textFill>
        </w:rPr>
        <w:t>差旅</w:t>
      </w:r>
      <w:r>
        <w:rPr>
          <w:rFonts w:hint="eastAsia" w:ascii="仿宋" w:hAnsi="仿宋" w:eastAsia="仿宋" w:cs="仿宋"/>
          <w:color w:val="000000" w:themeColor="text1"/>
          <w:kern w:val="0"/>
          <w:sz w:val="32"/>
          <w:szCs w:val="32"/>
          <w14:textFill>
            <w14:solidFill>
              <w14:schemeClr w14:val="tx1"/>
            </w14:solidFill>
          </w14:textFill>
        </w:rPr>
        <w:t>费、</w:t>
      </w:r>
      <w:r>
        <w:rPr>
          <w:rFonts w:hint="eastAsia" w:ascii="仿宋" w:hAnsi="仿宋" w:eastAsia="仿宋" w:cs="仿宋"/>
          <w:color w:val="000000" w:themeColor="text1"/>
          <w:kern w:val="0"/>
          <w:sz w:val="32"/>
          <w:szCs w:val="32"/>
          <w:lang w:val="en-US" w:eastAsia="zh-CN"/>
          <w14:textFill>
            <w14:solidFill>
              <w14:schemeClr w14:val="tx1"/>
            </w14:solidFill>
          </w14:textFill>
        </w:rPr>
        <w:t>工会经</w:t>
      </w:r>
      <w:r>
        <w:rPr>
          <w:rFonts w:hint="eastAsia" w:ascii="仿宋" w:hAnsi="仿宋" w:eastAsia="仿宋" w:cs="仿宋"/>
          <w:color w:val="000000" w:themeColor="text1"/>
          <w:kern w:val="0"/>
          <w:sz w:val="32"/>
          <w:szCs w:val="32"/>
          <w14:textFill>
            <w14:solidFill>
              <w14:schemeClr w14:val="tx1"/>
            </w14:solidFill>
          </w14:textFill>
        </w:rPr>
        <w:t>费等日常公用经费。</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2.社会保障和就业支出(类)行政事业单位养老支出(款)机关事业单位基本养老保险缴费支出（项）:</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4.94</w:t>
      </w:r>
      <w:r>
        <w:rPr>
          <w:rFonts w:hint="eastAsia" w:ascii="仿宋" w:hAnsi="仿宋" w:eastAsia="仿宋" w:cs="仿宋"/>
          <w:color w:val="000000" w:themeColor="text1"/>
          <w:kern w:val="0"/>
          <w:sz w:val="32"/>
          <w:szCs w:val="32"/>
          <w14:textFill>
            <w14:solidFill>
              <w14:schemeClr w14:val="tx1"/>
            </w14:solidFill>
          </w14:textFill>
        </w:rPr>
        <w:t>万元，主要用于：实施养老保险制度后，部门按规定由单位缴纳的基本养老保险费支出。</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3.</w:t>
      </w:r>
      <w:r>
        <w:rPr>
          <w:rFonts w:hint="eastAsia" w:ascii="仿宋" w:hAnsi="仿宋" w:eastAsia="仿宋" w:cs="仿宋"/>
          <w:b/>
          <w:bCs/>
          <w:color w:val="000000" w:themeColor="text1"/>
          <w:kern w:val="0"/>
          <w:sz w:val="32"/>
          <w:szCs w:val="32"/>
          <w:lang w:eastAsia="zh-CN"/>
          <w14:textFill>
            <w14:solidFill>
              <w14:schemeClr w14:val="tx1"/>
            </w14:solidFill>
          </w14:textFill>
        </w:rPr>
        <w:t>卫生健康支出</w:t>
      </w:r>
      <w:r>
        <w:rPr>
          <w:rFonts w:hint="eastAsia" w:ascii="仿宋" w:hAnsi="仿宋" w:eastAsia="仿宋" w:cs="仿宋"/>
          <w:b/>
          <w:bCs/>
          <w:color w:val="000000" w:themeColor="text1"/>
          <w:kern w:val="0"/>
          <w:sz w:val="32"/>
          <w:szCs w:val="32"/>
          <w14:textFill>
            <w14:solidFill>
              <w14:schemeClr w14:val="tx1"/>
            </w14:solidFill>
          </w14:textFill>
        </w:rPr>
        <w:t>（类）行政事业单位医疗（款）行政单位医疗（项）:</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1.77</w:t>
      </w:r>
      <w:r>
        <w:rPr>
          <w:rFonts w:hint="eastAsia" w:ascii="仿宋" w:hAnsi="仿宋" w:eastAsia="仿宋" w:cs="仿宋"/>
          <w:color w:val="000000" w:themeColor="text1"/>
          <w:kern w:val="0"/>
          <w:sz w:val="32"/>
          <w:szCs w:val="32"/>
          <w14:textFill>
            <w14:solidFill>
              <w14:schemeClr w14:val="tx1"/>
            </w14:solidFill>
          </w14:textFill>
        </w:rPr>
        <w:t>万元，主要用于：部门下属事业单位基本医疗保险缴费支出。</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lang w:val="en-US" w:eastAsia="zh-CN"/>
          <w14:textFill>
            <w14:solidFill>
              <w14:schemeClr w14:val="tx1"/>
            </w14:solidFill>
          </w14:textFill>
        </w:rPr>
        <w:t>4</w:t>
      </w:r>
      <w:r>
        <w:rPr>
          <w:rFonts w:hint="eastAsia" w:ascii="仿宋" w:hAnsi="仿宋" w:eastAsia="仿宋" w:cs="仿宋"/>
          <w:b/>
          <w:bCs/>
          <w:color w:val="000000" w:themeColor="text1"/>
          <w:kern w:val="0"/>
          <w:sz w:val="32"/>
          <w:szCs w:val="32"/>
          <w14:textFill>
            <w14:solidFill>
              <w14:schemeClr w14:val="tx1"/>
            </w14:solidFill>
          </w14:textFill>
        </w:rPr>
        <w:t>.住房保障（类）住房改革支出（款）住房公积金（项）:</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4.23</w:t>
      </w:r>
      <w:r>
        <w:rPr>
          <w:rFonts w:hint="eastAsia" w:ascii="仿宋" w:hAnsi="仿宋" w:eastAsia="仿宋" w:cs="仿宋"/>
          <w:color w:val="000000" w:themeColor="text1"/>
          <w:kern w:val="0"/>
          <w:sz w:val="32"/>
          <w:szCs w:val="32"/>
          <w14:textFill>
            <w14:solidFill>
              <w14:schemeClr w14:val="tx1"/>
            </w14:solidFill>
          </w14:textFill>
        </w:rPr>
        <w:t xml:space="preserve">万元，主要用于：部门按人力资源和社会保障部、财政部规定的基本工资和津贴补贴以及规定比例为职工缴纳的住房公积金支出。 </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六、一般公共预算基本支出情况说明</w:t>
      </w:r>
    </w:p>
    <w:p>
      <w:pPr>
        <w:widowControl/>
        <w:wordWrap w:val="0"/>
        <w:spacing w:line="480" w:lineRule="atLeast"/>
        <w:ind w:firstLine="1292" w:firstLineChars="404"/>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年一般公共预算基本支出</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万元，其中：</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人员经费</w:t>
      </w:r>
      <w:r>
        <w:rPr>
          <w:rFonts w:hint="eastAsia" w:ascii="仿宋" w:hAnsi="仿宋" w:eastAsia="仿宋" w:cs="仿宋"/>
          <w:color w:val="000000" w:themeColor="text1"/>
          <w:kern w:val="0"/>
          <w:sz w:val="32"/>
          <w:szCs w:val="32"/>
          <w:lang w:val="en-US" w:eastAsia="zh-CN"/>
          <w14:textFill>
            <w14:solidFill>
              <w14:schemeClr w14:val="tx1"/>
            </w14:solidFill>
          </w14:textFill>
        </w:rPr>
        <w:t>46.87</w:t>
      </w:r>
      <w:r>
        <w:rPr>
          <w:rFonts w:hint="eastAsia" w:ascii="仿宋" w:hAnsi="仿宋" w:eastAsia="仿宋" w:cs="仿宋"/>
          <w:color w:val="000000" w:themeColor="text1"/>
          <w:kern w:val="0"/>
          <w:sz w:val="32"/>
          <w:szCs w:val="32"/>
          <w14:textFill>
            <w14:solidFill>
              <w14:schemeClr w14:val="tx1"/>
            </w14:solidFill>
          </w14:textFill>
        </w:rPr>
        <w:t>万元，主要包括：基本工资、津贴补贴、</w:t>
      </w:r>
      <w:r>
        <w:rPr>
          <w:rFonts w:hint="eastAsia" w:ascii="仿宋" w:hAnsi="仿宋" w:eastAsia="仿宋" w:cs="仿宋"/>
          <w:color w:val="000000" w:themeColor="text1"/>
          <w:kern w:val="0"/>
          <w:sz w:val="32"/>
          <w:szCs w:val="32"/>
          <w:lang w:val="en-US" w:eastAsia="zh-CN"/>
          <w14:textFill>
            <w14:solidFill>
              <w14:schemeClr w14:val="tx1"/>
            </w14:solidFill>
          </w14:textFill>
        </w:rPr>
        <w:t>其他</w:t>
      </w:r>
      <w:r>
        <w:rPr>
          <w:rFonts w:hint="eastAsia" w:ascii="仿宋" w:hAnsi="仿宋" w:eastAsia="仿宋" w:cs="仿宋"/>
          <w:color w:val="000000" w:themeColor="text1"/>
          <w:kern w:val="0"/>
          <w:sz w:val="32"/>
          <w:szCs w:val="32"/>
          <w14:textFill>
            <w14:solidFill>
              <w14:schemeClr w14:val="tx1"/>
            </w14:solidFill>
          </w14:textFill>
        </w:rPr>
        <w:t>社会保险缴费、绩效工资、机关事业单位基本养老保险缴费、其他工资福利支出、住房公积金、</w:t>
      </w:r>
      <w:r>
        <w:rPr>
          <w:rFonts w:hint="eastAsia" w:ascii="仿宋" w:hAnsi="仿宋" w:eastAsia="仿宋" w:cs="仿宋"/>
          <w:color w:val="000000" w:themeColor="text1"/>
          <w:kern w:val="0"/>
          <w:sz w:val="32"/>
          <w:szCs w:val="32"/>
          <w:lang w:val="en-US" w:eastAsia="zh-CN"/>
          <w14:textFill>
            <w14:solidFill>
              <w14:schemeClr w14:val="tx1"/>
            </w14:solidFill>
          </w14:textFill>
        </w:rPr>
        <w:t>奖励金</w:t>
      </w:r>
      <w:r>
        <w:rPr>
          <w:rFonts w:hint="eastAsia" w:ascii="仿宋" w:hAnsi="仿宋" w:eastAsia="仿宋" w:cs="仿宋"/>
          <w:color w:val="000000" w:themeColor="text1"/>
          <w:kern w:val="0"/>
          <w:sz w:val="32"/>
          <w:szCs w:val="32"/>
          <w14:textFill>
            <w14:solidFill>
              <w14:schemeClr w14:val="tx1"/>
            </w14:solidFill>
          </w14:textFill>
        </w:rPr>
        <w:t>。</w:t>
      </w:r>
    </w:p>
    <w:p>
      <w:pPr>
        <w:widowControl/>
        <w:wordWrap w:val="0"/>
        <w:spacing w:line="480" w:lineRule="atLeast"/>
        <w:ind w:firstLine="640"/>
        <w:jc w:val="left"/>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公用经费</w:t>
      </w:r>
      <w:r>
        <w:rPr>
          <w:rFonts w:hint="eastAsia" w:ascii="仿宋" w:hAnsi="仿宋" w:eastAsia="仿宋" w:cs="仿宋"/>
          <w:color w:val="000000" w:themeColor="text1"/>
          <w:kern w:val="0"/>
          <w:sz w:val="32"/>
          <w:szCs w:val="32"/>
          <w:lang w:val="en-US" w:eastAsia="zh-CN"/>
          <w14:textFill>
            <w14:solidFill>
              <w14:schemeClr w14:val="tx1"/>
            </w14:solidFill>
          </w14:textFill>
        </w:rPr>
        <w:t>8.75</w:t>
      </w:r>
      <w:r>
        <w:rPr>
          <w:rFonts w:hint="eastAsia" w:ascii="仿宋" w:hAnsi="仿宋" w:eastAsia="仿宋" w:cs="仿宋"/>
          <w:color w:val="000000" w:themeColor="text1"/>
          <w:kern w:val="0"/>
          <w:sz w:val="32"/>
          <w:szCs w:val="32"/>
          <w14:textFill>
            <w14:solidFill>
              <w14:schemeClr w14:val="tx1"/>
            </w14:solidFill>
          </w14:textFill>
        </w:rPr>
        <w:t>万元，主要包括：办公费、电费</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差旅费、工会经费。</w:t>
      </w:r>
    </w:p>
    <w:p>
      <w:pPr>
        <w:widowControl/>
        <w:wordWrap w:val="0"/>
        <w:spacing w:line="480" w:lineRule="atLeast"/>
        <w:ind w:firstLine="640"/>
        <w:jc w:val="lef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七、“三公”经费财政拨款预算安排情况说明</w:t>
      </w:r>
    </w:p>
    <w:p>
      <w:pPr>
        <w:widowControl/>
        <w:wordWrap w:val="0"/>
        <w:spacing w:line="480" w:lineRule="atLeast"/>
        <w:ind w:firstLine="64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年“三公”经费财政拨款预算数0 万元，其中：因公出国（境）经费0 万元，公务接待费 0万元，公务用车购置及运行维护费 0万元。</w:t>
      </w:r>
    </w:p>
    <w:p>
      <w:pPr>
        <w:widowControl/>
        <w:wordWrap w:val="0"/>
        <w:spacing w:line="480" w:lineRule="atLeast"/>
        <w:ind w:firstLine="321" w:firstLineChars="10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lang w:val="en-US" w:eastAsia="zh-CN"/>
          <w14:textFill>
            <w14:solidFill>
              <w14:schemeClr w14:val="tx1"/>
            </w14:solidFill>
          </w14:textFill>
        </w:rPr>
        <w:t>年三江镇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未安排</w:t>
      </w:r>
      <w:r>
        <w:rPr>
          <w:rFonts w:hint="eastAsia" w:ascii="仿宋" w:hAnsi="仿宋" w:eastAsia="仿宋" w:cs="仿宋"/>
          <w:color w:val="000000" w:themeColor="text1"/>
          <w:kern w:val="0"/>
          <w:sz w:val="32"/>
          <w:szCs w:val="32"/>
          <w14:textFill>
            <w14:solidFill>
              <w14:schemeClr w14:val="tx1"/>
            </w14:solidFill>
          </w14:textFill>
        </w:rPr>
        <w:t>因公出国（境）经费。</w:t>
      </w:r>
    </w:p>
    <w:p>
      <w:pPr>
        <w:widowControl/>
        <w:wordWrap w:val="0"/>
        <w:spacing w:line="480" w:lineRule="atLeast"/>
        <w:ind w:firstLine="320" w:firstLineChars="10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二）</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w:t>
      </w: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未安排</w:t>
      </w:r>
      <w:r>
        <w:rPr>
          <w:rFonts w:hint="eastAsia" w:ascii="仿宋" w:hAnsi="仿宋" w:eastAsia="仿宋" w:cs="仿宋"/>
          <w:color w:val="000000" w:themeColor="text1"/>
          <w:kern w:val="0"/>
          <w:sz w:val="32"/>
          <w:szCs w:val="32"/>
          <w14:textFill>
            <w14:solidFill>
              <w14:schemeClr w14:val="tx1"/>
            </w14:solidFill>
          </w14:textFill>
        </w:rPr>
        <w:t>公务接待费。</w:t>
      </w:r>
    </w:p>
    <w:p>
      <w:pPr>
        <w:widowControl/>
        <w:wordWrap w:val="0"/>
        <w:spacing w:line="480" w:lineRule="atLeast"/>
        <w:ind w:firstLine="320" w:firstLineChars="100"/>
        <w:jc w:val="left"/>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w:t>
      </w: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未安排</w:t>
      </w:r>
      <w:r>
        <w:rPr>
          <w:rFonts w:hint="eastAsia" w:ascii="仿宋" w:hAnsi="仿宋" w:eastAsia="仿宋" w:cs="仿宋"/>
          <w:color w:val="000000" w:themeColor="text1"/>
          <w:kern w:val="0"/>
          <w:sz w:val="32"/>
          <w:szCs w:val="32"/>
          <w14:textFill>
            <w14:solidFill>
              <w14:schemeClr w14:val="tx1"/>
            </w14:solidFill>
          </w14:textFill>
        </w:rPr>
        <w:t>公务用车购置及运行维护费。</w:t>
      </w:r>
    </w:p>
    <w:p>
      <w:pPr>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八、政府性基金预算支出情况说明</w:t>
      </w:r>
    </w:p>
    <w:p>
      <w:p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年没有使用政府性基金预算拨款安排的支出。</w:t>
      </w:r>
    </w:p>
    <w:p>
      <w:pPr>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九、其他重要事项的情况说明</w:t>
      </w:r>
    </w:p>
    <w:p>
      <w:pPr>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b/>
          <w:bCs/>
          <w:color w:val="000000" w:themeColor="text1"/>
          <w:kern w:val="0"/>
          <w:sz w:val="32"/>
          <w:szCs w:val="32"/>
          <w14:textFill>
            <w14:solidFill>
              <w14:schemeClr w14:val="tx1"/>
            </w14:solidFill>
          </w14:textFill>
        </w:rPr>
        <w:t>（一）机关运行经费</w:t>
      </w:r>
    </w:p>
    <w:p>
      <w:p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w:t>
      </w:r>
      <w:r>
        <w:rPr>
          <w:rFonts w:hint="eastAsia" w:ascii="仿宋" w:hAnsi="仿宋" w:eastAsia="仿宋" w:cs="仿宋"/>
          <w:color w:val="000000" w:themeColor="text1"/>
          <w:kern w:val="0"/>
          <w:sz w:val="32"/>
          <w:szCs w:val="32"/>
          <w:lang w:val="en-US" w:eastAsia="zh-CN"/>
          <w14:textFill>
            <w14:solidFill>
              <w14:schemeClr w14:val="tx1"/>
            </w14:solidFill>
          </w14:textFill>
        </w:rPr>
        <w:t>三江镇</w:t>
      </w:r>
      <w:r>
        <w:rPr>
          <w:rFonts w:hint="eastAsia" w:ascii="仿宋" w:hAnsi="仿宋" w:eastAsia="仿宋" w:cs="仿宋"/>
          <w:color w:val="000000" w:themeColor="text1"/>
          <w:kern w:val="0"/>
          <w:sz w:val="32"/>
          <w:szCs w:val="32"/>
          <w14:textFill>
            <w14:solidFill>
              <w14:schemeClr w14:val="tx1"/>
            </w14:solidFill>
          </w14:textFill>
        </w:rPr>
        <w:t>人民政府财政所运行经费财政拨款预算为</w:t>
      </w:r>
      <w:r>
        <w:rPr>
          <w:rFonts w:hint="eastAsia" w:ascii="仿宋" w:hAnsi="仿宋" w:eastAsia="仿宋" w:cs="仿宋"/>
          <w:color w:val="000000" w:themeColor="text1"/>
          <w:kern w:val="0"/>
          <w:sz w:val="32"/>
          <w:szCs w:val="32"/>
          <w:lang w:val="en-US" w:eastAsia="zh-CN"/>
          <w14:textFill>
            <w14:solidFill>
              <w14:schemeClr w14:val="tx1"/>
            </w14:solidFill>
          </w14:textFill>
        </w:rPr>
        <w:t>8.75</w:t>
      </w:r>
      <w:r>
        <w:rPr>
          <w:rFonts w:hint="eastAsia" w:ascii="仿宋" w:hAnsi="仿宋" w:eastAsia="仿宋" w:cs="仿宋"/>
          <w:color w:val="000000" w:themeColor="text1"/>
          <w:kern w:val="0"/>
          <w:sz w:val="32"/>
          <w:szCs w:val="32"/>
          <w14:textFill>
            <w14:solidFill>
              <w14:schemeClr w14:val="tx1"/>
            </w14:solidFill>
          </w14:textFill>
        </w:rPr>
        <w:t>万元，比20</w:t>
      </w:r>
      <w:r>
        <w:rPr>
          <w:rFonts w:hint="eastAsia" w:ascii="仿宋" w:hAnsi="仿宋" w:eastAsia="仿宋" w:cs="仿宋"/>
          <w:color w:val="000000" w:themeColor="text1"/>
          <w:kern w:val="0"/>
          <w:sz w:val="32"/>
          <w:szCs w:val="32"/>
          <w:lang w:val="en-US" w:eastAsia="zh-CN"/>
          <w14:textFill>
            <w14:solidFill>
              <w14:schemeClr w14:val="tx1"/>
            </w14:solidFill>
          </w14:textFill>
        </w:rPr>
        <w:t>23</w:t>
      </w:r>
      <w:r>
        <w:rPr>
          <w:rFonts w:hint="eastAsia" w:ascii="仿宋" w:hAnsi="仿宋" w:eastAsia="仿宋" w:cs="仿宋"/>
          <w:color w:val="000000" w:themeColor="text1"/>
          <w:kern w:val="0"/>
          <w:sz w:val="32"/>
          <w:szCs w:val="32"/>
          <w14:textFill>
            <w14:solidFill>
              <w14:schemeClr w14:val="tx1"/>
            </w14:solidFill>
          </w14:textFill>
        </w:rPr>
        <w:t>年预算</w:t>
      </w:r>
      <w:r>
        <w:rPr>
          <w:rFonts w:hint="eastAsia" w:ascii="仿宋" w:hAnsi="仿宋" w:eastAsia="仿宋" w:cs="仿宋"/>
          <w:color w:val="000000" w:themeColor="text1"/>
          <w:kern w:val="0"/>
          <w:sz w:val="32"/>
          <w:szCs w:val="32"/>
          <w:lang w:val="en-US" w:eastAsia="zh-CN"/>
          <w14:textFill>
            <w14:solidFill>
              <w14:schemeClr w14:val="tx1"/>
            </w14:solidFill>
          </w14:textFill>
        </w:rPr>
        <w:t>增加0.01</w:t>
      </w:r>
      <w:r>
        <w:rPr>
          <w:rFonts w:hint="eastAsia" w:ascii="仿宋" w:hAnsi="仿宋" w:eastAsia="仿宋" w:cs="仿宋"/>
          <w:color w:val="000000" w:themeColor="text1"/>
          <w:kern w:val="0"/>
          <w:sz w:val="32"/>
          <w:szCs w:val="32"/>
          <w14:textFill>
            <w14:solidFill>
              <w14:schemeClr w14:val="tx1"/>
            </w14:solidFill>
          </w14:textFill>
        </w:rPr>
        <w:t>万元，</w:t>
      </w:r>
      <w:r>
        <w:rPr>
          <w:rFonts w:hint="eastAsia" w:ascii="仿宋" w:hAnsi="仿宋" w:eastAsia="仿宋" w:cs="仿宋"/>
          <w:color w:val="000000" w:themeColor="text1"/>
          <w:kern w:val="0"/>
          <w:sz w:val="32"/>
          <w:szCs w:val="32"/>
          <w:lang w:val="en-US" w:eastAsia="zh-CN"/>
          <w14:textFill>
            <w14:solidFill>
              <w14:schemeClr w14:val="tx1"/>
            </w14:solidFill>
          </w14:textFill>
        </w:rPr>
        <w:t>增加0.1</w:t>
      </w:r>
      <w:r>
        <w:rPr>
          <w:rFonts w:hint="eastAsia" w:ascii="仿宋" w:hAnsi="仿宋" w:eastAsia="仿宋" w:cs="仿宋"/>
          <w:color w:val="000000" w:themeColor="text1"/>
          <w:kern w:val="0"/>
          <w:sz w:val="32"/>
          <w:szCs w:val="32"/>
          <w14:textFill>
            <w14:solidFill>
              <w14:schemeClr w14:val="tx1"/>
            </w14:solidFill>
          </w14:textFill>
        </w:rPr>
        <w:t>%。</w:t>
      </w:r>
    </w:p>
    <w:p>
      <w:pPr>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b/>
          <w:bCs/>
          <w:color w:val="000000" w:themeColor="text1"/>
          <w:kern w:val="0"/>
          <w:sz w:val="32"/>
          <w:szCs w:val="32"/>
          <w14:textFill>
            <w14:solidFill>
              <w14:schemeClr w14:val="tx1"/>
            </w14:solidFill>
          </w14:textFill>
        </w:rPr>
        <w:t>（二）政府采购情况</w:t>
      </w:r>
    </w:p>
    <w:p>
      <w:pPr>
        <w:widowControl/>
        <w:wordWrap w:val="0"/>
        <w:spacing w:line="480" w:lineRule="atLeast"/>
        <w:ind w:firstLine="640" w:firstLineChars="200"/>
        <w:outlineLvl w:val="9"/>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w:t>
      </w:r>
      <w:r>
        <w:rPr>
          <w:rFonts w:hint="eastAsia" w:ascii="仿宋" w:hAnsi="仿宋" w:eastAsia="仿宋" w:cs="仿宋"/>
          <w:color w:val="000000" w:themeColor="text1"/>
          <w:kern w:val="0"/>
          <w:sz w:val="32"/>
          <w:szCs w:val="32"/>
          <w:lang w:val="en-US" w:eastAsia="zh-CN"/>
          <w14:textFill>
            <w14:solidFill>
              <w14:schemeClr w14:val="tx1"/>
            </w14:solidFill>
          </w14:textFill>
        </w:rPr>
        <w:t>没有</w:t>
      </w:r>
      <w:r>
        <w:rPr>
          <w:rFonts w:hint="eastAsia" w:ascii="仿宋" w:hAnsi="仿宋" w:eastAsia="仿宋" w:cs="仿宋"/>
          <w:color w:val="000000" w:themeColor="text1"/>
          <w:kern w:val="0"/>
          <w:sz w:val="32"/>
          <w:szCs w:val="32"/>
          <w14:textFill>
            <w14:solidFill>
              <w14:schemeClr w14:val="tx1"/>
            </w14:solidFill>
          </w14:textFill>
        </w:rPr>
        <w:t>安排政府采购预算。</w:t>
      </w:r>
    </w:p>
    <w:p>
      <w:pPr>
        <w:widowControl/>
        <w:wordWrap w:val="0"/>
        <w:spacing w:line="480" w:lineRule="atLeast"/>
        <w:ind w:firstLine="640" w:firstLineChars="200"/>
        <w:outlineLvl w:val="9"/>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（三）国有资产占有使用情况</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_GB2312" w:eastAsia="仿宋_GB2312"/>
          <w:color w:val="000000"/>
          <w:sz w:val="32"/>
          <w:szCs w:val="32"/>
          <w:shd w:val="clear" w:color="auto" w:fill="FFFFFF"/>
        </w:rPr>
        <w:t>截至</w:t>
      </w:r>
      <w:r>
        <w:rPr>
          <w:rFonts w:hint="eastAsia" w:ascii="仿宋_GB2312" w:eastAsia="仿宋_GB2312"/>
          <w:color w:val="000000"/>
          <w:sz w:val="32"/>
          <w:szCs w:val="32"/>
          <w:shd w:val="clear" w:color="auto" w:fill="FFFFFF"/>
          <w:lang w:eastAsia="zh-CN"/>
        </w:rPr>
        <w:t>2024</w:t>
      </w:r>
      <w:r>
        <w:rPr>
          <w:rFonts w:hint="eastAsia" w:ascii="仿宋_GB2312" w:eastAsia="仿宋_GB2312"/>
          <w:color w:val="000000"/>
          <w:sz w:val="32"/>
          <w:szCs w:val="32"/>
          <w:shd w:val="clear" w:color="auto" w:fill="FFFFFF"/>
        </w:rPr>
        <w:t>年底，</w:t>
      </w:r>
      <w:r>
        <w:rPr>
          <w:rFonts w:hint="eastAsia" w:ascii="仿宋_GB2312" w:eastAsia="仿宋_GB2312"/>
          <w:color w:val="000000"/>
          <w:sz w:val="32"/>
          <w:szCs w:val="32"/>
          <w:shd w:val="clear" w:color="auto" w:fill="FFFFFF"/>
          <w:lang w:val="en-US" w:eastAsia="zh-CN"/>
        </w:rPr>
        <w:t>三江镇人民政府财政所没</w:t>
      </w:r>
      <w:r>
        <w:rPr>
          <w:rFonts w:hint="eastAsia" w:ascii="仿宋_GB2312" w:eastAsia="仿宋_GB2312"/>
          <w:color w:val="000000"/>
          <w:sz w:val="32"/>
          <w:szCs w:val="32"/>
          <w:shd w:val="clear" w:color="auto" w:fill="FFFFFF"/>
        </w:rPr>
        <w:t>有车辆。</w:t>
      </w:r>
    </w:p>
    <w:p>
      <w:pPr>
        <w:rPr>
          <w:rFonts w:hint="eastAsia" w:ascii="仿宋" w:hAnsi="仿宋" w:eastAsia="仿宋" w:cs="仿宋"/>
          <w:b/>
          <w:bCs/>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b/>
          <w:bCs/>
          <w:color w:val="000000" w:themeColor="text1"/>
          <w:kern w:val="0"/>
          <w:sz w:val="32"/>
          <w:szCs w:val="32"/>
          <w14:textFill>
            <w14:solidFill>
              <w14:schemeClr w14:val="tx1"/>
            </w14:solidFill>
          </w14:textFill>
        </w:rPr>
        <w:t>（</w:t>
      </w:r>
      <w:r>
        <w:rPr>
          <w:rFonts w:hint="eastAsia" w:ascii="仿宋" w:hAnsi="仿宋" w:eastAsia="仿宋" w:cs="仿宋"/>
          <w:b/>
          <w:bCs/>
          <w:color w:val="000000" w:themeColor="text1"/>
          <w:kern w:val="0"/>
          <w:sz w:val="32"/>
          <w:szCs w:val="32"/>
          <w:lang w:eastAsia="zh-CN"/>
          <w14:textFill>
            <w14:solidFill>
              <w14:schemeClr w14:val="tx1"/>
            </w14:solidFill>
          </w14:textFill>
        </w:rPr>
        <w:t>四</w:t>
      </w:r>
      <w:r>
        <w:rPr>
          <w:rFonts w:hint="eastAsia" w:ascii="仿宋" w:hAnsi="仿宋" w:eastAsia="仿宋" w:cs="仿宋"/>
          <w:b/>
          <w:bCs/>
          <w:color w:val="000000" w:themeColor="text1"/>
          <w:kern w:val="0"/>
          <w:sz w:val="32"/>
          <w:szCs w:val="32"/>
          <w14:textFill>
            <w14:solidFill>
              <w14:schemeClr w14:val="tx1"/>
            </w14:solidFill>
          </w14:textFill>
        </w:rPr>
        <w:t>）绩效目标设置情况</w:t>
      </w:r>
    </w:p>
    <w:p>
      <w:p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年财政部门通用项目和专用项目均按要求实行绩效目标管理，涉及一般公共预算当年拨款</w:t>
      </w:r>
      <w:r>
        <w:rPr>
          <w:rFonts w:hint="eastAsia" w:ascii="仿宋" w:hAnsi="仿宋" w:eastAsia="仿宋" w:cs="仿宋"/>
          <w:color w:val="000000" w:themeColor="text1"/>
          <w:kern w:val="0"/>
          <w:sz w:val="32"/>
          <w:szCs w:val="32"/>
          <w:lang w:val="en-US" w:eastAsia="zh-CN"/>
          <w14:textFill>
            <w14:solidFill>
              <w14:schemeClr w14:val="tx1"/>
            </w14:solidFill>
          </w14:textFill>
        </w:rPr>
        <w:t>55.63</w:t>
      </w:r>
      <w:r>
        <w:rPr>
          <w:rFonts w:hint="eastAsia" w:ascii="仿宋" w:hAnsi="仿宋" w:eastAsia="仿宋" w:cs="仿宋"/>
          <w:color w:val="000000" w:themeColor="text1"/>
          <w:kern w:val="0"/>
          <w:sz w:val="32"/>
          <w:szCs w:val="32"/>
          <w14:textFill>
            <w14:solidFill>
              <w14:schemeClr w14:val="tx1"/>
            </w14:solidFill>
          </w14:textFill>
        </w:rPr>
        <w:t>万元。</w:t>
      </w:r>
    </w:p>
    <w:p>
      <w:pPr>
        <w:rPr>
          <w:rFonts w:hint="eastAsia" w:ascii="仿宋" w:hAnsi="仿宋" w:eastAsia="仿宋" w:cs="仿宋"/>
          <w:sz w:val="28"/>
          <w:szCs w:val="28"/>
        </w:rPr>
      </w:pPr>
      <w:r>
        <w:rPr>
          <w:rFonts w:hint="eastAsia" w:ascii="仿宋" w:hAnsi="仿宋" w:eastAsia="仿宋" w:cs="仿宋"/>
          <w:color w:val="000000" w:themeColor="text1"/>
          <w:kern w:val="0"/>
          <w:sz w:val="32"/>
          <w:szCs w:val="32"/>
          <w14:textFill>
            <w14:solidFill>
              <w14:schemeClr w14:val="tx1"/>
            </w14:solidFill>
          </w14:textFill>
        </w:rPr>
        <w:t xml:space="preserve">　　附件： </w:t>
      </w:r>
      <w:r>
        <w:rPr>
          <w:rFonts w:hint="eastAsia" w:ascii="仿宋" w:hAnsi="仿宋" w:eastAsia="仿宋" w:cs="仿宋"/>
          <w:color w:val="000000" w:themeColor="text1"/>
          <w:kern w:val="0"/>
          <w:sz w:val="32"/>
          <w:szCs w:val="32"/>
          <w:lang w:eastAsia="zh-CN"/>
          <w14:textFill>
            <w14:solidFill>
              <w14:schemeClr w14:val="tx1"/>
            </w14:solidFill>
          </w14:textFill>
        </w:rPr>
        <w:t>2024</w:t>
      </w:r>
      <w:r>
        <w:rPr>
          <w:rFonts w:hint="eastAsia" w:ascii="仿宋" w:hAnsi="仿宋" w:eastAsia="仿宋" w:cs="仿宋"/>
          <w:color w:val="000000" w:themeColor="text1"/>
          <w:kern w:val="0"/>
          <w:sz w:val="32"/>
          <w:szCs w:val="32"/>
          <w14:textFill>
            <w14:solidFill>
              <w14:schemeClr w14:val="tx1"/>
            </w14:solidFill>
          </w14:textFill>
        </w:rPr>
        <w:t>年部门预算公开报表</w:t>
      </w: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1C026"/>
    <w:multiLevelType w:val="singleLevel"/>
    <w:tmpl w:val="EAE1C02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MDk5YTQyOWZlMWY1NTIzM2IwM2IwNmVlNGE3ZTUifQ=="/>
  </w:docVars>
  <w:rsids>
    <w:rsidRoot w:val="246E0ED2"/>
    <w:rsid w:val="046643CE"/>
    <w:rsid w:val="1229344A"/>
    <w:rsid w:val="166D3337"/>
    <w:rsid w:val="18B94CFC"/>
    <w:rsid w:val="246E0ED2"/>
    <w:rsid w:val="2A0C5B24"/>
    <w:rsid w:val="2F0E3CFE"/>
    <w:rsid w:val="41320BB8"/>
    <w:rsid w:val="4AC07235"/>
    <w:rsid w:val="5AC43774"/>
    <w:rsid w:val="64505717"/>
    <w:rsid w:val="723F7BEF"/>
    <w:rsid w:val="767E4D6C"/>
    <w:rsid w:val="77033094"/>
    <w:rsid w:val="7CD5202C"/>
    <w:rsid w:val="7D4C0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widowControl w:val="0"/>
      <w:spacing w:before="240" w:after="240" w:line="360" w:lineRule="auto"/>
      <w:jc w:val="center"/>
      <w:outlineLvl w:val="0"/>
    </w:pPr>
    <w:rPr>
      <w:rFonts w:ascii="Arial" w:hAnsi="Arial" w:eastAsia="微软雅黑" w:cs="Times New Roman"/>
      <w:b/>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2330</Words>
  <Characters>2969</Characters>
  <Lines>0</Lines>
  <Paragraphs>0</Paragraphs>
  <TotalTime>14</TotalTime>
  <ScaleCrop>false</ScaleCrop>
  <LinksUpToDate>false</LinksUpToDate>
  <CharactersWithSpaces>3035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2021-11-09T06:34:00Z</dcterms:created>
  <dc:creator>Administrator</dc:creator>
  <cp:lastModifiedBy>Administrator</cp:lastModifiedBy>
  <dcterms:modified xsi:type="dcterms:W3CDTF">2024-06-05T08:21:02Z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AFA03E0A5B2948ECBC7A66B1A247720B</vt:lpwstr>
  </property>
</Properties>
</file>