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巴中市巴州区枣林镇公共事务服务中心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0351cdd-6976-4620-a5c0-fb04d18fd38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0776873-9db8-4bc6-9204-845660a50d91}"/>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w:t>
                </w:r>
                <w:r>
                  <w:rPr>
                    <w:rFonts w:hint="eastAsia"/>
                    <w:lang w:eastAsia="zh-CN"/>
                  </w:rPr>
                  <w:t>公共事务</w:t>
                </w:r>
                <w:r>
                  <w:rPr>
                    <w:rFonts w:hint="eastAsia"/>
                  </w:rPr>
                  <w:t>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135a7c9-429c-4509-8575-01875826c47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b1be3f2-ae25-463a-b3bc-188b80f12ea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7</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b571843-037e-4b23-8ba3-fcb8ed1151e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7</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47e8feb-b4a3-4a00-ac38-80a16fbff7a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8</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b6a62a2-0d0d-45e6-9cfc-dbec963c00f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8</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89b996e-566a-4e46-ac32-001c675f4ec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8</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83218b2-d7a1-4b52-bbaa-75d16cedc18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8</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8</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8eb9485-9bb3-4877-9c1d-3c11273b6a2b}"/>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8</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015f7cf-9dab-4e9a-b933-07a4a4a8e552}"/>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9</w:t>
            </w:r>
          </w:p>
          <w:p>
            <w:pPr>
              <w:pStyle w:val="12"/>
              <w:tabs>
                <w:tab w:val="right" w:leader="dot" w:pos="8751"/>
              </w:tabs>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caa478b-2d31-47a0-aa3f-9304da98122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10</w:t>
            </w:r>
          </w:p>
          <w:p>
            <w:pPr>
              <w:pStyle w:val="12"/>
              <w:tabs>
                <w:tab w:val="right" w:leader="dot" w:pos="8751"/>
              </w:tabs>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ffcfa3a-6c7a-42f1-ab5e-b365eb6efe7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10</w:t>
            </w:r>
          </w:p>
          <w:p>
            <w:pPr>
              <w:pStyle w:val="12"/>
              <w:tabs>
                <w:tab w:val="right" w:leader="dot" w:pos="8751"/>
              </w:tabs>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dec4fce-5254-4efb-928d-6f21018409a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11</w:t>
            </w:r>
          </w:p>
          <w:p>
            <w:pPr>
              <w:pStyle w:val="13"/>
              <w:tabs>
                <w:tab w:val="right" w:leader="dot" w:pos="8751"/>
              </w:tabs>
              <w:ind w:left="0" w:leftChars="0" w:firstLine="0" w:firstLineChars="0"/>
              <w:rPr>
                <w:rFonts w:hint="default"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183711a2-01cb-4eba-9024-a0ff992d2e0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11</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0e9fc58c-36b9-4a91-a562-998185c02ab1}"/>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sdtContent>
          </w:sdt>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枣林镇公共事务服务中心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民政办职能：（1）贯彻执行党和国家的方针政策和民政工作的有关政策、法律、法规,协助分管领导搞好民政工作。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（2）贯彻和实施城乡居民最低生活保障制度,实行动态管理。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(3) 贯彻执行党和国家有关老龄事业的政策、法规,承担老年人、孤儿、五保户等特殊困难群体权益保护的行政管理工作。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（4）负责本镇优抚对象抚恤金、优待金、定期定量补助的管理工作;组织、指导拥军优属活动,承担拥军优属的日常工作。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（5）负责本镇因灾生活困难群众的救济和社会临时救济工作,检查灾情,做好灾情上报工作。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（6）负责婚姻、收养登记等有关规定的宣传和咨询工作。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（7）指导村(居)民委员会民主选举、民主决策、民主管理和民主监督工作,推动村务公开和基层民主政治建设。</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（8）负责民政信访工作,为群众排忧解难。</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 xml:space="preserve">退役军人办职能：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（一）宣传贯彻落实退役军人思想政治、管理保障和安置优抚等工作政策法规，拟订我镇相关工作机制、制度办法并组织实施。褒扬彰显退役军人为党、国家和人民牺牲奉献的精神风范和价值导向。</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（二）负责烈士及退役军人荣誉奖励、纪念活动等工作，依法承担英雄烈士保护相关工作，总结表彰和宣扬退役军人、退役军人工作单位和个人先进典型事迹。</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（三）负责军队转业干部、复员干部、离休退休干部、退役士兵和无军籍退休退职职工的接收安置工作和自主择业、就业退役军人服务管理工作。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（四）组织指导全镇退役军人技能教育培训工作，协调扶持退役军人和随军随调家属就业创业。</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（五）组织指导拥军优属工作。实施国家关于退役军人特殊保障的相关政策。负责现役军人、退役军人、军队文职人员和军属优待、抚恤等工作，指导实施国民党抗战老兵等有关人员优待政策。</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（六）组织协调落实移交地方的离休退休军人、符合条件的其他退役军人和无军籍退休退职职工的住房保障工作，以及退役军人医疗保障、社会保险等待遇保障工作。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（七）组织指导全镇伤病残退役军人服务管理和抚恤工作，承担不适宜继续服役的伤病残军人相关服务工作。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（八）监督检查退役军人相关法律法规和政策措施的落实，组织开展退役军人权益维护和有关人员的帮扶援助工作。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（九）负责区级安排的军供服务保障工作。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（十）完成的其他任务，配合部队完成退役军人其他相关工作。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十一）职能转变。加强全镇退役军人思想政治工作和服务保障体系建设，建立健全集中统一、职责清晰的退役军人管理保障体制，协调各方力量更好为军人军属服务，维护军人军属合法权益，从实际出发制定切实可行的解困稳定政策。加强社会宣传，褒扬彰显退役军人为党、国家和人民牺牲奉献的精神风范和价值导向，更好地为增强部队战斗力和凝聚力做好组织保障，让军人成为全社会尊崇的职业让军人成为全社会尊崇的职业。</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市场监督办职能：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一、负责辖区内食品药品和医疗单位安全知识和法律法规的宣传教育，普及食品药品安全常识。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二、建立健全辖区内食品药品和医疗单位基础档案，并对其进行日常监管和动态监管，履行食品药品安全监管职责，保障食品药品安全。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三、负责辖区内食品药品和医疗单位安全信息的收集、汇总、分析和报告等工作，及时反映群众意见建议。</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四、受食品药品监督管理局的委托或授权依法开展以下执法: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1、日常督查。2、传达通知。3、组织教育培训。4、受理举报投诉。5、收集易消失证据。6、受理农村聚餐备案登记。7、临时查封扣押(对法律法规和上级明文规定禁止销售的食品药品，可临时查封扣押，并于当日移交县食品药品监督管理局处理;对明显存在安全隐患疑点的食品药品，可临时查封扣押，并在两小时内移交县食品药品监督管理局处理)。</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五、定期评估分析本辖区内食品药品安全状况，针对主要问题和薄弱环节，研究采取相应措施，确保食品药品安全。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六、负责辖区内乡镇食品药品安全监管员、学校食品安全监督员的选配确定、监督管理和培训等工作。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七、配合区食品药品监督管理局做好辖区内食品安全事件和药品、医疗器械突发性群体不良事件的组织救援、调查处置、后勤保障和善后处理等工作。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八、完成区食品药品监督管理局和镇政府委托的其他工作。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统计岗职能：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一、认真执行《统计》及其实施细则和地方统计法规,依法行使统计设计、统计调查、统计报告、统计咨询和统计监督的职权,保证统计数据的正确性、及时性和全面性,为社会经济发展提供服务。</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二、负责组织和协调本行政区域内的统计工作,汇总基层的统计报表和地方综合性的各项统计数据。</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三、执行统一的国家统计报表制度。准确、及时、全面上报国家和上级统计部门规定的统计报表及统计调查数据。</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四、搜集、整理、提供本镇行政区域内各单位的历史和现实统计资料,向有关部门提供统计信息、统计数据,定期公布本镇社会经济发展情况的统计公报。</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五、调查研究本行政区域内的社会经济发展情况,对计划完成情况实行统计监督、统计分析和统计预测,为制订政策、指导工作提供可靠依据。</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六、加强统计基础工作,建立健全镇、村、企业及社区统计台帐,负责基层统计网络建设,加强对基层统计人员的业务指导和培训。</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七、完成本镇领导布置的各项统计调查任务,为地方党政领导提供优质统计服务功能,充分发挥统计在国民经济发展中的参谋作用。乡镇,街道,食品药品监督管理所</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 xml:space="preserve">文旅办职能： </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一、对广大群众进行时政宣传和政策法制教育；</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二、组织开展丰富多彩的文体娱乐活动，组织电影、电视、录相放映活动；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三、利用全国文化信息资源共享工程举办各类文化艺术培训班、科普讲座、农技知识讲座等，辅导和培养文艺骨干；</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四、开办图书室，组织群众开展读书活动；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五、搜集、整理民族民间文化艺术遗产，促进乡村特色文化的发展；</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六、指导和辅导村文化室、俱乐部和农民文化户开展各种业务活动；</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七、做好文物的宣传保护工作；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八、受上级文化主管部门委托协助管理当地文化市场。</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招商引资办职能：</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一、做好本部门招商引资工作、协助各村做好招商引资项目落实工作。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二、负责项目，尤其是重点大项目的协调工作、服务工作，以及对在谈意向项目的跟踪及企业的服务工作。</w:t>
            </w:r>
          </w:p>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仿宋_GB2312" w:eastAsia="仿宋_GB2312"/>
                <w:color w:val="000000"/>
                <w:sz w:val="28"/>
                <w:szCs w:val="28"/>
                <w:shd w:val="clear" w:color="auto" w:fill="FFFFFF"/>
              </w:rPr>
              <w:t>三、不断完善招商管理机制，重视各项制度的落实；掌握招商的真实全面情况，及招商工作的疑难问题，定期向领导汇报。</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四、配合企业注册登记工作，协助企业协调解决项目开工前的各种问题，使项目早落户、早开工、早建设、早见效。</w:t>
            </w:r>
          </w:p>
          <w:p>
            <w:pPr>
              <w:ind w:firstLine="555"/>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枣林镇公共事务服务中心2024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lang w:eastAsia="zh-CN"/>
              </w:rPr>
              <w:t>2024</w:t>
            </w:r>
            <w:r>
              <w:rPr>
                <w:rFonts w:hint="eastAsia" w:ascii="仿宋_GB2312" w:eastAsia="仿宋_GB2312"/>
                <w:color w:val="000000"/>
                <w:sz w:val="28"/>
                <w:szCs w:val="28"/>
                <w:shd w:val="clear" w:color="auto" w:fill="FFFFFF"/>
              </w:rPr>
              <w:t>年在镇党委、政府的正确领导下，在上级业务主管部门的具体指导下，围绕实施乡村振兴战略，以促规范、惠民生为目的，以确保了全镇各项民政事业工作顺利开展，坚持四项基本原则，政治坚定，牢固树立全心全意为人民服务的思想，努力学习，熟练掌握本职业务操作技能，提高理论业务知识和办事水平；加强文化队伍和村级文化阵地建设。加强文化站服务体系建设，明确发展思路，以服务农村文化建设需要而制定长期发展，结合村文化建设发展情况和文化从业人员的文化素质情况，制定对村长期文化建设帮扶和培养，加强对村级文化室扶助和管理；营造镇域文艺氛围；发掘民间艺术资源。与上级部门组织开展了非物质文化遗产的普查，充分挖掘特色民间艺术；文化工作、经营秩序良好，我站坚持对网吧实行监督制度，严禁未成年人上网。总之，我站在党委政府和上级文化部门的大力支持下，紧密围绕新农村文化建设这一中心，服务群众文化建设，为倡导积极向上的群众文化生活，而努力奋斗。</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属二级预算单位。</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48.54</w:t>
            </w:r>
            <w:r>
              <w:rPr>
                <w:rFonts w:hint="eastAsia" w:ascii="仿宋_GB2312" w:eastAsia="仿宋_GB2312"/>
                <w:color w:val="000000"/>
                <w:sz w:val="28"/>
                <w:szCs w:val="28"/>
                <w:shd w:val="clear" w:color="auto" w:fill="FFFFFF"/>
              </w:rPr>
              <w:t>万元、文化</w:t>
            </w:r>
            <w:r>
              <w:rPr>
                <w:rFonts w:ascii="仿宋_GB2312" w:eastAsia="仿宋_GB2312"/>
                <w:color w:val="000000"/>
                <w:sz w:val="28"/>
                <w:szCs w:val="28"/>
                <w:shd w:val="clear" w:color="auto" w:fill="FFFFFF"/>
              </w:rPr>
              <w:t>体育与传媒</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10.9</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62.68</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6.9</w:t>
            </w:r>
            <w:r>
              <w:rPr>
                <w:rFonts w:hint="eastAsia" w:ascii="仿宋_GB2312" w:eastAsia="仿宋_GB2312"/>
                <w:color w:val="000000"/>
                <w:sz w:val="28"/>
                <w:szCs w:val="28"/>
                <w:shd w:val="clear" w:color="auto" w:fill="FFFFFF"/>
              </w:rPr>
              <w:t>万元、城乡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13.02</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lang w:eastAsia="zh-CN"/>
              </w:rPr>
              <w:t>、</w:t>
            </w:r>
            <w:r>
              <w:rPr>
                <w:rFonts w:hint="eastAsia" w:ascii="仿宋_GB2312" w:eastAsia="仿宋_GB2312"/>
                <w:color w:val="000000"/>
                <w:sz w:val="28"/>
                <w:szCs w:val="28"/>
                <w:shd w:val="clear" w:color="auto" w:fill="FFFFFF"/>
              </w:rPr>
              <w:t>住房保障支出</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lang w:val="en-US" w:eastAsia="zh-CN"/>
              </w:rPr>
              <w:t xml:space="preserve"> 12.65</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减少0.19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highlight w:val="none"/>
                <w14:textFill>
                  <w14:solidFill>
                    <w14:schemeClr w14:val="tx1"/>
                  </w14:solidFill>
                </w14:textFill>
              </w:rPr>
              <w:t>主要是部门</w:t>
            </w:r>
            <w:r>
              <w:rPr>
                <w:rFonts w:hint="eastAsia" w:ascii="仿宋_GB2312" w:hAnsi="宋体" w:eastAsia="仿宋_GB2312" w:cs="宋体"/>
                <w:color w:val="000000" w:themeColor="text1"/>
                <w:kern w:val="0"/>
                <w:sz w:val="28"/>
                <w:szCs w:val="28"/>
                <w:highlight w:val="none"/>
                <w:lang w:val="en-US" w:eastAsia="zh-CN"/>
                <w14:textFill>
                  <w14:solidFill>
                    <w14:schemeClr w14:val="tx1"/>
                  </w14:solidFill>
                </w14:textFill>
              </w:rPr>
              <w:t>人员变动</w:t>
            </w:r>
            <w:r>
              <w:rPr>
                <w:rFonts w:hint="eastAsia" w:ascii="仿宋_GB2312" w:hAnsi="宋体" w:eastAsia="仿宋_GB2312" w:cs="宋体"/>
                <w:color w:val="000000" w:themeColor="text1"/>
                <w:kern w:val="0"/>
                <w:sz w:val="28"/>
                <w:szCs w:val="28"/>
                <w:highlight w:val="none"/>
                <w14:textFill>
                  <w14:solidFill>
                    <w14:schemeClr w14:val="tx1"/>
                  </w14:solidFill>
                </w14:textFill>
              </w:rPr>
              <w:t>。</w:t>
            </w:r>
            <w:r>
              <w:rPr>
                <w:rFonts w:hint="eastAsia" w:ascii="仿宋_GB2312" w:hAnsi="宋体" w:eastAsia="仿宋_GB2312" w:cs="宋体"/>
                <w:color w:val="000000" w:themeColor="text1"/>
                <w:kern w:val="0"/>
                <w:sz w:val="28"/>
                <w:szCs w:val="28"/>
                <w:highlight w:val="none"/>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48.54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31.38</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文化</w:t>
            </w:r>
            <w:r>
              <w:rPr>
                <w:rFonts w:ascii="仿宋_GB2312" w:eastAsia="仿宋_GB2312"/>
                <w:color w:val="000000"/>
                <w:sz w:val="28"/>
                <w:szCs w:val="28"/>
                <w:shd w:val="clear" w:color="auto" w:fill="FFFFFF"/>
              </w:rPr>
              <w:t>体育与传媒</w:t>
            </w:r>
            <w:r>
              <w:rPr>
                <w:rFonts w:hint="eastAsia" w:ascii="仿宋_GB2312" w:eastAsia="仿宋_GB2312"/>
                <w:color w:val="000000"/>
                <w:sz w:val="28"/>
                <w:szCs w:val="28"/>
                <w:shd w:val="clear" w:color="auto" w:fill="FFFFFF"/>
              </w:rPr>
              <w:t>支出</w:t>
            </w:r>
            <w:r>
              <w:rPr>
                <w:rFonts w:hint="eastAsia" w:ascii="仿宋_GB2312" w:eastAsia="仿宋_GB2312"/>
                <w:color w:val="000000"/>
                <w:sz w:val="28"/>
                <w:szCs w:val="28"/>
                <w:shd w:val="clear" w:color="auto" w:fill="FFFFFF"/>
                <w:lang w:val="en-US" w:eastAsia="zh-CN"/>
              </w:rPr>
              <w:t>10.9</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7.05</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62.68</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40.52</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6.9</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4.46</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城乡</w:t>
            </w:r>
            <w:r>
              <w:rPr>
                <w:rFonts w:ascii="仿宋_GB2312" w:eastAsia="仿宋_GB2312"/>
                <w:color w:val="000000"/>
                <w:sz w:val="28"/>
                <w:szCs w:val="28"/>
                <w:shd w:val="clear" w:color="auto" w:fill="FFFFFF"/>
              </w:rPr>
              <w:t>社区支出</w:t>
            </w:r>
            <w:r>
              <w:rPr>
                <w:rFonts w:hint="eastAsia" w:ascii="仿宋_GB2312" w:eastAsia="仿宋_GB2312"/>
                <w:color w:val="000000"/>
                <w:sz w:val="28"/>
                <w:szCs w:val="28"/>
                <w:shd w:val="clear" w:color="auto" w:fill="FFFFFF"/>
                <w:lang w:val="en-US" w:eastAsia="zh-CN"/>
              </w:rPr>
              <w:t>13.02</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8.41</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12.65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8.18</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b/>
                <w:color w:val="000000"/>
                <w:sz w:val="28"/>
                <w:szCs w:val="28"/>
                <w:lang w:val="en-US" w:eastAsia="zh-CN"/>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（类）市场监督管理事务（款）事业运行（项）: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48.54</w:t>
            </w:r>
            <w:r>
              <w:rPr>
                <w:rFonts w:hint="eastAsia" w:ascii="仿宋_GB2312" w:hAnsi="宋体" w:eastAsia="仿宋_GB2312" w:cs="宋体"/>
                <w:color w:val="000000"/>
                <w:sz w:val="28"/>
                <w:szCs w:val="28"/>
              </w:rPr>
              <w:t>万元，主要用于：东城食品药品市场监督正常运转的基本支出，包括基本工资、津贴补贴等人员经费以及办公费、印刷费、水电费等日常公用经费。</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2</w:t>
            </w:r>
            <w:r>
              <w:rPr>
                <w:rFonts w:hint="eastAsia" w:ascii="仿宋_GB2312" w:hAnsi="宋体" w:eastAsia="仿宋_GB2312" w:cs="宋体"/>
                <w:b/>
                <w:color w:val="000000"/>
                <w:sz w:val="28"/>
                <w:szCs w:val="28"/>
              </w:rPr>
              <w:t>.文化体育与传媒支出</w:t>
            </w:r>
            <w:r>
              <w:rPr>
                <w:rFonts w:hint="eastAsia" w:ascii="仿宋_GB2312" w:hAnsi="宋体" w:eastAsia="仿宋_GB2312" w:cs="宋体"/>
                <w:b/>
                <w:bCs/>
                <w:color w:val="000000"/>
                <w:sz w:val="28"/>
                <w:szCs w:val="28"/>
              </w:rPr>
              <w:t>（类）文化（款）群众文化（项）: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10.9</w:t>
            </w:r>
            <w:r>
              <w:rPr>
                <w:rFonts w:hint="eastAsia" w:ascii="仿宋_GB2312" w:hAnsi="宋体" w:eastAsia="仿宋_GB2312" w:cs="宋体"/>
                <w:color w:val="000000"/>
                <w:sz w:val="28"/>
                <w:szCs w:val="28"/>
              </w:rPr>
              <w:t>万元，主要用于：乡镇文化工作正常运转的基本支出，包括基本工资、津贴补贴等人员经费以及办公费、印刷费、水电费等日常公用经费。</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3</w:t>
            </w:r>
            <w:r>
              <w:rPr>
                <w:rFonts w:hint="eastAsia" w:ascii="仿宋_GB2312" w:hAnsi="宋体" w:eastAsia="仿宋_GB2312" w:cs="宋体"/>
                <w:b/>
                <w:color w:val="000000"/>
                <w:sz w:val="28"/>
                <w:szCs w:val="28"/>
              </w:rPr>
              <w:t>.社会保障和就业支出</w:t>
            </w:r>
            <w:r>
              <w:rPr>
                <w:rFonts w:hint="eastAsia" w:ascii="仿宋_GB2312" w:hAnsi="宋体" w:eastAsia="仿宋_GB2312" w:cs="宋体"/>
                <w:b/>
                <w:bCs/>
                <w:color w:val="000000"/>
                <w:sz w:val="28"/>
                <w:szCs w:val="28"/>
              </w:rPr>
              <w:t>（类）人力资源和社会保障管理事务（款）社会保险经办机构（项）: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13.72</w:t>
            </w:r>
            <w:r>
              <w:rPr>
                <w:rFonts w:hint="eastAsia" w:ascii="仿宋_GB2312" w:hAnsi="宋体" w:eastAsia="仿宋_GB2312" w:cs="宋体"/>
                <w:color w:val="000000"/>
                <w:sz w:val="28"/>
                <w:szCs w:val="28"/>
              </w:rPr>
              <w:t>万元，主要用于：乡镇社保工作正常运转的基本支出，包括基本工资、津贴补贴等人员经费以及办公费、印刷费、水电费等日常公用经费。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14.66</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627"/>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5</w:t>
            </w:r>
            <w:r>
              <w:rPr>
                <w:rFonts w:hint="eastAsia" w:ascii="仿宋_GB2312" w:hAnsi="宋体" w:eastAsia="仿宋_GB2312" w:cs="宋体"/>
                <w:b/>
                <w:bCs/>
                <w:color w:val="000000"/>
                <w:sz w:val="28"/>
                <w:szCs w:val="28"/>
              </w:rPr>
              <w:t>.社会保障和就业（类）</w:t>
            </w:r>
            <w:r>
              <w:rPr>
                <w:rFonts w:ascii="仿宋_GB2312" w:hAnsi="宋体" w:eastAsia="仿宋_GB2312" w:cs="宋体"/>
                <w:b/>
                <w:bCs/>
                <w:color w:val="000000"/>
                <w:sz w:val="28"/>
                <w:szCs w:val="28"/>
              </w:rPr>
              <w:t xml:space="preserve"> 退役军人管理事务</w:t>
            </w:r>
            <w:r>
              <w:rPr>
                <w:rFonts w:hint="eastAsia" w:ascii="仿宋_GB2312" w:hAnsi="宋体" w:eastAsia="仿宋_GB2312" w:cs="宋体"/>
                <w:b/>
                <w:bCs/>
                <w:color w:val="000000"/>
                <w:sz w:val="28"/>
                <w:szCs w:val="28"/>
              </w:rPr>
              <w:t>（款）</w:t>
            </w:r>
            <w:r>
              <w:rPr>
                <w:rFonts w:ascii="仿宋_GB2312" w:hAnsi="宋体" w:eastAsia="仿宋_GB2312" w:cs="宋体"/>
                <w:b/>
                <w:bCs/>
                <w:color w:val="000000"/>
                <w:sz w:val="28"/>
                <w:szCs w:val="28"/>
              </w:rPr>
              <w:t xml:space="preserve"> 事业运行</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34.29</w:t>
            </w:r>
            <w:r>
              <w:rPr>
                <w:rFonts w:hint="eastAsia" w:ascii="仿宋_GB2312" w:hAnsi="宋体" w:eastAsia="仿宋_GB2312" w:cs="宋体"/>
                <w:color w:val="000000"/>
                <w:sz w:val="28"/>
                <w:szCs w:val="28"/>
              </w:rPr>
              <w:t>万元，主要用于：乡镇</w:t>
            </w:r>
            <w:r>
              <w:rPr>
                <w:rFonts w:ascii="仿宋_GB2312" w:hAnsi="宋体" w:eastAsia="仿宋_GB2312" w:cs="宋体"/>
                <w:color w:val="000000"/>
                <w:sz w:val="28"/>
                <w:szCs w:val="28"/>
              </w:rPr>
              <w:t>退役军人管理事务</w:t>
            </w:r>
            <w:r>
              <w:rPr>
                <w:rFonts w:hint="eastAsia" w:ascii="仿宋_GB2312" w:hAnsi="宋体" w:eastAsia="仿宋_GB2312" w:cs="宋体"/>
                <w:color w:val="000000"/>
                <w:sz w:val="28"/>
                <w:szCs w:val="28"/>
              </w:rPr>
              <w:t>工作正常运转的基本支出，包括基本工资、津贴补贴等人员经费以及办公费、印刷费、水电费等日常公用经费。</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6</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6.9</w:t>
            </w:r>
            <w:r>
              <w:rPr>
                <w:rFonts w:hint="eastAsia" w:ascii="仿宋_GB2312" w:hAnsi="宋体" w:eastAsia="仿宋_GB2312" w:cs="宋体"/>
                <w:color w:val="000000"/>
                <w:sz w:val="28"/>
                <w:szCs w:val="28"/>
              </w:rPr>
              <w:t>万元，主要用于：部门下属事业单位基本医疗保险缴费支出。</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7</w:t>
            </w:r>
            <w:r>
              <w:rPr>
                <w:rFonts w:hint="eastAsia" w:ascii="仿宋_GB2312" w:hAnsi="宋体" w:eastAsia="仿宋_GB2312" w:cs="宋体"/>
                <w:b/>
                <w:color w:val="000000"/>
                <w:sz w:val="28"/>
                <w:szCs w:val="28"/>
              </w:rPr>
              <w:t>.城乡社区支出</w:t>
            </w:r>
            <w:r>
              <w:rPr>
                <w:rFonts w:hint="eastAsia" w:ascii="仿宋_GB2312" w:hAnsi="宋体" w:eastAsia="仿宋_GB2312" w:cs="宋体"/>
                <w:b/>
                <w:bCs/>
                <w:color w:val="000000"/>
                <w:sz w:val="28"/>
                <w:szCs w:val="28"/>
              </w:rPr>
              <w:t>（类）城乡社区管理事务（款）</w:t>
            </w:r>
            <w:r>
              <w:rPr>
                <w:rFonts w:ascii="仿宋_GB2312" w:hAnsi="宋体" w:eastAsia="仿宋_GB2312" w:cs="宋体"/>
                <w:b/>
                <w:bCs/>
                <w:color w:val="000000"/>
                <w:sz w:val="28"/>
                <w:szCs w:val="28"/>
              </w:rPr>
              <w:t>工程建设管理</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13.02</w:t>
            </w:r>
            <w:r>
              <w:rPr>
                <w:rFonts w:hint="eastAsia" w:ascii="仿宋_GB2312" w:hAnsi="宋体" w:eastAsia="仿宋_GB2312" w:cs="宋体"/>
                <w:color w:val="000000"/>
                <w:sz w:val="28"/>
                <w:szCs w:val="28"/>
              </w:rPr>
              <w:t>万元，主要用于：乡镇城乡社区管理事务正常运转的基本支出，包括基本工资、津贴补贴等人员经费以及办公费、印刷费、水电费等日常公用经费。</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8</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12.65</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142.4</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12.29</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lang w:eastAsia="zh-CN"/>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枣林镇公共</w:t>
            </w:r>
            <w:r>
              <w:rPr>
                <w:rFonts w:hint="eastAsia" w:ascii="仿宋_GB2312" w:eastAsia="仿宋_GB2312"/>
                <w:color w:val="000000"/>
                <w:sz w:val="28"/>
                <w:szCs w:val="28"/>
                <w:shd w:val="clear" w:color="auto" w:fill="FFFFFF"/>
                <w:lang w:eastAsia="zh-CN"/>
              </w:rPr>
              <w:t>事务</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154.69</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6452C1"/>
    <w:rsid w:val="0009310D"/>
    <w:rsid w:val="000A2DE7"/>
    <w:rsid w:val="002F5B42"/>
    <w:rsid w:val="00430A67"/>
    <w:rsid w:val="004422F8"/>
    <w:rsid w:val="00474DE5"/>
    <w:rsid w:val="004B058D"/>
    <w:rsid w:val="00532C45"/>
    <w:rsid w:val="006452C1"/>
    <w:rsid w:val="00687D24"/>
    <w:rsid w:val="006E7785"/>
    <w:rsid w:val="006F69EE"/>
    <w:rsid w:val="008640E2"/>
    <w:rsid w:val="009354DF"/>
    <w:rsid w:val="00AD2F67"/>
    <w:rsid w:val="00C40F78"/>
    <w:rsid w:val="00CA720C"/>
    <w:rsid w:val="00CF5987"/>
    <w:rsid w:val="00D34013"/>
    <w:rsid w:val="00D63EB5"/>
    <w:rsid w:val="00E802F4"/>
    <w:rsid w:val="00EB0203"/>
    <w:rsid w:val="044948D9"/>
    <w:rsid w:val="0593166E"/>
    <w:rsid w:val="062A31D9"/>
    <w:rsid w:val="08524E47"/>
    <w:rsid w:val="0928137D"/>
    <w:rsid w:val="10D263DE"/>
    <w:rsid w:val="1556656F"/>
    <w:rsid w:val="185A2FDB"/>
    <w:rsid w:val="1BFB1448"/>
    <w:rsid w:val="2028453F"/>
    <w:rsid w:val="25336C59"/>
    <w:rsid w:val="27F73166"/>
    <w:rsid w:val="29557E72"/>
    <w:rsid w:val="296D3264"/>
    <w:rsid w:val="2BAB389C"/>
    <w:rsid w:val="2C52157A"/>
    <w:rsid w:val="34B306BA"/>
    <w:rsid w:val="36874CB1"/>
    <w:rsid w:val="3F970BBE"/>
    <w:rsid w:val="402D06C6"/>
    <w:rsid w:val="42F76EEF"/>
    <w:rsid w:val="43184B92"/>
    <w:rsid w:val="44147D16"/>
    <w:rsid w:val="45232CC9"/>
    <w:rsid w:val="456A0FF9"/>
    <w:rsid w:val="45CD67CA"/>
    <w:rsid w:val="48040521"/>
    <w:rsid w:val="49214ABC"/>
    <w:rsid w:val="4A691E60"/>
    <w:rsid w:val="4FA632DE"/>
    <w:rsid w:val="524D219C"/>
    <w:rsid w:val="52A76703"/>
    <w:rsid w:val="59261A2D"/>
    <w:rsid w:val="5AB96F5C"/>
    <w:rsid w:val="5D335644"/>
    <w:rsid w:val="5DDE0648"/>
    <w:rsid w:val="5ED86984"/>
    <w:rsid w:val="60123C11"/>
    <w:rsid w:val="619C1A0A"/>
    <w:rsid w:val="6308456B"/>
    <w:rsid w:val="648E3348"/>
    <w:rsid w:val="673F3F12"/>
    <w:rsid w:val="67600CFE"/>
    <w:rsid w:val="6A9B02B4"/>
    <w:rsid w:val="6B1D4EBF"/>
    <w:rsid w:val="6B945BDC"/>
    <w:rsid w:val="6D7F1802"/>
    <w:rsid w:val="6F2B0A6C"/>
    <w:rsid w:val="70863A3A"/>
    <w:rsid w:val="71C3440C"/>
    <w:rsid w:val="74821D91"/>
    <w:rsid w:val="76D42432"/>
    <w:rsid w:val="795736C6"/>
    <w:rsid w:val="7961591C"/>
    <w:rsid w:val="79C24D1B"/>
    <w:rsid w:val="7A3B4351"/>
    <w:rsid w:val="7CDC1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0351cdd-6976-4620-a5c0-fb04d18fd38f}"/>
        <w:style w:val=""/>
        <w:category>
          <w:name w:val="常规"/>
          <w:gallery w:val="placeholder"/>
        </w:category>
        <w:types>
          <w:type w:val="bbPlcHdr"/>
        </w:types>
        <w:behaviors>
          <w:behavior w:val="content"/>
        </w:behaviors>
        <w:description w:val=""/>
        <w:guid w:val="{e0351cdd-6976-4620-a5c0-fb04d18fd38f}"/>
      </w:docPartPr>
      <w:docPartBody>
        <w:p>
          <w:r>
            <w:rPr>
              <w:color w:val="808080"/>
            </w:rPr>
            <w:t>单击此处输入文字。</w:t>
          </w:r>
        </w:p>
      </w:docPartBody>
    </w:docPart>
    <w:docPart>
      <w:docPartPr>
        <w:name w:val="{70776873-9db8-4bc6-9204-845660a50d91}"/>
        <w:style w:val=""/>
        <w:category>
          <w:name w:val="常规"/>
          <w:gallery w:val="placeholder"/>
        </w:category>
        <w:types>
          <w:type w:val="bbPlcHdr"/>
        </w:types>
        <w:behaviors>
          <w:behavior w:val="content"/>
        </w:behaviors>
        <w:description w:val=""/>
        <w:guid w:val="{70776873-9db8-4bc6-9204-845660a50d91}"/>
      </w:docPartPr>
      <w:docPartBody>
        <w:p>
          <w:r>
            <w:rPr>
              <w:color w:val="808080"/>
            </w:rPr>
            <w:t>单击此处输入文字。</w:t>
          </w:r>
        </w:p>
      </w:docPartBody>
    </w:docPart>
    <w:docPart>
      <w:docPartPr>
        <w:name w:val="{db1be3f2-ae25-463a-b3bc-188b80f12ead}"/>
        <w:style w:val=""/>
        <w:category>
          <w:name w:val="常规"/>
          <w:gallery w:val="placeholder"/>
        </w:category>
        <w:types>
          <w:type w:val="bbPlcHdr"/>
        </w:types>
        <w:behaviors>
          <w:behavior w:val="content"/>
        </w:behaviors>
        <w:description w:val=""/>
        <w:guid w:val="{db1be3f2-ae25-463a-b3bc-188b80f12ead}"/>
      </w:docPartPr>
      <w:docPartBody>
        <w:p>
          <w:r>
            <w:rPr>
              <w:color w:val="808080"/>
            </w:rPr>
            <w:t>单击此处输入文字。</w:t>
          </w:r>
        </w:p>
      </w:docPartBody>
    </w:docPart>
    <w:docPart>
      <w:docPartPr>
        <w:name w:val="{2135a7c9-429c-4509-8575-01875826c479}"/>
        <w:style w:val=""/>
        <w:category>
          <w:name w:val="常规"/>
          <w:gallery w:val="placeholder"/>
        </w:category>
        <w:types>
          <w:type w:val="bbPlcHdr"/>
        </w:types>
        <w:behaviors>
          <w:behavior w:val="content"/>
        </w:behaviors>
        <w:description w:val=""/>
        <w:guid w:val="{2135a7c9-429c-4509-8575-01875826c479}"/>
      </w:docPartPr>
      <w:docPartBody>
        <w:p>
          <w:r>
            <w:rPr>
              <w:color w:val="808080"/>
            </w:rPr>
            <w:t>单击此处输入文字。</w:t>
          </w:r>
        </w:p>
      </w:docPartBody>
    </w:docPart>
    <w:docPart>
      <w:docPartPr>
        <w:name w:val="{6b571843-037e-4b23-8ba3-fcb8ed1151e7}"/>
        <w:style w:val=""/>
        <w:category>
          <w:name w:val="常规"/>
          <w:gallery w:val="placeholder"/>
        </w:category>
        <w:types>
          <w:type w:val="bbPlcHdr"/>
        </w:types>
        <w:behaviors>
          <w:behavior w:val="content"/>
        </w:behaviors>
        <w:description w:val=""/>
        <w:guid w:val="{6b571843-037e-4b23-8ba3-fcb8ed1151e7}"/>
      </w:docPartPr>
      <w:docPartBody>
        <w:p>
          <w:r>
            <w:rPr>
              <w:color w:val="808080"/>
            </w:rPr>
            <w:t>单击此处输入文字。</w:t>
          </w:r>
        </w:p>
      </w:docPartBody>
    </w:docPart>
    <w:docPart>
      <w:docPartPr>
        <w:name w:val="{c89b996e-566a-4e46-ac32-001c675f4ecf}"/>
        <w:style w:val=""/>
        <w:category>
          <w:name w:val="常规"/>
          <w:gallery w:val="placeholder"/>
        </w:category>
        <w:types>
          <w:type w:val="bbPlcHdr"/>
        </w:types>
        <w:behaviors>
          <w:behavior w:val="content"/>
        </w:behaviors>
        <w:description w:val=""/>
        <w:guid w:val="{c89b996e-566a-4e46-ac32-001c675f4ecf}"/>
      </w:docPartPr>
      <w:docPartBody>
        <w:p>
          <w:r>
            <w:rPr>
              <w:color w:val="808080"/>
            </w:rPr>
            <w:t>单击此处输入文字。</w:t>
          </w:r>
        </w:p>
      </w:docPartBody>
    </w:docPart>
    <w:docPart>
      <w:docPartPr>
        <w:name w:val="{683218b2-d7a1-4b52-bbaa-75d16cedc183}"/>
        <w:style w:val=""/>
        <w:category>
          <w:name w:val="常规"/>
          <w:gallery w:val="placeholder"/>
        </w:category>
        <w:types>
          <w:type w:val="bbPlcHdr"/>
        </w:types>
        <w:behaviors>
          <w:behavior w:val="content"/>
        </w:behaviors>
        <w:description w:val=""/>
        <w:guid w:val="{683218b2-d7a1-4b52-bbaa-75d16cedc183}"/>
      </w:docPartPr>
      <w:docPartBody>
        <w:p>
          <w:r>
            <w:rPr>
              <w:color w:val="808080"/>
            </w:rPr>
            <w:t>单击此处输入文字。</w:t>
          </w:r>
        </w:p>
      </w:docPartBody>
    </w:docPart>
    <w:docPart>
      <w:docPartPr>
        <w:name w:val="{6caa478b-2d31-47a0-aa3f-9304da98122c}"/>
        <w:style w:val=""/>
        <w:category>
          <w:name w:val="常规"/>
          <w:gallery w:val="placeholder"/>
        </w:category>
        <w:types>
          <w:type w:val="bbPlcHdr"/>
        </w:types>
        <w:behaviors>
          <w:behavior w:val="content"/>
        </w:behaviors>
        <w:description w:val=""/>
        <w:guid w:val="{6caa478b-2d31-47a0-aa3f-9304da98122c}"/>
      </w:docPartPr>
      <w:docPartBody>
        <w:p>
          <w:r>
            <w:rPr>
              <w:color w:val="808080"/>
            </w:rPr>
            <w:t>单击此处输入文字。</w:t>
          </w:r>
        </w:p>
      </w:docPartBody>
    </w:docPart>
    <w:docPart>
      <w:docPartPr>
        <w:name w:val="{affcfa3a-6c7a-42f1-ab5e-b365eb6efe77}"/>
        <w:style w:val=""/>
        <w:category>
          <w:name w:val="常规"/>
          <w:gallery w:val="placeholder"/>
        </w:category>
        <w:types>
          <w:type w:val="bbPlcHdr"/>
        </w:types>
        <w:behaviors>
          <w:behavior w:val="content"/>
        </w:behaviors>
        <w:description w:val=""/>
        <w:guid w:val="{affcfa3a-6c7a-42f1-ab5e-b365eb6efe77}"/>
      </w:docPartPr>
      <w:docPartBody>
        <w:p>
          <w:r>
            <w:rPr>
              <w:color w:val="808080"/>
            </w:rPr>
            <w:t>单击此处输入文字。</w:t>
          </w:r>
        </w:p>
      </w:docPartBody>
    </w:docPart>
    <w:docPart>
      <w:docPartPr>
        <w:name w:val="{7dec4fce-5254-4efb-928d-6f21018409a4}"/>
        <w:style w:val=""/>
        <w:category>
          <w:name w:val="常规"/>
          <w:gallery w:val="placeholder"/>
        </w:category>
        <w:types>
          <w:type w:val="bbPlcHdr"/>
        </w:types>
        <w:behaviors>
          <w:behavior w:val="content"/>
        </w:behaviors>
        <w:description w:val=""/>
        <w:guid w:val="{7dec4fce-5254-4efb-928d-6f21018409a4}"/>
      </w:docPartPr>
      <w:docPartBody>
        <w:p>
          <w:r>
            <w:rPr>
              <w:color w:val="808080"/>
            </w:rPr>
            <w:t>单击此处输入文字。</w:t>
          </w:r>
        </w:p>
      </w:docPartBody>
    </w:docPart>
    <w:docPart>
      <w:docPartPr>
        <w:name w:val="{b47e8feb-b4a3-4a00-ac38-80a16fbff7a7}"/>
        <w:style w:val=""/>
        <w:category>
          <w:name w:val="常规"/>
          <w:gallery w:val="placeholder"/>
        </w:category>
        <w:types>
          <w:type w:val="bbPlcHdr"/>
        </w:types>
        <w:behaviors>
          <w:behavior w:val="content"/>
        </w:behaviors>
        <w:description w:val=""/>
        <w:guid w:val="{b47e8feb-b4a3-4a00-ac38-80a16fbff7a7}"/>
      </w:docPartPr>
      <w:docPartBody>
        <w:p>
          <w:r>
            <w:rPr>
              <w:color w:val="808080"/>
            </w:rPr>
            <w:t>单击此处输入文字。</w:t>
          </w:r>
        </w:p>
      </w:docPartBody>
    </w:docPart>
    <w:docPart>
      <w:docPartPr>
        <w:name w:val="{3b6a62a2-0d0d-45e6-9cfc-dbec963c00f7}"/>
        <w:style w:val=""/>
        <w:category>
          <w:name w:val="常规"/>
          <w:gallery w:val="placeholder"/>
        </w:category>
        <w:types>
          <w:type w:val="bbPlcHdr"/>
        </w:types>
        <w:behaviors>
          <w:behavior w:val="content"/>
        </w:behaviors>
        <w:description w:val=""/>
        <w:guid w:val="{3b6a62a2-0d0d-45e6-9cfc-dbec963c00f7}"/>
      </w:docPartPr>
      <w:docPartBody>
        <w:p>
          <w:r>
            <w:rPr>
              <w:color w:val="808080"/>
            </w:rPr>
            <w:t>单击此处输入文字。</w:t>
          </w:r>
        </w:p>
      </w:docPartBody>
    </w:docPart>
    <w:docPart>
      <w:docPartPr>
        <w:name w:val="{183711a2-01cb-4eba-9024-a0ff992d2e04}"/>
        <w:style w:val=""/>
        <w:category>
          <w:name w:val="常规"/>
          <w:gallery w:val="placeholder"/>
        </w:category>
        <w:types>
          <w:type w:val="bbPlcHdr"/>
        </w:types>
        <w:behaviors>
          <w:behavior w:val="content"/>
        </w:behaviors>
        <w:description w:val=""/>
        <w:guid w:val="{183711a2-01cb-4eba-9024-a0ff992d2e04}"/>
      </w:docPartPr>
      <w:docPartBody>
        <w:p>
          <w:r>
            <w:rPr>
              <w:color w:val="808080"/>
            </w:rPr>
            <w:t>单击此处输入文字。</w:t>
          </w:r>
        </w:p>
      </w:docPartBody>
    </w:docPart>
    <w:docPart>
      <w:docPartPr>
        <w:name w:val="{58eb9485-9bb3-4877-9c1d-3c11273b6a2b}"/>
        <w:style w:val=""/>
        <w:category>
          <w:name w:val="常规"/>
          <w:gallery w:val="placeholder"/>
        </w:category>
        <w:types>
          <w:type w:val="bbPlcHdr"/>
        </w:types>
        <w:behaviors>
          <w:behavior w:val="content"/>
        </w:behaviors>
        <w:description w:val=""/>
        <w:guid w:val="{58eb9485-9bb3-4877-9c1d-3c11273b6a2b}"/>
      </w:docPartPr>
      <w:docPartBody>
        <w:p>
          <w:r>
            <w:rPr>
              <w:color w:val="808080"/>
            </w:rPr>
            <w:t>单击此处输入文字。</w:t>
          </w:r>
        </w:p>
      </w:docPartBody>
    </w:docPart>
    <w:docPart>
      <w:docPartPr>
        <w:name w:val="{e015f7cf-9dab-4e9a-b933-07a4a4a8e552}"/>
        <w:style w:val=""/>
        <w:category>
          <w:name w:val="常规"/>
          <w:gallery w:val="placeholder"/>
        </w:category>
        <w:types>
          <w:type w:val="bbPlcHdr"/>
        </w:types>
        <w:behaviors>
          <w:behavior w:val="content"/>
        </w:behaviors>
        <w:description w:val=""/>
        <w:guid w:val="{e015f7cf-9dab-4e9a-b933-07a4a4a8e552}"/>
      </w:docPartPr>
      <w:docPartBody>
        <w:p>
          <w:r>
            <w:rPr>
              <w:color w:val="808080"/>
            </w:rPr>
            <w:t>单击此处输入文字。</w:t>
          </w:r>
        </w:p>
      </w:docPartBody>
    </w:docPart>
    <w:docPart>
      <w:docPartPr>
        <w:name w:val="{0e9fc58c-36b9-4a91-a562-998185c02ab1}"/>
        <w:style w:val=""/>
        <w:category>
          <w:name w:val="常规"/>
          <w:gallery w:val="placeholder"/>
        </w:category>
        <w:types>
          <w:type w:val="bbPlcHdr"/>
        </w:types>
        <w:behaviors>
          <w:behavior w:val="content"/>
        </w:behaviors>
        <w:description w:val=""/>
        <w:guid w:val="{0e9fc58c-36b9-4a91-a562-998185c02ab1}"/>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5500</Words>
  <Characters>5795</Characters>
  <Lines>17</Lines>
  <Paragraphs>4</Paragraphs>
  <TotalTime>17</TotalTime>
  <ScaleCrop>false</ScaleCrop>
  <LinksUpToDate>false</LinksUpToDate>
  <CharactersWithSpaces>5977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2024-06-04T07:11:54Z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118519273D63462991733EC94C08D8FD</vt:lpwstr>
  </property>
</Properties>
</file>