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巴中市巴州区枣林镇农业综合服务中心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d03a4a5-82a1-4114-90ae-8998214f490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eccb63c-f5c7-4129-988c-911c80d88cb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（一）枣林镇</w:t>
                </w:r>
                <w:r>
                  <w:rPr>
                    <w:rFonts w:hint="eastAsia"/>
                    <w:lang w:eastAsia="zh-CN"/>
                  </w:rPr>
                  <w:t>农业综合</w:t>
                </w:r>
                <w:r>
                  <w:rPr>
                    <w:rFonts w:hint="eastAsia"/>
                  </w:rPr>
                  <w:t>服务中心职能简介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09b097e-bfa3-4a54-a8b1-d6546e0591f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（二）枣林镇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9d28a6b-e4ee-4163-a38d-3d7745285dd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ce6ec9e-769f-42ce-acf9-460b66ce9212}"/>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5</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81921d8e-e13c-4c9d-b343-55cea7e3c462}"/>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5</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8c3de9e-ba66-4e64-bcdd-5644ed6e1a9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de9a6ac-97dc-4b56-9130-644bfb59d91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f643d47-1eda-436e-b046-b8ba4ba57bf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5</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6</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04e46cc-4745-487e-920a-401581072223}"/>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6</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dac52f0-c63f-48e3-832f-6be60c0b8d61}"/>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6</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bccc877-a698-4829-9a55-16523c9fff5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9a4fd5a-e2ef-4fd5-99e0-94e50ed3595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1baf1e1-9dbc-49b7-a9c9-933bd215d38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8</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1011a45-e656-48a5-bae9-4b41bab5161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8</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9fd6fdc-1571-4dc1-ad77-017b5983ad3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枣林镇农业综合服务中心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农机站职能：一，农业机械购置补贴工作。二，农机新机具新技术推广工作。三，农业机械安全监督管理检验。四，农机技术培训技术咨询。五，乡村机耕道建设管理，六，乡村机电提灌站建设和管理。七，农村农机具销售，维修市场监督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农技站职能：1、主持农技站全面工作，做好站务管理、财务管理工作。2、制订农技站年度目标责任制，做好全站干部职工的管理和考核工作。3、围绕农业结构调整，做好新品种、新技术试验、示范、推广工作。4、联系科技示范户，进行技术指导，做好农技辐射推广工作。5、搞好农业科普宣传、咨询、培训工作。6、做好上级部门和农业办公室领导交办的其他各项工作。工作纪律按照各项工作的要求及时完成，办事认真、高效，做到上情下达、下情上传，具体工作无重大失误;服务及时、高效、热情、到位;管理规范，监督有力，责任落实，任务完成。</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农经站工作职能：1、为农村合同经济健康发展提供管理保障，乡镇农经站工作职责。</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2、负责土地承包、村集体资产管理。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3、负责农村产业化经营、农村合作经济组织管理。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4、负责农民负担监督、农村财务管理工作。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5、负责农村经济统计、农村经济体系管理工作。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畜牧站职能：1、宣传贯彻国家有关发展畜牧兽医食品业的方针、政策、法规，协助乡政府制定全乡畜牧业发展规划、年度计划、具体措施并贯彻实施；2、指导全乡畜牧业科技推广计划、规化并组织实施，指导全乡畜牧业生产科技、培训村畜牧业科技员、基层干部和农民技术员进行科技示范，提供畜牧业技术服务；3、建立健全需求疫病防治、畜禽良种改良、饲料饲草开发利用、畜产品及流通等一系列配套服务；4、收集国内外行业技术信息和市场信息，提供信息服务和信息咨询；5、协同有关部门搞好全乡的畜产品及其产品的专业市场管理，健全交易市场体系；6、负责并组织对全乡的畜禽及其产品的产地、屠宰检疫工作，并加强运输和市场的监督力度；7、负责全乡的各种动物疫病监测、预防、控制、扑灭工作，并对兽药残留、饲料及其饲料添加剂安全使用进行监测。</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水管站职能：1、积极宣传贯彻执行水法、法规的各项水利方针、政策，树立全面优质服务，足进农村水利事业发展。</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2、结合本镇实际，统一管理水资源。协助镇人民政府制定水利发展规划和年度计划，组织施工、验收；落实各项水利管理责任制，建立各类工程卡片及挡案。</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3、组织群众进行防汛抗旱管理、防洪调度、除涝和农田水利基本建设，搞好农业基础建设的上报及水利信息的传递，管好、用好水利建设设施。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4、搞好农村水利建设、水土保持提供技术与管理保障。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5、搞好农村水利工程（规划、勘测、设计）。</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6、搞好农村水利新技术示范推广。</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7、做好本镇水土流失治理工作。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8、承担县级水行政主管部门委托的代收和协助管理各项水行政事业性收费等。</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9、完成上级部门和镇政府领导交办的各项工作任务，做好建立健全各类工作挡案。</w:t>
            </w:r>
          </w:p>
          <w:p>
            <w:pPr>
              <w:pStyle w:val="2"/>
              <w:adjustRightInd w:val="0"/>
              <w:snapToGrid w:val="0"/>
              <w:spacing w:before="93" w:line="600" w:lineRule="exact"/>
              <w:ind w:firstLine="560" w:firstLineChars="200"/>
              <w:jc w:val="left"/>
              <w:rPr>
                <w:rFonts w:hint="eastAsia" w:ascii="仿宋_GB2312" w:eastAsia="仿宋_GB2312"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林业站职能：宣传与贯彻执行森林、植物资源保护等法律、法规和各项林业方针、政策；协助乡镇人民政府制定林业发展规划和年度计划，组织和指导农村集体、个人开展林业生产活动；配合林业主管部门做好森林防火、森林病虫害防治工作；建立健全乡村护林网络，负责护林队伍的建设；推广林业科学技术，开展林业技术培训、技术咨询和技术服务等林业服务。</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枣林镇农业综合服务中心2024</w:t>
            </w:r>
            <w:r>
              <w:rPr>
                <w:rFonts w:hint="eastAsia" w:ascii="楷体_GB2312" w:hAnsi="宋体" w:eastAsia="楷体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lang w:val="en-US" w:eastAsia="zh-CN"/>
              </w:rPr>
              <w:t>2024</w:t>
            </w:r>
            <w:r>
              <w:rPr>
                <w:rFonts w:hint="eastAsia" w:ascii="仿宋_GB2312" w:eastAsia="仿宋_GB2312"/>
                <w:color w:val="000000"/>
                <w:sz w:val="28"/>
                <w:szCs w:val="28"/>
                <w:shd w:val="clear" w:color="auto" w:fill="FFFFFF"/>
              </w:rPr>
              <w:t>年在镇党委、政府的正确领导下，在上级业务主管部门的具体指导下，围绕实施乡村振兴战略，完成农业机械年度检审工作，农业机械推广工作，农机作业管理工作，在夏收夏种、秋收秋种工作中积极调度、合理调配机具，加强安全管理工作。压滤机滤布及时完成作业任务，未发生重大农机事故。有效地促进了农业生产，保证了农民生命和财产安全；试验示范的设计、实施、记载、统计分析、总结工作，全面完成农技站年初制订的工作任务目标，完成农业办公室下达的联系点工作指标；农村土地承包管理步入法制规范化轨道、全面加强完成农村土地承包经营权证补换发工作；努力发展畜牧业生产，大力推进标准化规模化养殖，积极开展动物疫病防控工作；不断加大林政管理工作力度，开展预防松材线虫病宣传和春秋季普查工作，森林防火工作严格实行全天候禁止一切野外用火，加大巡查力度。</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rPr>
              <w:t>属二级预算单位。</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万元；支出包括：社会保障和就业支出</w:t>
            </w:r>
            <w:r>
              <w:rPr>
                <w:rFonts w:hint="eastAsia" w:ascii="仿宋_GB2312" w:eastAsia="仿宋_GB2312"/>
                <w:color w:val="000000"/>
                <w:sz w:val="28"/>
                <w:szCs w:val="28"/>
                <w:shd w:val="clear" w:color="auto" w:fill="FFFFFF"/>
                <w:lang w:val="en-US" w:eastAsia="zh-CN"/>
              </w:rPr>
              <w:t>17.94</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8.54</w:t>
            </w:r>
            <w:r>
              <w:rPr>
                <w:rFonts w:hint="eastAsia" w:ascii="仿宋_GB2312" w:eastAsia="仿宋_GB2312"/>
                <w:color w:val="000000"/>
                <w:sz w:val="28"/>
                <w:szCs w:val="28"/>
                <w:shd w:val="clear" w:color="auto" w:fill="FFFFFF"/>
              </w:rPr>
              <w:t>万元、农林水支出</w:t>
            </w:r>
            <w:r>
              <w:rPr>
                <w:rFonts w:hint="eastAsia" w:ascii="仿宋_GB2312" w:eastAsia="仿宋_GB2312"/>
                <w:color w:val="000000"/>
                <w:sz w:val="28"/>
                <w:szCs w:val="28"/>
                <w:shd w:val="clear" w:color="auto" w:fill="FFFFFF"/>
                <w:lang w:val="en-US" w:eastAsia="zh-CN"/>
              </w:rPr>
              <w:t>145.68</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15.27</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增加3.86</w:t>
            </w:r>
            <w:r>
              <w:rPr>
                <w:rFonts w:hint="eastAsia" w:ascii="仿宋_GB2312" w:hAnsi="宋体" w:eastAsia="仿宋_GB2312" w:cs="宋体"/>
                <w:color w:val="000000" w:themeColor="text1"/>
                <w:kern w:val="0"/>
                <w:sz w:val="28"/>
                <w:szCs w:val="28"/>
                <w14:textFill>
                  <w14:solidFill>
                    <w14:schemeClr w14:val="tx1"/>
                  </w14:solidFill>
                </w14:textFill>
              </w:rPr>
              <w:t xml:space="preserve">万元。主要是根据部门年度工作计划，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人员</w:t>
            </w:r>
            <w:r>
              <w:rPr>
                <w:rFonts w:hint="eastAsia" w:ascii="仿宋_GB2312" w:hAnsi="宋体" w:eastAsia="仿宋_GB2312" w:cs="宋体"/>
                <w:color w:val="000000" w:themeColor="text1"/>
                <w:kern w:val="0"/>
                <w:sz w:val="28"/>
                <w:szCs w:val="28"/>
                <w14:textFill>
                  <w14:solidFill>
                    <w14:schemeClr w14:val="tx1"/>
                  </w14:solidFill>
                </w14:textFill>
              </w:rPr>
              <w:t>有所</w:t>
            </w:r>
            <w:r>
              <w:rPr>
                <w:rFonts w:hint="eastAsia" w:ascii="仿宋_GB2312" w:hAnsi="宋体" w:eastAsia="仿宋_GB2312" w:cs="宋体"/>
                <w:color w:val="000000" w:themeColor="text1"/>
                <w:kern w:val="0"/>
                <w:sz w:val="28"/>
                <w:szCs w:val="28"/>
                <w:lang w:eastAsia="zh-CN"/>
                <w14:textFill>
                  <w14:solidFill>
                    <w14:schemeClr w14:val="tx1"/>
                  </w14:solidFill>
                </w14:textFill>
              </w:rPr>
              <w:t>增加以及</w:t>
            </w:r>
            <w:r>
              <w:rPr>
                <w:rFonts w:hint="eastAsia" w:ascii="仿宋_GB2312" w:hAnsi="宋体" w:eastAsia="仿宋_GB2312" w:cs="宋体"/>
                <w:color w:val="000000" w:themeColor="text1"/>
                <w:kern w:val="0"/>
                <w:sz w:val="28"/>
                <w:szCs w:val="28"/>
                <w:highlight w:val="none"/>
                <w14:textFill>
                  <w14:solidFill>
                    <w14:schemeClr w14:val="tx1"/>
                  </w14:solidFill>
                </w14:textFill>
              </w:rPr>
              <w:t>部门实施养老保险</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及住房公积金</w:t>
            </w:r>
            <w:r>
              <w:rPr>
                <w:rFonts w:hint="eastAsia" w:ascii="仿宋_GB2312" w:hAnsi="宋体" w:eastAsia="仿宋_GB2312" w:cs="宋体"/>
                <w:color w:val="000000" w:themeColor="text1"/>
                <w:kern w:val="0"/>
                <w:sz w:val="28"/>
                <w:szCs w:val="28"/>
                <w:highlight w:val="none"/>
                <w14:textFill>
                  <w14:solidFill>
                    <w14:schemeClr w14:val="tx1"/>
                  </w14:solidFill>
                </w14:textFill>
              </w:rPr>
              <w:t>制度后，增加养老保险和</w:t>
            </w:r>
            <w:r>
              <w:rPr>
                <w:rFonts w:hint="eastAsia" w:ascii="仿宋_GB2312" w:hAnsi="宋体" w:eastAsia="仿宋_GB2312" w:cs="宋体"/>
                <w:color w:val="000000" w:themeColor="text1"/>
                <w:kern w:val="0"/>
                <w:sz w:val="28"/>
                <w:szCs w:val="28"/>
                <w:highlight w:val="none"/>
                <w:lang w:eastAsia="zh-CN"/>
                <w14:textFill>
                  <w14:solidFill>
                    <w14:schemeClr w14:val="tx1"/>
                  </w14:solidFill>
                </w14:textFill>
              </w:rPr>
              <w:t>住房公积金</w:t>
            </w:r>
            <w:r>
              <w:rPr>
                <w:rFonts w:hint="eastAsia" w:ascii="仿宋_GB2312" w:hAnsi="宋体" w:eastAsia="仿宋_GB2312" w:cs="宋体"/>
                <w:color w:val="000000" w:themeColor="text1"/>
                <w:kern w:val="0"/>
                <w:sz w:val="28"/>
                <w:szCs w:val="28"/>
                <w:highlight w:val="none"/>
                <w14:textFill>
                  <w14:solidFill>
                    <w14:schemeClr w14:val="tx1"/>
                  </w14:solidFill>
                </w14:textFill>
              </w:rPr>
              <w:t>支出</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eastAsia="仿宋_GB2312"/>
                <w:color w:val="000000"/>
                <w:sz w:val="28"/>
                <w:szCs w:val="28"/>
                <w:shd w:val="clear" w:color="auto" w:fill="FFFFFF"/>
              </w:rPr>
              <w:t>元，具体预算明细如下：社会保障和就业支出</w:t>
            </w:r>
            <w:r>
              <w:rPr>
                <w:rFonts w:hint="eastAsia" w:ascii="仿宋_GB2312" w:eastAsia="仿宋_GB2312"/>
                <w:color w:val="000000"/>
                <w:sz w:val="28"/>
                <w:szCs w:val="28"/>
                <w:shd w:val="clear" w:color="auto" w:fill="FFFFFF"/>
                <w:lang w:val="en-US" w:eastAsia="zh-CN"/>
              </w:rPr>
              <w:t>17.94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9.57</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8.54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4.56</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农林水支出</w:t>
            </w:r>
            <w:r>
              <w:rPr>
                <w:rFonts w:hint="eastAsia" w:ascii="仿宋_GB2312" w:eastAsia="仿宋_GB2312"/>
                <w:color w:val="000000"/>
                <w:sz w:val="28"/>
                <w:szCs w:val="28"/>
                <w:shd w:val="clear" w:color="auto" w:fill="FFFFFF"/>
                <w:lang w:val="en-US" w:eastAsia="zh-CN"/>
              </w:rPr>
              <w:t>145.68</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77.72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15.27</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8.15</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bCs/>
                <w:color w:val="000000"/>
                <w:sz w:val="28"/>
                <w:szCs w:val="28"/>
                <w:lang w:val="en-US" w:eastAsia="zh-CN"/>
              </w:rPr>
              <w:t>1</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eastAsia="zh-CN"/>
              </w:rPr>
              <w:t>17.94</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8.54</w:t>
            </w:r>
            <w:r>
              <w:rPr>
                <w:rFonts w:hint="eastAsia" w:ascii="仿宋_GB2312" w:hAnsi="宋体" w:eastAsia="仿宋_GB2312" w:cs="宋体"/>
                <w:color w:val="000000"/>
                <w:sz w:val="28"/>
                <w:szCs w:val="28"/>
              </w:rPr>
              <w:t>万元，主要用于：部门下属事业单位基本医疗保险缴费支出。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3</w:t>
            </w:r>
            <w:r>
              <w:rPr>
                <w:rFonts w:hint="eastAsia" w:ascii="仿宋_GB2312" w:hAnsi="宋体" w:eastAsia="仿宋_GB2312" w:cs="宋体"/>
                <w:b/>
                <w:color w:val="000000"/>
                <w:sz w:val="28"/>
                <w:szCs w:val="28"/>
              </w:rPr>
              <w:t>.农林水支出</w:t>
            </w:r>
            <w:r>
              <w:rPr>
                <w:rFonts w:hint="eastAsia" w:ascii="仿宋_GB2312" w:hAnsi="宋体" w:eastAsia="仿宋_GB2312" w:cs="宋体"/>
                <w:b/>
                <w:bCs/>
                <w:color w:val="000000"/>
                <w:sz w:val="28"/>
                <w:szCs w:val="28"/>
              </w:rPr>
              <w:t>（类）农业农村（款）事业运行（项）: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106.04</w:t>
            </w:r>
            <w:r>
              <w:rPr>
                <w:rFonts w:hint="eastAsia" w:ascii="仿宋_GB2312" w:hAnsi="宋体" w:eastAsia="仿宋_GB2312" w:cs="宋体"/>
                <w:color w:val="000000"/>
                <w:sz w:val="28"/>
                <w:szCs w:val="28"/>
              </w:rPr>
              <w:t>万元，主要用于：乡镇农业服务工作正常运转的基本支出，包括基本工资、津贴补贴等人员经费以及办公费、印刷费、水电费等日常公用经费。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4</w:t>
            </w:r>
            <w:r>
              <w:rPr>
                <w:rFonts w:hint="eastAsia" w:ascii="仿宋_GB2312" w:hAnsi="宋体" w:eastAsia="仿宋_GB2312" w:cs="宋体"/>
                <w:b/>
                <w:color w:val="000000"/>
                <w:sz w:val="28"/>
                <w:szCs w:val="28"/>
              </w:rPr>
              <w:t>.农林水事务</w:t>
            </w:r>
            <w:r>
              <w:rPr>
                <w:rFonts w:hint="eastAsia" w:ascii="仿宋_GB2312" w:hAnsi="宋体" w:eastAsia="仿宋_GB2312" w:cs="宋体"/>
                <w:b/>
                <w:bCs/>
                <w:color w:val="000000"/>
                <w:sz w:val="28"/>
                <w:szCs w:val="28"/>
              </w:rPr>
              <w:t>（类）林业和</w:t>
            </w:r>
            <w:r>
              <w:rPr>
                <w:rFonts w:ascii="仿宋_GB2312" w:hAnsi="宋体" w:eastAsia="仿宋_GB2312" w:cs="宋体"/>
                <w:b/>
                <w:bCs/>
                <w:color w:val="000000"/>
                <w:sz w:val="28"/>
                <w:szCs w:val="28"/>
              </w:rPr>
              <w:t>草原</w:t>
            </w:r>
            <w:r>
              <w:rPr>
                <w:rFonts w:hint="eastAsia" w:ascii="仿宋_GB2312" w:hAnsi="宋体" w:eastAsia="仿宋_GB2312" w:cs="宋体"/>
                <w:b/>
                <w:bCs/>
                <w:color w:val="000000"/>
                <w:sz w:val="28"/>
                <w:szCs w:val="28"/>
              </w:rPr>
              <w:t>（款）林业事业机构（项）: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26.69</w:t>
            </w:r>
            <w:r>
              <w:rPr>
                <w:rFonts w:hint="eastAsia" w:ascii="仿宋_GB2312" w:hAnsi="宋体" w:eastAsia="仿宋_GB2312" w:cs="宋体"/>
                <w:color w:val="000000"/>
                <w:sz w:val="28"/>
                <w:szCs w:val="28"/>
              </w:rPr>
              <w:t>万元，主要用于：乡镇林业工作正常运转的基本支出，包括基本工资、津贴补贴等人员经费以及办公费、印刷费、水电费等日常公用经费。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5</w:t>
            </w:r>
            <w:r>
              <w:rPr>
                <w:rFonts w:hint="eastAsia" w:ascii="仿宋_GB2312" w:hAnsi="宋体" w:eastAsia="仿宋_GB2312" w:cs="宋体"/>
                <w:b/>
                <w:color w:val="000000"/>
                <w:sz w:val="28"/>
                <w:szCs w:val="28"/>
              </w:rPr>
              <w:t>.农林水事务</w:t>
            </w:r>
            <w:r>
              <w:rPr>
                <w:rFonts w:hint="eastAsia" w:ascii="仿宋_GB2312" w:hAnsi="宋体" w:eastAsia="仿宋_GB2312" w:cs="宋体"/>
                <w:b/>
                <w:bCs/>
                <w:color w:val="000000"/>
                <w:sz w:val="28"/>
                <w:szCs w:val="28"/>
              </w:rPr>
              <w:t>（类）水利（款）水利技术推广（项）: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12.96</w:t>
            </w:r>
            <w:r>
              <w:rPr>
                <w:rFonts w:hint="eastAsia" w:ascii="仿宋_GB2312" w:hAnsi="宋体" w:eastAsia="仿宋_GB2312" w:cs="宋体"/>
                <w:color w:val="000000"/>
                <w:sz w:val="28"/>
                <w:szCs w:val="28"/>
              </w:rPr>
              <w:t>万元，主要用于：乡镇水利工作正常运转的基本支出，包括基本工资、津贴补贴等人员经费以及办公费、印刷费、水电费等日常公用经费。</w:t>
            </w:r>
          </w:p>
          <w:p>
            <w:pPr>
              <w:widowControl/>
              <w:wordWrap w:val="0"/>
              <w:spacing w:line="480" w:lineRule="atLeast"/>
              <w:ind w:firstLine="562"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sz w:val="28"/>
                <w:szCs w:val="28"/>
                <w:lang w:val="en-US" w:eastAsia="zh-CN"/>
              </w:rPr>
              <w:t>6</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15.27</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万元，其中：</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173.83</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13.6</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eastAsia="仿宋_GB2312"/>
                <w:color w:val="000000"/>
                <w:sz w:val="28"/>
                <w:szCs w:val="28"/>
                <w:shd w:val="clear" w:color="auto" w:fill="FFFFFF"/>
                <w:lang w:eastAsia="zh-CN"/>
              </w:rPr>
              <w:t>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rPr>
              <w:t>枣林镇</w:t>
            </w:r>
            <w:r>
              <w:rPr>
                <w:rFonts w:ascii="仿宋_GB2312" w:eastAsia="仿宋_GB2312"/>
                <w:color w:val="000000"/>
                <w:sz w:val="28"/>
                <w:szCs w:val="28"/>
                <w:shd w:val="clear" w:color="auto" w:fill="FFFFFF"/>
              </w:rPr>
              <w:t>农业</w:t>
            </w:r>
            <w:r>
              <w:rPr>
                <w:rFonts w:hint="eastAsia" w:ascii="仿宋_GB2312" w:eastAsia="仿宋_GB2312"/>
                <w:color w:val="000000"/>
                <w:sz w:val="28"/>
                <w:szCs w:val="28"/>
                <w:shd w:val="clear" w:color="auto" w:fill="FFFFFF"/>
                <w:lang w:eastAsia="zh-CN"/>
              </w:rPr>
              <w:t>综合</w:t>
            </w:r>
            <w:r>
              <w:rPr>
                <w:rFonts w:hint="eastAsia" w:ascii="仿宋_GB2312" w:eastAsia="仿宋_GB2312"/>
                <w:color w:val="000000"/>
                <w:sz w:val="28"/>
                <w:szCs w:val="28"/>
                <w:shd w:val="clear" w:color="auto" w:fill="FFFFFF"/>
              </w:rPr>
              <w:t>服务</w:t>
            </w:r>
            <w:r>
              <w:rPr>
                <w:rFonts w:ascii="仿宋_GB2312" w:eastAsia="仿宋_GB2312"/>
                <w:color w:val="000000"/>
                <w:sz w:val="28"/>
                <w:szCs w:val="28"/>
                <w:shd w:val="clear" w:color="auto" w:fill="FFFFFF"/>
              </w:rPr>
              <w:t>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187.43</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0ZjhmMDI3ZjBjNzFkMmEyZjI2OTNhOWNkMjIyMTE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235117B"/>
    <w:rsid w:val="03511DE7"/>
    <w:rsid w:val="03B34D50"/>
    <w:rsid w:val="04DE656F"/>
    <w:rsid w:val="055C1DEF"/>
    <w:rsid w:val="05BB60CF"/>
    <w:rsid w:val="06142A89"/>
    <w:rsid w:val="062D64B9"/>
    <w:rsid w:val="06AD3979"/>
    <w:rsid w:val="06F71704"/>
    <w:rsid w:val="07860937"/>
    <w:rsid w:val="0928137D"/>
    <w:rsid w:val="09456E3F"/>
    <w:rsid w:val="0EA16566"/>
    <w:rsid w:val="13565E02"/>
    <w:rsid w:val="13A45D26"/>
    <w:rsid w:val="14E52F6F"/>
    <w:rsid w:val="153356F1"/>
    <w:rsid w:val="197F605F"/>
    <w:rsid w:val="1E6E5209"/>
    <w:rsid w:val="2084180D"/>
    <w:rsid w:val="21CF26B9"/>
    <w:rsid w:val="24FD6A66"/>
    <w:rsid w:val="25C1725E"/>
    <w:rsid w:val="281464C1"/>
    <w:rsid w:val="2999615E"/>
    <w:rsid w:val="2BF8129C"/>
    <w:rsid w:val="2DF1692B"/>
    <w:rsid w:val="30234671"/>
    <w:rsid w:val="313B7582"/>
    <w:rsid w:val="31605CA8"/>
    <w:rsid w:val="34374924"/>
    <w:rsid w:val="3EC15C43"/>
    <w:rsid w:val="44926DA4"/>
    <w:rsid w:val="469E44E4"/>
    <w:rsid w:val="49DB622F"/>
    <w:rsid w:val="4B98430A"/>
    <w:rsid w:val="4C5556DE"/>
    <w:rsid w:val="4DB72B71"/>
    <w:rsid w:val="534E090E"/>
    <w:rsid w:val="55041DAF"/>
    <w:rsid w:val="5B0C3143"/>
    <w:rsid w:val="5C115FCF"/>
    <w:rsid w:val="5C56504F"/>
    <w:rsid w:val="5F42098D"/>
    <w:rsid w:val="5F510A05"/>
    <w:rsid w:val="606C4D71"/>
    <w:rsid w:val="628374AF"/>
    <w:rsid w:val="674C1F03"/>
    <w:rsid w:val="68DE6AE2"/>
    <w:rsid w:val="690156B9"/>
    <w:rsid w:val="6947438A"/>
    <w:rsid w:val="6AAD2380"/>
    <w:rsid w:val="6B0D7367"/>
    <w:rsid w:val="71816E6E"/>
    <w:rsid w:val="721F06B4"/>
    <w:rsid w:val="72A87549"/>
    <w:rsid w:val="74676687"/>
    <w:rsid w:val="74F902A9"/>
    <w:rsid w:val="75A05F34"/>
    <w:rsid w:val="76A63F90"/>
    <w:rsid w:val="778262C8"/>
    <w:rsid w:val="79107F2C"/>
    <w:rsid w:val="7C701F99"/>
    <w:rsid w:val="7DCF1E5A"/>
    <w:rsid w:val="7E357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d03a4a5-82a1-4114-90ae-8998214f4909}"/>
        <w:style w:val=""/>
        <w:category>
          <w:name w:val="常规"/>
          <w:gallery w:val="placeholder"/>
        </w:category>
        <w:types>
          <w:type w:val="bbPlcHdr"/>
        </w:types>
        <w:behaviors>
          <w:behavior w:val="content"/>
        </w:behaviors>
        <w:description w:val=""/>
        <w:guid w:val="{1d03a4a5-82a1-4114-90ae-8998214f4909}"/>
      </w:docPartPr>
      <w:docPartBody>
        <w:p>
          <w:r>
            <w:rPr>
              <w:color w:val="808080"/>
            </w:rPr>
            <w:t>单击此处输入文字。</w:t>
          </w:r>
        </w:p>
      </w:docPartBody>
    </w:docPart>
    <w:docPart>
      <w:docPartPr>
        <w:name w:val="{4eccb63c-f5c7-4129-988c-911c80d88cba}"/>
        <w:style w:val=""/>
        <w:category>
          <w:name w:val="常规"/>
          <w:gallery w:val="placeholder"/>
        </w:category>
        <w:types>
          <w:type w:val="bbPlcHdr"/>
        </w:types>
        <w:behaviors>
          <w:behavior w:val="content"/>
        </w:behaviors>
        <w:description w:val=""/>
        <w:guid w:val="{4eccb63c-f5c7-4129-988c-911c80d88cba}"/>
      </w:docPartPr>
      <w:docPartBody>
        <w:p>
          <w:r>
            <w:rPr>
              <w:color w:val="808080"/>
            </w:rPr>
            <w:t>单击此处输入文字。</w:t>
          </w:r>
        </w:p>
      </w:docPartBody>
    </w:docPart>
    <w:docPart>
      <w:docPartPr>
        <w:name w:val="{39d28a6b-e4ee-4163-a38d-3d7745285dda}"/>
        <w:style w:val=""/>
        <w:category>
          <w:name w:val="常规"/>
          <w:gallery w:val="placeholder"/>
        </w:category>
        <w:types>
          <w:type w:val="bbPlcHdr"/>
        </w:types>
        <w:behaviors>
          <w:behavior w:val="content"/>
        </w:behaviors>
        <w:description w:val=""/>
        <w:guid w:val="{39d28a6b-e4ee-4163-a38d-3d7745285dda}"/>
      </w:docPartPr>
      <w:docPartBody>
        <w:p>
          <w:r>
            <w:rPr>
              <w:color w:val="808080"/>
            </w:rPr>
            <w:t>单击此处输入文字。</w:t>
          </w:r>
        </w:p>
      </w:docPartBody>
    </w:docPart>
    <w:docPart>
      <w:docPartPr>
        <w:name w:val="{509b097e-bfa3-4a54-a8b1-d6546e0591f4}"/>
        <w:style w:val=""/>
        <w:category>
          <w:name w:val="常规"/>
          <w:gallery w:val="placeholder"/>
        </w:category>
        <w:types>
          <w:type w:val="bbPlcHdr"/>
        </w:types>
        <w:behaviors>
          <w:behavior w:val="content"/>
        </w:behaviors>
        <w:description w:val=""/>
        <w:guid w:val="{509b097e-bfa3-4a54-a8b1-d6546e0591f4}"/>
      </w:docPartPr>
      <w:docPartBody>
        <w:p>
          <w:r>
            <w:rPr>
              <w:color w:val="808080"/>
            </w:rPr>
            <w:t>单击此处输入文字。</w:t>
          </w:r>
        </w:p>
      </w:docPartBody>
    </w:docPart>
    <w:docPart>
      <w:docPartPr>
        <w:name w:val="{1ce6ec9e-769f-42ce-acf9-460b66ce9212}"/>
        <w:style w:val=""/>
        <w:category>
          <w:name w:val="常规"/>
          <w:gallery w:val="placeholder"/>
        </w:category>
        <w:types>
          <w:type w:val="bbPlcHdr"/>
        </w:types>
        <w:behaviors>
          <w:behavior w:val="content"/>
        </w:behaviors>
        <w:description w:val=""/>
        <w:guid w:val="{1ce6ec9e-769f-42ce-acf9-460b66ce9212}"/>
      </w:docPartPr>
      <w:docPartBody>
        <w:p>
          <w:r>
            <w:rPr>
              <w:color w:val="808080"/>
            </w:rPr>
            <w:t>单击此处输入文字。</w:t>
          </w:r>
        </w:p>
      </w:docPartBody>
    </w:docPart>
    <w:docPart>
      <w:docPartPr>
        <w:name w:val="{4de9a6ac-97dc-4b56-9130-644bfb59d916}"/>
        <w:style w:val=""/>
        <w:category>
          <w:name w:val="常规"/>
          <w:gallery w:val="placeholder"/>
        </w:category>
        <w:types>
          <w:type w:val="bbPlcHdr"/>
        </w:types>
        <w:behaviors>
          <w:behavior w:val="content"/>
        </w:behaviors>
        <w:description w:val=""/>
        <w:guid w:val="{4de9a6ac-97dc-4b56-9130-644bfb59d916}"/>
      </w:docPartPr>
      <w:docPartBody>
        <w:p>
          <w:r>
            <w:rPr>
              <w:color w:val="808080"/>
            </w:rPr>
            <w:t>单击此处输入文字。</w:t>
          </w:r>
        </w:p>
      </w:docPartBody>
    </w:docPart>
    <w:docPart>
      <w:docPartPr>
        <w:name w:val="{af643d47-1eda-436e-b046-b8ba4ba57bfb}"/>
        <w:style w:val=""/>
        <w:category>
          <w:name w:val="常规"/>
          <w:gallery w:val="placeholder"/>
        </w:category>
        <w:types>
          <w:type w:val="bbPlcHdr"/>
        </w:types>
        <w:behaviors>
          <w:behavior w:val="content"/>
        </w:behaviors>
        <w:description w:val=""/>
        <w:guid w:val="{af643d47-1eda-436e-b046-b8ba4ba57bfb}"/>
      </w:docPartPr>
      <w:docPartBody>
        <w:p>
          <w:r>
            <w:rPr>
              <w:color w:val="808080"/>
            </w:rPr>
            <w:t>单击此处输入文字。</w:t>
          </w:r>
        </w:p>
      </w:docPartBody>
    </w:docPart>
    <w:docPart>
      <w:docPartPr>
        <w:name w:val="{1bccc877-a698-4829-9a55-16523c9fff57}"/>
        <w:style w:val=""/>
        <w:category>
          <w:name w:val="常规"/>
          <w:gallery w:val="placeholder"/>
        </w:category>
        <w:types>
          <w:type w:val="bbPlcHdr"/>
        </w:types>
        <w:behaviors>
          <w:behavior w:val="content"/>
        </w:behaviors>
        <w:description w:val=""/>
        <w:guid w:val="{1bccc877-a698-4829-9a55-16523c9fff57}"/>
      </w:docPartPr>
      <w:docPartBody>
        <w:p>
          <w:r>
            <w:rPr>
              <w:color w:val="808080"/>
            </w:rPr>
            <w:t>单击此处输入文字。</w:t>
          </w:r>
        </w:p>
      </w:docPartBody>
    </w:docPart>
    <w:docPart>
      <w:docPartPr>
        <w:name w:val="{f9a4fd5a-e2ef-4fd5-99e0-94e50ed35958}"/>
        <w:style w:val=""/>
        <w:category>
          <w:name w:val="常规"/>
          <w:gallery w:val="placeholder"/>
        </w:category>
        <w:types>
          <w:type w:val="bbPlcHdr"/>
        </w:types>
        <w:behaviors>
          <w:behavior w:val="content"/>
        </w:behaviors>
        <w:description w:val=""/>
        <w:guid w:val="{f9a4fd5a-e2ef-4fd5-99e0-94e50ed35958}"/>
      </w:docPartPr>
      <w:docPartBody>
        <w:p>
          <w:r>
            <w:rPr>
              <w:color w:val="808080"/>
            </w:rPr>
            <w:t>单击此处输入文字。</w:t>
          </w:r>
        </w:p>
      </w:docPartBody>
    </w:docPart>
    <w:docPart>
      <w:docPartPr>
        <w:name w:val="{01baf1e1-9dbc-49b7-a9c9-933bd215d387}"/>
        <w:style w:val=""/>
        <w:category>
          <w:name w:val="常规"/>
          <w:gallery w:val="placeholder"/>
        </w:category>
        <w:types>
          <w:type w:val="bbPlcHdr"/>
        </w:types>
        <w:behaviors>
          <w:behavior w:val="content"/>
        </w:behaviors>
        <w:description w:val=""/>
        <w:guid w:val="{01baf1e1-9dbc-49b7-a9c9-933bd215d387}"/>
      </w:docPartPr>
      <w:docPartBody>
        <w:p>
          <w:r>
            <w:rPr>
              <w:color w:val="808080"/>
            </w:rPr>
            <w:t>单击此处输入文字。</w:t>
          </w:r>
        </w:p>
      </w:docPartBody>
    </w:docPart>
    <w:docPart>
      <w:docPartPr>
        <w:name w:val="{81921d8e-e13c-4c9d-b343-55cea7e3c462}"/>
        <w:style w:val=""/>
        <w:category>
          <w:name w:val="常规"/>
          <w:gallery w:val="placeholder"/>
        </w:category>
        <w:types>
          <w:type w:val="bbPlcHdr"/>
        </w:types>
        <w:behaviors>
          <w:behavior w:val="content"/>
        </w:behaviors>
        <w:description w:val=""/>
        <w:guid w:val="{81921d8e-e13c-4c9d-b343-55cea7e3c462}"/>
      </w:docPartPr>
      <w:docPartBody>
        <w:p>
          <w:r>
            <w:rPr>
              <w:color w:val="808080"/>
            </w:rPr>
            <w:t>单击此处输入文字。</w:t>
          </w:r>
        </w:p>
      </w:docPartBody>
    </w:docPart>
    <w:docPart>
      <w:docPartPr>
        <w:name w:val="{78c3de9e-ba66-4e64-bcdd-5644ed6e1a9a}"/>
        <w:style w:val=""/>
        <w:category>
          <w:name w:val="常规"/>
          <w:gallery w:val="placeholder"/>
        </w:category>
        <w:types>
          <w:type w:val="bbPlcHdr"/>
        </w:types>
        <w:behaviors>
          <w:behavior w:val="content"/>
        </w:behaviors>
        <w:description w:val=""/>
        <w:guid w:val="{78c3de9e-ba66-4e64-bcdd-5644ed6e1a9a}"/>
      </w:docPartPr>
      <w:docPartBody>
        <w:p>
          <w:r>
            <w:rPr>
              <w:color w:val="808080"/>
            </w:rPr>
            <w:t>单击此处输入文字。</w:t>
          </w:r>
        </w:p>
      </w:docPartBody>
    </w:docPart>
    <w:docPart>
      <w:docPartPr>
        <w:name w:val="{91011a45-e656-48a5-bae9-4b41bab51617}"/>
        <w:style w:val=""/>
        <w:category>
          <w:name w:val="常规"/>
          <w:gallery w:val="placeholder"/>
        </w:category>
        <w:types>
          <w:type w:val="bbPlcHdr"/>
        </w:types>
        <w:behaviors>
          <w:behavior w:val="content"/>
        </w:behaviors>
        <w:description w:val=""/>
        <w:guid w:val="{91011a45-e656-48a5-bae9-4b41bab51617}"/>
      </w:docPartPr>
      <w:docPartBody>
        <w:p>
          <w:r>
            <w:rPr>
              <w:color w:val="808080"/>
            </w:rPr>
            <w:t>单击此处输入文字。</w:t>
          </w:r>
        </w:p>
      </w:docPartBody>
    </w:docPart>
    <w:docPart>
      <w:docPartPr>
        <w:name w:val="{a04e46cc-4745-487e-920a-401581072223}"/>
        <w:style w:val=""/>
        <w:category>
          <w:name w:val="常规"/>
          <w:gallery w:val="placeholder"/>
        </w:category>
        <w:types>
          <w:type w:val="bbPlcHdr"/>
        </w:types>
        <w:behaviors>
          <w:behavior w:val="content"/>
        </w:behaviors>
        <w:description w:val=""/>
        <w:guid w:val="{a04e46cc-4745-487e-920a-401581072223}"/>
      </w:docPartPr>
      <w:docPartBody>
        <w:p>
          <w:r>
            <w:rPr>
              <w:color w:val="808080"/>
            </w:rPr>
            <w:t>单击此处输入文字。</w:t>
          </w:r>
        </w:p>
      </w:docPartBody>
    </w:docPart>
    <w:docPart>
      <w:docPartPr>
        <w:name w:val="{2dac52f0-c63f-48e3-832f-6be60c0b8d61}"/>
        <w:style w:val=""/>
        <w:category>
          <w:name w:val="常规"/>
          <w:gallery w:val="placeholder"/>
        </w:category>
        <w:types>
          <w:type w:val="bbPlcHdr"/>
        </w:types>
        <w:behaviors>
          <w:behavior w:val="content"/>
        </w:behaviors>
        <w:description w:val=""/>
        <w:guid w:val="{2dac52f0-c63f-48e3-832f-6be60c0b8d61}"/>
      </w:docPartPr>
      <w:docPartBody>
        <w:p>
          <w:r>
            <w:rPr>
              <w:color w:val="808080"/>
            </w:rPr>
            <w:t>单击此处输入文字。</w:t>
          </w:r>
        </w:p>
      </w:docPartBody>
    </w:docPart>
    <w:docPart>
      <w:docPartPr>
        <w:name w:val="{79fd6fdc-1571-4dc1-ad77-017b5983ad3f}"/>
        <w:style w:val=""/>
        <w:category>
          <w:name w:val="常规"/>
          <w:gallery w:val="placeholder"/>
        </w:category>
        <w:types>
          <w:type w:val="bbPlcHdr"/>
        </w:types>
        <w:behaviors>
          <w:behavior w:val="content"/>
        </w:behaviors>
        <w:description w:val=""/>
        <w:guid w:val="{79fd6fdc-1571-4dc1-ad77-017b5983ad3f}"/>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4008</Words>
  <Characters>4259</Characters>
  <Lines>17</Lines>
  <Paragraphs>4</Paragraphs>
  <TotalTime>17</TotalTime>
  <ScaleCrop>false</ScaleCrop>
  <LinksUpToDate>false</LinksUpToDate>
  <CharactersWithSpaces>4445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Dell</cp:lastModifiedBy>
  <cp:lastPrinted>2020-07-02T03:02:00Z</cp:lastPrinted>
  <dcterms:modified xsi:type="dcterms:W3CDTF">2024-06-04T06:43:26Z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EDF54C732DF144889AE7190A6ADDA57B</vt:lpwstr>
  </property>
</Properties>
</file>