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401" w:type="dxa"/>
        <w:jc w:val="center"/>
        <w:tblCellSpacing w:w="0" w:type="dxa"/>
        <w:tblLayout w:type="autofit"/>
        <w:tblCellMar>
          <w:top w:w="0" w:type="dxa"/>
          <w:left w:w="0" w:type="dxa"/>
          <w:bottom w:w="0" w:type="dxa"/>
          <w:right w:w="0" w:type="dxa"/>
        </w:tblCellMar>
      </w:tblPr>
      <w:tblGrid>
        <w:gridCol w:w="8401"/>
      </w:tblGrid>
      <w:tr w14:paraId="218A9E06">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tcPr>
          <w:p w14:paraId="19D13D99">
            <w:pPr>
              <w:keepNext w:val="0"/>
              <w:keepLines w:val="0"/>
              <w:pageBreakBefore w:val="0"/>
              <w:widowControl/>
              <w:kinsoku/>
              <w:wordWrap w:val="0"/>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巴中市巴州区大茅坪镇人民政府财政所</w:t>
            </w:r>
          </w:p>
          <w:p w14:paraId="6118B859">
            <w:pPr>
              <w:keepNext w:val="0"/>
              <w:keepLines w:val="0"/>
              <w:pageBreakBefore w:val="0"/>
              <w:widowControl/>
              <w:kinsoku/>
              <w:wordWrap w:val="0"/>
              <w:overflowPunct/>
              <w:topLinePunct w:val="0"/>
              <w:autoSpaceDE/>
              <w:autoSpaceDN/>
              <w:bidi w:val="0"/>
              <w:adjustRightInd/>
              <w:snapToGrid/>
              <w:spacing w:line="600" w:lineRule="exact"/>
              <w:ind w:firstLine="883" w:firstLineChars="200"/>
              <w:jc w:val="center"/>
              <w:textAlignment w:val="auto"/>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2024年</w:t>
            </w:r>
            <w:r>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t>部门预算编制说明</w:t>
            </w:r>
          </w:p>
          <w:p w14:paraId="6960BDA5">
            <w:pPr>
              <w:keepNext w:val="0"/>
              <w:keepLines w:val="0"/>
              <w:widowControl w:val="0"/>
              <w:suppressLineNumbers w:val="0"/>
              <w:spacing w:before="0" w:beforeAutospacing="0" w:after="0" w:afterAutospacing="0"/>
              <w:ind w:right="0"/>
              <w:jc w:val="center"/>
              <w:rPr>
                <w:rFonts w:hint="eastAsia" w:ascii="仿宋" w:hAnsi="仿宋" w:eastAsia="仿宋" w:cs="仿宋"/>
                <w:b/>
                <w:bCs w:val="0"/>
                <w:sz w:val="84"/>
                <w:szCs w:val="84"/>
                <w:lang w:val="en-US"/>
              </w:rPr>
            </w:pPr>
            <w:r>
              <w:rPr>
                <w:rFonts w:hint="eastAsia" w:ascii="仿宋" w:hAnsi="仿宋" w:eastAsia="仿宋" w:cs="仿宋"/>
                <w:b/>
                <w:bCs w:val="0"/>
                <w:kern w:val="2"/>
                <w:sz w:val="84"/>
                <w:szCs w:val="84"/>
                <w:lang w:val="en-US" w:eastAsia="zh-CN" w:bidi="ar"/>
              </w:rPr>
              <w:t>目 录</w:t>
            </w:r>
          </w:p>
          <w:p w14:paraId="1787E713">
            <w:pPr>
              <w:keepNext w:val="0"/>
              <w:keepLines w:val="0"/>
              <w:widowControl w:val="0"/>
              <w:suppressLineNumbers w:val="0"/>
              <w:spacing w:before="0" w:beforeAutospacing="0" w:after="0" w:afterAutospacing="0"/>
              <w:ind w:left="0" w:right="0" w:firstLine="640" w:firstLineChars="200"/>
              <w:jc w:val="center"/>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kern w:val="2"/>
                <w:sz w:val="32"/>
                <w:szCs w:val="32"/>
                <w:lang w:val="en-US" w:eastAsia="zh-CN" w:bidi="ar"/>
              </w:rPr>
              <w:t>公开时间：2024年04月09日</w:t>
            </w:r>
          </w:p>
          <w:p w14:paraId="6C982E3D">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sz w:val="32"/>
                <w:szCs w:val="32"/>
                <w:lang w:val="en-US"/>
              </w:rPr>
            </w:pPr>
            <w:r>
              <w:rPr>
                <w:rFonts w:hint="eastAsia" w:ascii="方正黑体_GBK" w:hAnsi="方正黑体_GBK" w:eastAsia="方正黑体_GBK" w:cs="方正黑体_GBK"/>
                <w:b/>
                <w:bCs w:val="0"/>
                <w:kern w:val="2"/>
                <w:sz w:val="32"/>
                <w:szCs w:val="32"/>
                <w:lang w:val="en-US" w:eastAsia="zh-CN" w:bidi="ar"/>
              </w:rPr>
              <w:t>第一部分 正文</w:t>
            </w:r>
          </w:p>
          <w:p w14:paraId="2472FA13">
            <w:pPr>
              <w:keepNext w:val="0"/>
              <w:keepLines w:val="0"/>
              <w:widowControl w:val="0"/>
              <w:suppressLineNumbers w:val="0"/>
              <w:spacing w:before="0" w:beforeAutospacing="0" w:after="0" w:afterAutospacing="0"/>
              <w:ind w:left="0" w:right="0" w:firstLine="640" w:firstLineChars="200"/>
              <w:jc w:val="both"/>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一、基本职能及主要工作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…………………………02</w:t>
            </w:r>
          </w:p>
          <w:p w14:paraId="66CF8F37">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……………………………02</w:t>
            </w:r>
          </w:p>
          <w:p w14:paraId="18AEF6EE">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三、收支预算情况说明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……………………………02</w:t>
            </w:r>
          </w:p>
          <w:p w14:paraId="407E1400">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四、财政拨款收支预算情况说明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…………………03</w:t>
            </w:r>
          </w:p>
          <w:p w14:paraId="1220E54B">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五、一般公共预算当年拨款情况说明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……………03</w:t>
            </w:r>
          </w:p>
          <w:p w14:paraId="3F323012">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六、一般公共预算基本支出情况说明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……………05</w:t>
            </w:r>
          </w:p>
          <w:p w14:paraId="001675D6">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七、“三公”经费财政拨款预算安排情况说明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…05</w:t>
            </w:r>
          </w:p>
          <w:p w14:paraId="51CFFC0D">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八、政府性基金预算支出情况说明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………………05</w:t>
            </w:r>
          </w:p>
          <w:p w14:paraId="4E4EB63F">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……………………05</w:t>
            </w:r>
          </w:p>
          <w:p w14:paraId="2A106FE6">
            <w:pPr>
              <w:keepNext w:val="0"/>
              <w:keepLines w:val="0"/>
              <w:widowControl w:val="0"/>
              <w:suppressLineNumbers w:val="0"/>
              <w:spacing w:before="0" w:beforeAutospacing="0" w:after="0" w:afterAutospacing="0"/>
              <w:ind w:left="0" w:right="0" w:firstLine="643" w:firstLineChars="200"/>
              <w:jc w:val="both"/>
              <w:rPr>
                <w:rFonts w:hint="default" w:ascii="方正仿宋_GBK" w:hAnsi="方正仿宋_GBK" w:eastAsia="方正仿宋_GBK" w:cs="方正仿宋_GBK"/>
                <w:bCs/>
                <w:color w:val="000000"/>
                <w:kern w:val="0"/>
                <w:sz w:val="32"/>
                <w:szCs w:val="32"/>
                <w:lang w:val="en-US" w:eastAsia="zh-CN" w:bidi="ar"/>
              </w:rPr>
            </w:pPr>
            <w:r>
              <w:rPr>
                <w:rFonts w:hint="eastAsia" w:ascii="方正黑体_GBK" w:hAnsi="方正黑体_GBK" w:eastAsia="方正黑体_GBK" w:cs="方正黑体_GBK"/>
                <w:b/>
                <w:bCs w:val="0"/>
                <w:kern w:val="2"/>
                <w:sz w:val="32"/>
                <w:szCs w:val="32"/>
                <w:lang w:val="en-US" w:eastAsia="zh-CN" w:bidi="ar"/>
              </w:rPr>
              <w:t xml:space="preserve">第二部分 附件 </w:t>
            </w:r>
            <w:r>
              <w:rPr>
                <w:rFonts w:hint="eastAsia" w:ascii="方正仿宋_GBK" w:hAnsi="方正仿宋_GBK" w:eastAsia="方正仿宋_GBK" w:cs="方正仿宋_GBK"/>
                <w:bCs/>
                <w:color w:val="000000"/>
                <w:kern w:val="0"/>
                <w:sz w:val="32"/>
                <w:szCs w:val="32"/>
                <w:lang w:val="en-US" w:eastAsia="zh-CN" w:bidi="ar"/>
              </w:rPr>
              <w:t>《2024年部门预算公开报表》</w:t>
            </w:r>
          </w:p>
          <w:p w14:paraId="0E79DA17">
            <w:pPr>
              <w:ind w:firstLine="640" w:firstLineChars="200"/>
              <w:rPr>
                <w:rFonts w:hint="eastAsia" w:ascii="Times New Roman" w:hAnsi="Times New Roman" w:eastAsia="方正黑体_GBK" w:cs="Times New Roman"/>
                <w:color w:val="000000" w:themeColor="text1"/>
                <w:kern w:val="0"/>
                <w:sz w:val="32"/>
                <w:szCs w:val="32"/>
                <w:lang w:eastAsia="zh-CN"/>
                <w14:textFill>
                  <w14:solidFill>
                    <w14:schemeClr w14:val="tx1"/>
                  </w14:solidFill>
                </w14:textFill>
              </w:rPr>
            </w:pPr>
            <w:r>
              <w:rPr>
                <w:rFonts w:hint="eastAsia" w:ascii="Times New Roman" w:hAnsi="Times New Roman" w:eastAsia="方正黑体_GBK" w:cs="Times New Roman"/>
                <w:color w:val="000000" w:themeColor="text1"/>
                <w:kern w:val="0"/>
                <w:sz w:val="32"/>
                <w:szCs w:val="32"/>
                <w:lang w:eastAsia="zh-CN"/>
                <w14:textFill>
                  <w14:solidFill>
                    <w14:schemeClr w14:val="tx1"/>
                  </w14:solidFill>
                </w14:textFill>
              </w:rPr>
              <w:t>一、</w:t>
            </w:r>
            <w:r>
              <w:rPr>
                <w:rFonts w:hint="default" w:ascii="Times New Roman" w:hAnsi="Times New Roman" w:eastAsia="方正黑体_GBK" w:cs="Times New Roman"/>
                <w:color w:val="000000" w:themeColor="text1"/>
                <w:kern w:val="0"/>
                <w:sz w:val="32"/>
                <w:szCs w:val="32"/>
                <w14:textFill>
                  <w14:solidFill>
                    <w14:schemeClr w14:val="tx1"/>
                  </w14:solidFill>
                </w14:textFill>
              </w:rPr>
              <w:t>基本职能及主要工作</w:t>
            </w:r>
          </w:p>
          <w:p w14:paraId="2D48F226">
            <w:pPr>
              <w:keepNext w:val="0"/>
              <w:keepLines w:val="0"/>
              <w:widowControl w:val="0"/>
              <w:suppressLineNumbers w:val="0"/>
              <w:spacing w:before="0" w:beforeAutospacing="0" w:after="0" w:afterAutospacing="0"/>
              <w:ind w:left="0" w:right="0" w:firstLine="640" w:firstLineChars="200"/>
              <w:jc w:val="both"/>
              <w:rPr>
                <w:rFonts w:hint="default"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（一）基本职能</w:t>
            </w:r>
          </w:p>
          <w:p w14:paraId="28679D4D">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Cs/>
                <w:color w:val="000000"/>
                <w:kern w:val="0"/>
                <w:sz w:val="32"/>
                <w:szCs w:val="32"/>
                <w:lang w:val="en-US" w:eastAsia="zh-CN" w:bidi="ar"/>
              </w:rPr>
            </w:pPr>
            <w:r>
              <w:rPr>
                <w:rFonts w:hint="eastAsia" w:ascii="方正仿宋_GBK" w:hAnsi="方正仿宋_GBK" w:eastAsia="方正仿宋_GBK" w:cs="方正仿宋_GBK"/>
                <w:bCs/>
                <w:color w:val="000000"/>
                <w:kern w:val="0"/>
                <w:sz w:val="32"/>
                <w:szCs w:val="32"/>
                <w:lang w:val="en-US" w:eastAsia="zh-CN" w:bidi="ar"/>
              </w:rPr>
              <w:t>负责贯彻执行各类财经纪律规定；负责编报本级财政预算、决算并严格执行；负责财政收支、资产管理、审计等工作；负责按有关政策筹集、管理、分配本级财政预算内、外资金，并对其使用过程实施财政监督；负责管理辖区国有资产和政府性债权债务；指导、监督行政事业单位财务管理；督导财务信息公开；负责政府采购：协助税务机关和非税收入执收部门征缴财政收入；负责农村土地流转、集体资产的监督管理和集体经济收入核实等工作；负责村级财务管理，组织开展村级财务审计任期和离任经济责任审计，确保村组集体资金的安全和保值增值；负责辖区内财务公开及村（居）财务人员管理；负责辖区农民负担管理工作，落实减轻农民负担有关政策；完成党委、政府交办的其他任务。</w:t>
            </w:r>
          </w:p>
          <w:p w14:paraId="43C6A276">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Cs/>
                <w:color w:val="000000"/>
                <w:kern w:val="0"/>
                <w:sz w:val="32"/>
                <w:szCs w:val="32"/>
                <w:lang w:val="en-US" w:eastAsia="zh-CN" w:bidi="ar"/>
              </w:rPr>
            </w:pPr>
            <w:r>
              <w:rPr>
                <w:rFonts w:hint="eastAsia" w:ascii="方正仿宋_GBK" w:hAnsi="方正仿宋_GBK" w:eastAsia="方正仿宋_GBK" w:cs="方正仿宋_GBK"/>
                <w:bCs/>
                <w:color w:val="000000"/>
                <w:kern w:val="0"/>
                <w:sz w:val="32"/>
                <w:szCs w:val="32"/>
                <w:lang w:val="en-US" w:eastAsia="zh-CN" w:bidi="ar"/>
              </w:rPr>
              <w:t>大茅坪镇财政所2024年</w:t>
            </w:r>
            <w:r>
              <w:rPr>
                <w:rFonts w:hint="default" w:ascii="方正仿宋_GBK" w:hAnsi="方正仿宋_GBK" w:eastAsia="方正仿宋_GBK" w:cs="方正仿宋_GBK"/>
                <w:bCs/>
                <w:color w:val="000000"/>
                <w:kern w:val="0"/>
                <w:sz w:val="32"/>
                <w:szCs w:val="32"/>
                <w:lang w:val="en-US" w:eastAsia="zh-CN" w:bidi="ar"/>
              </w:rPr>
              <w:t>重点工作</w:t>
            </w:r>
            <w:r>
              <w:rPr>
                <w:rFonts w:hint="eastAsia" w:ascii="方正仿宋_GBK" w:hAnsi="方正仿宋_GBK" w:eastAsia="方正仿宋_GBK" w:cs="方正仿宋_GBK"/>
                <w:bCs/>
                <w:color w:val="000000"/>
                <w:kern w:val="0"/>
                <w:sz w:val="32"/>
                <w:szCs w:val="32"/>
                <w:lang w:val="en-US" w:eastAsia="zh-CN" w:bidi="ar"/>
              </w:rPr>
              <w:t>：</w:t>
            </w:r>
          </w:p>
          <w:p w14:paraId="46F3D591">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Cs/>
                <w:color w:val="000000"/>
                <w:kern w:val="0"/>
                <w:sz w:val="32"/>
                <w:szCs w:val="32"/>
                <w:lang w:val="en-US" w:eastAsia="zh-CN" w:bidi="ar"/>
              </w:rPr>
            </w:pPr>
            <w:r>
              <w:rPr>
                <w:rFonts w:hint="eastAsia" w:ascii="方正仿宋_GBK" w:hAnsi="方正仿宋_GBK" w:eastAsia="方正仿宋_GBK" w:cs="方正仿宋_GBK"/>
                <w:bCs/>
                <w:color w:val="000000"/>
                <w:kern w:val="0"/>
                <w:sz w:val="32"/>
                <w:szCs w:val="32"/>
                <w:lang w:val="en-US" w:eastAsia="zh-CN" w:bidi="ar"/>
              </w:rPr>
              <w:t>（一）深化预算绩效管理。（二）扎实推进预决算信息公开。（三）加强会计管理。（四）强化镇村财务管理。（五）深入推进党风廉政建设。</w:t>
            </w:r>
          </w:p>
          <w:p w14:paraId="5CEB5124">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3B4AA18F">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巴州区大茅坪镇</w:t>
            </w:r>
            <w:r>
              <w:rPr>
                <w:rFonts w:hint="eastAsia" w:ascii="方正仿宋_GBK" w:hAnsi="方正仿宋_GBK" w:eastAsia="方正仿宋_GBK" w:cs="方正仿宋_GBK"/>
                <w:bCs/>
                <w:color w:val="000000"/>
                <w:kern w:val="0"/>
                <w:sz w:val="32"/>
                <w:szCs w:val="32"/>
                <w:lang w:val="en-US" w:eastAsia="zh-CN" w:bidi="ar"/>
              </w:rPr>
              <w:t>人民政府财政所是大茅坪镇独立预算的二级单位，没有下级单位。</w:t>
            </w:r>
          </w:p>
          <w:p w14:paraId="563DA508">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70054FF8">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按照综合预算的原则，大茅坪镇人民政府</w:t>
            </w:r>
            <w:r>
              <w:rPr>
                <w:rFonts w:hint="eastAsia" w:ascii="方正仿宋_GBK" w:hAnsi="方正仿宋_GBK" w:eastAsia="方正仿宋_GBK" w:cs="方正仿宋_GBK"/>
                <w:bCs/>
                <w:color w:val="000000"/>
                <w:kern w:val="0"/>
                <w:sz w:val="32"/>
                <w:szCs w:val="32"/>
                <w:lang w:val="en-US" w:eastAsia="zh-CN" w:bidi="ar"/>
              </w:rPr>
              <w:t>财政所</w:t>
            </w:r>
            <w:r>
              <w:rPr>
                <w:rFonts w:hint="default" w:ascii="方正仿宋_GBK" w:hAnsi="方正仿宋_GBK" w:eastAsia="方正仿宋_GBK" w:cs="方正仿宋_GBK"/>
                <w:bCs/>
                <w:color w:val="000000"/>
                <w:kern w:val="0"/>
                <w:sz w:val="32"/>
                <w:szCs w:val="32"/>
                <w:lang w:val="en-US" w:eastAsia="zh-CN" w:bidi="ar"/>
              </w:rPr>
              <w:t>所有收入和支出均纳入部门预算管理。收入包括：一般公共预算拨款收入、上年结转；支出包括：一般公共服务支出、社会保障和就业支出、医疗卫生与计划生育支出、住房保障支出。大茅坪镇人民政府</w:t>
            </w: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收支总预算</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w:t>
            </w:r>
          </w:p>
          <w:p w14:paraId="26EE107A">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4A5C951E">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收入预算</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万元，其中：一般公共预算拨款收入</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万元，占100 %。</w:t>
            </w:r>
          </w:p>
          <w:p w14:paraId="34EDA943">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14712173">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 xml:space="preserve">支出预算 </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万元，其中：基本支出</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100</w:t>
            </w:r>
            <w:r>
              <w:rPr>
                <w:rFonts w:hint="default" w:ascii="方正仿宋_GBK" w:hAnsi="方正仿宋_GBK" w:eastAsia="方正仿宋_GBK" w:cs="方正仿宋_GBK"/>
                <w:bCs/>
                <w:color w:val="000000"/>
                <w:kern w:val="0"/>
                <w:sz w:val="32"/>
                <w:szCs w:val="32"/>
                <w:lang w:val="en-US" w:eastAsia="zh-CN" w:bidi="ar"/>
              </w:rPr>
              <w:t>%。</w:t>
            </w:r>
          </w:p>
          <w:p w14:paraId="1790558F">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705DC736">
            <w:pPr>
              <w:ind w:firstLine="640" w:firstLineChars="200"/>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财政拨款收支总预算</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万元。收入包括：本年一般公共预算拨款收入</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万元；支出包括：一般公共服务支出</w:t>
            </w:r>
            <w:r>
              <w:rPr>
                <w:rFonts w:hint="eastAsia" w:ascii="方正仿宋_GBK" w:hAnsi="方正仿宋_GBK" w:eastAsia="方正仿宋_GBK" w:cs="方正仿宋_GBK"/>
                <w:bCs/>
                <w:color w:val="000000"/>
                <w:kern w:val="0"/>
                <w:sz w:val="32"/>
                <w:szCs w:val="32"/>
                <w:lang w:val="en-US" w:eastAsia="zh-CN" w:bidi="ar"/>
              </w:rPr>
              <w:t>73.86</w:t>
            </w:r>
            <w:r>
              <w:rPr>
                <w:rFonts w:hint="default" w:ascii="方正仿宋_GBK" w:hAnsi="方正仿宋_GBK" w:eastAsia="方正仿宋_GBK" w:cs="方正仿宋_GBK"/>
                <w:bCs/>
                <w:color w:val="000000"/>
                <w:kern w:val="0"/>
                <w:sz w:val="32"/>
                <w:szCs w:val="32"/>
                <w:lang w:val="en-US" w:eastAsia="zh-CN" w:bidi="ar"/>
              </w:rPr>
              <w:t>万元、社会保障和就业支出</w:t>
            </w:r>
            <w:r>
              <w:rPr>
                <w:rFonts w:hint="eastAsia" w:ascii="方正仿宋_GBK" w:hAnsi="方正仿宋_GBK" w:eastAsia="方正仿宋_GBK" w:cs="方正仿宋_GBK"/>
                <w:bCs/>
                <w:color w:val="000000"/>
                <w:kern w:val="0"/>
                <w:sz w:val="32"/>
                <w:szCs w:val="32"/>
                <w:lang w:val="en-US" w:eastAsia="zh-CN" w:bidi="ar"/>
              </w:rPr>
              <w:t>8.84</w:t>
            </w:r>
            <w:r>
              <w:rPr>
                <w:rFonts w:hint="default" w:ascii="方正仿宋_GBK" w:hAnsi="方正仿宋_GBK" w:eastAsia="方正仿宋_GBK" w:cs="方正仿宋_GBK"/>
                <w:bCs/>
                <w:color w:val="000000"/>
                <w:kern w:val="0"/>
                <w:sz w:val="32"/>
                <w:szCs w:val="32"/>
                <w:lang w:val="en-US" w:eastAsia="zh-CN" w:bidi="ar"/>
              </w:rPr>
              <w:t>万元、</w:t>
            </w:r>
            <w:r>
              <w:rPr>
                <w:rFonts w:hint="eastAsia" w:ascii="方正仿宋_GBK" w:hAnsi="方正仿宋_GBK" w:eastAsia="方正仿宋_GBK" w:cs="方正仿宋_GBK"/>
                <w:bCs/>
                <w:color w:val="000000"/>
                <w:kern w:val="0"/>
                <w:sz w:val="32"/>
                <w:szCs w:val="32"/>
                <w:lang w:val="en-US" w:eastAsia="zh-CN" w:bidi="ar"/>
              </w:rPr>
              <w:t>卫生健康</w:t>
            </w:r>
            <w:r>
              <w:rPr>
                <w:rFonts w:hint="default" w:ascii="方正仿宋_GBK" w:hAnsi="方正仿宋_GBK" w:eastAsia="方正仿宋_GBK" w:cs="方正仿宋_GBK"/>
                <w:bCs/>
                <w:color w:val="000000"/>
                <w:kern w:val="0"/>
                <w:sz w:val="32"/>
                <w:szCs w:val="32"/>
                <w:lang w:val="en-US" w:eastAsia="zh-CN" w:bidi="ar"/>
              </w:rPr>
              <w:t>支出</w:t>
            </w:r>
            <w:r>
              <w:rPr>
                <w:rFonts w:hint="eastAsia" w:ascii="方正仿宋_GBK" w:hAnsi="方正仿宋_GBK" w:eastAsia="方正仿宋_GBK" w:cs="方正仿宋_GBK"/>
                <w:bCs/>
                <w:color w:val="000000"/>
                <w:kern w:val="0"/>
                <w:sz w:val="32"/>
                <w:szCs w:val="32"/>
                <w:lang w:val="en-US" w:eastAsia="zh-CN" w:bidi="ar"/>
              </w:rPr>
              <w:t>4.06</w:t>
            </w:r>
            <w:r>
              <w:rPr>
                <w:rFonts w:hint="default" w:ascii="方正仿宋_GBK" w:hAnsi="方正仿宋_GBK" w:eastAsia="方正仿宋_GBK" w:cs="方正仿宋_GBK"/>
                <w:bCs/>
                <w:color w:val="000000"/>
                <w:kern w:val="0"/>
                <w:sz w:val="32"/>
                <w:szCs w:val="32"/>
                <w:lang w:val="en-US" w:eastAsia="zh-CN" w:bidi="ar"/>
              </w:rPr>
              <w:t>万元、住房保障支出</w:t>
            </w:r>
            <w:r>
              <w:rPr>
                <w:rFonts w:hint="eastAsia" w:ascii="方正仿宋_GBK" w:hAnsi="方正仿宋_GBK" w:eastAsia="方正仿宋_GBK" w:cs="方正仿宋_GBK"/>
                <w:bCs/>
                <w:color w:val="000000"/>
                <w:kern w:val="0"/>
                <w:sz w:val="32"/>
                <w:szCs w:val="32"/>
                <w:lang w:val="en-US" w:eastAsia="zh-CN" w:bidi="ar"/>
              </w:rPr>
              <w:t>7.46</w:t>
            </w:r>
            <w:r>
              <w:rPr>
                <w:rFonts w:hint="default" w:ascii="方正仿宋_GBK" w:hAnsi="方正仿宋_GBK" w:eastAsia="方正仿宋_GBK" w:cs="方正仿宋_GBK"/>
                <w:bCs/>
                <w:color w:val="000000"/>
                <w:kern w:val="0"/>
                <w:sz w:val="32"/>
                <w:szCs w:val="32"/>
                <w:lang w:val="en-US" w:eastAsia="zh-CN" w:bidi="ar"/>
              </w:rPr>
              <w:t>万元。</w:t>
            </w:r>
          </w:p>
          <w:p w14:paraId="10E0E398">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3CB056AB">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5BF839D3">
            <w:pPr>
              <w:ind w:firstLine="640" w:firstLineChars="200"/>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一般公共预算当年拨款</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万元，比</w:t>
            </w:r>
            <w:r>
              <w:rPr>
                <w:rFonts w:hint="eastAsia" w:ascii="方正仿宋_GBK" w:hAnsi="方正仿宋_GBK" w:eastAsia="方正仿宋_GBK" w:cs="方正仿宋_GBK"/>
                <w:bCs/>
                <w:color w:val="000000"/>
                <w:kern w:val="0"/>
                <w:sz w:val="32"/>
                <w:szCs w:val="32"/>
                <w:lang w:val="en-US" w:eastAsia="zh-CN" w:bidi="ar"/>
              </w:rPr>
              <w:t>2023年92.26</w:t>
            </w:r>
            <w:r>
              <w:rPr>
                <w:rFonts w:hint="default" w:ascii="方正仿宋_GBK" w:hAnsi="方正仿宋_GBK" w:eastAsia="方正仿宋_GBK" w:cs="方正仿宋_GBK"/>
                <w:bCs/>
                <w:color w:val="000000"/>
                <w:kern w:val="0"/>
                <w:sz w:val="32"/>
                <w:szCs w:val="32"/>
                <w:lang w:val="en-US" w:eastAsia="zh-CN" w:bidi="ar"/>
              </w:rPr>
              <w:t>万元的预算数</w:t>
            </w:r>
            <w:r>
              <w:rPr>
                <w:rFonts w:hint="eastAsia" w:ascii="方正仿宋_GBK" w:hAnsi="方正仿宋_GBK" w:eastAsia="方正仿宋_GBK" w:cs="方正仿宋_GBK"/>
                <w:bCs/>
                <w:color w:val="000000"/>
                <w:kern w:val="0"/>
                <w:sz w:val="32"/>
                <w:szCs w:val="32"/>
                <w:lang w:val="en-US" w:eastAsia="zh-CN" w:bidi="ar"/>
              </w:rPr>
              <w:t>增加</w:t>
            </w:r>
            <w:r>
              <w:rPr>
                <w:rFonts w:hint="default" w:ascii="方正仿宋_GBK" w:hAnsi="方正仿宋_GBK" w:eastAsia="方正仿宋_GBK" w:cs="方正仿宋_GBK"/>
                <w:bCs/>
                <w:color w:val="000000"/>
                <w:kern w:val="0"/>
                <w:sz w:val="32"/>
                <w:szCs w:val="32"/>
                <w:lang w:val="en-US" w:eastAsia="zh-CN" w:bidi="ar"/>
              </w:rPr>
              <w:t>了</w:t>
            </w:r>
            <w:r>
              <w:rPr>
                <w:rFonts w:hint="eastAsia" w:ascii="方正仿宋_GBK" w:hAnsi="方正仿宋_GBK" w:eastAsia="方正仿宋_GBK" w:cs="方正仿宋_GBK"/>
                <w:bCs/>
                <w:color w:val="000000"/>
                <w:kern w:val="0"/>
                <w:sz w:val="32"/>
                <w:szCs w:val="32"/>
                <w:lang w:val="en-US" w:eastAsia="zh-CN" w:bidi="ar"/>
              </w:rPr>
              <w:t>1.96</w:t>
            </w:r>
            <w:r>
              <w:rPr>
                <w:rFonts w:hint="default" w:ascii="方正仿宋_GBK" w:hAnsi="方正仿宋_GBK" w:eastAsia="方正仿宋_GBK" w:cs="方正仿宋_GBK"/>
                <w:bCs/>
                <w:color w:val="000000"/>
                <w:kern w:val="0"/>
                <w:sz w:val="32"/>
                <w:szCs w:val="32"/>
                <w:lang w:val="en-US" w:eastAsia="zh-CN" w:bidi="ar"/>
              </w:rPr>
              <w:t>万元。</w:t>
            </w:r>
            <w:r>
              <w:rPr>
                <w:rFonts w:hint="eastAsia" w:ascii="方正仿宋_GBK" w:hAnsi="方正仿宋_GBK" w:eastAsia="方正仿宋_GBK" w:cs="方正仿宋_GBK"/>
                <w:bCs/>
                <w:color w:val="000000"/>
                <w:kern w:val="0"/>
                <w:sz w:val="32"/>
                <w:szCs w:val="32"/>
                <w:lang w:val="en-US" w:eastAsia="zh-CN" w:bidi="ar"/>
              </w:rPr>
              <w:t>原因</w:t>
            </w:r>
            <w:r>
              <w:rPr>
                <w:rFonts w:hint="default" w:ascii="方正仿宋_GBK" w:hAnsi="方正仿宋_GBK" w:eastAsia="方正仿宋_GBK" w:cs="方正仿宋_GBK"/>
                <w:bCs/>
                <w:color w:val="000000"/>
                <w:kern w:val="0"/>
                <w:sz w:val="32"/>
                <w:szCs w:val="32"/>
                <w:lang w:val="en-US" w:eastAsia="zh-CN" w:bidi="ar"/>
              </w:rPr>
              <w:t>主要是</w:t>
            </w:r>
            <w:r>
              <w:rPr>
                <w:rFonts w:hint="eastAsia" w:ascii="方正仿宋_GBK" w:hAnsi="方正仿宋_GBK" w:eastAsia="方正仿宋_GBK" w:cs="方正仿宋_GBK"/>
                <w:bCs/>
                <w:color w:val="000000"/>
                <w:kern w:val="0"/>
                <w:sz w:val="32"/>
                <w:szCs w:val="32"/>
                <w:lang w:val="en-US" w:eastAsia="zh-CN" w:bidi="ar"/>
              </w:rPr>
              <w:t>人员职称、职级发生变化正常增资形成的</w:t>
            </w:r>
            <w:r>
              <w:rPr>
                <w:rFonts w:hint="default" w:ascii="方正仿宋_GBK" w:hAnsi="方正仿宋_GBK" w:eastAsia="方正仿宋_GBK" w:cs="方正仿宋_GBK"/>
                <w:bCs/>
                <w:color w:val="000000"/>
                <w:kern w:val="0"/>
                <w:sz w:val="32"/>
                <w:szCs w:val="32"/>
                <w:lang w:val="en-US" w:eastAsia="zh-CN" w:bidi="ar"/>
              </w:rPr>
              <w:t>。</w:t>
            </w:r>
          </w:p>
          <w:p w14:paraId="6046BED4">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2D84CBFA">
            <w:pPr>
              <w:ind w:firstLine="640" w:firstLineChars="200"/>
              <w:rPr>
                <w:rFonts w:hint="default"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一般公共服务支出</w:t>
            </w:r>
            <w:r>
              <w:rPr>
                <w:rFonts w:hint="eastAsia" w:ascii="方正仿宋_GBK" w:hAnsi="方正仿宋_GBK" w:eastAsia="方正仿宋_GBK" w:cs="方正仿宋_GBK"/>
                <w:bCs/>
                <w:color w:val="000000"/>
                <w:kern w:val="0"/>
                <w:sz w:val="32"/>
                <w:szCs w:val="32"/>
                <w:lang w:val="en-US" w:eastAsia="zh-CN" w:bidi="ar"/>
              </w:rPr>
              <w:t>73.86</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78.39</w:t>
            </w:r>
            <w:r>
              <w:rPr>
                <w:rFonts w:hint="default" w:ascii="方正仿宋_GBK" w:hAnsi="方正仿宋_GBK" w:eastAsia="方正仿宋_GBK" w:cs="方正仿宋_GBK"/>
                <w:bCs/>
                <w:color w:val="000000"/>
                <w:kern w:val="0"/>
                <w:sz w:val="32"/>
                <w:szCs w:val="32"/>
                <w:lang w:val="en-US" w:eastAsia="zh-CN" w:bidi="ar"/>
              </w:rPr>
              <w:t>%；社会保障和就业支出</w:t>
            </w:r>
            <w:r>
              <w:rPr>
                <w:rFonts w:hint="eastAsia" w:ascii="方正仿宋_GBK" w:hAnsi="方正仿宋_GBK" w:eastAsia="方正仿宋_GBK" w:cs="方正仿宋_GBK"/>
                <w:bCs/>
                <w:color w:val="000000"/>
                <w:kern w:val="0"/>
                <w:sz w:val="32"/>
                <w:szCs w:val="32"/>
                <w:lang w:val="en-US" w:eastAsia="zh-CN" w:bidi="ar"/>
              </w:rPr>
              <w:t>8.84</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9.38</w:t>
            </w:r>
            <w:r>
              <w:rPr>
                <w:rFonts w:hint="default" w:ascii="方正仿宋_GBK" w:hAnsi="方正仿宋_GBK" w:eastAsia="方正仿宋_GBK" w:cs="方正仿宋_GBK"/>
                <w:bCs/>
                <w:color w:val="000000"/>
                <w:kern w:val="0"/>
                <w:sz w:val="32"/>
                <w:szCs w:val="32"/>
                <w:lang w:val="en-US" w:eastAsia="zh-CN" w:bidi="ar"/>
              </w:rPr>
              <w:t>%；</w:t>
            </w:r>
            <w:r>
              <w:rPr>
                <w:rFonts w:hint="eastAsia" w:ascii="方正仿宋_GBK" w:hAnsi="方正仿宋_GBK" w:eastAsia="方正仿宋_GBK" w:cs="方正仿宋_GBK"/>
                <w:bCs/>
                <w:color w:val="000000"/>
                <w:kern w:val="0"/>
                <w:sz w:val="32"/>
                <w:szCs w:val="32"/>
                <w:lang w:val="en-US" w:eastAsia="zh-CN" w:bidi="ar"/>
              </w:rPr>
              <w:t>卫生健康</w:t>
            </w:r>
            <w:r>
              <w:rPr>
                <w:rFonts w:hint="default" w:ascii="方正仿宋_GBK" w:hAnsi="方正仿宋_GBK" w:eastAsia="方正仿宋_GBK" w:cs="方正仿宋_GBK"/>
                <w:bCs/>
                <w:color w:val="000000"/>
                <w:kern w:val="0"/>
                <w:sz w:val="32"/>
                <w:szCs w:val="32"/>
                <w:lang w:val="en-US" w:eastAsia="zh-CN" w:bidi="ar"/>
              </w:rPr>
              <w:t>支出</w:t>
            </w:r>
            <w:r>
              <w:rPr>
                <w:rFonts w:hint="eastAsia" w:ascii="方正仿宋_GBK" w:hAnsi="方正仿宋_GBK" w:eastAsia="方正仿宋_GBK" w:cs="方正仿宋_GBK"/>
                <w:bCs/>
                <w:color w:val="000000"/>
                <w:kern w:val="0"/>
                <w:sz w:val="32"/>
                <w:szCs w:val="32"/>
                <w:lang w:val="en-US" w:eastAsia="zh-CN" w:bidi="ar"/>
              </w:rPr>
              <w:t>4.06</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4.31</w:t>
            </w:r>
            <w:r>
              <w:rPr>
                <w:rFonts w:hint="default" w:ascii="方正仿宋_GBK" w:hAnsi="方正仿宋_GBK" w:eastAsia="方正仿宋_GBK" w:cs="方正仿宋_GBK"/>
                <w:bCs/>
                <w:color w:val="000000"/>
                <w:kern w:val="0"/>
                <w:sz w:val="32"/>
                <w:szCs w:val="32"/>
                <w:lang w:val="en-US" w:eastAsia="zh-CN" w:bidi="ar"/>
              </w:rPr>
              <w:t>%；住房保障支出</w:t>
            </w:r>
            <w:r>
              <w:rPr>
                <w:rFonts w:hint="eastAsia" w:ascii="方正仿宋_GBK" w:hAnsi="方正仿宋_GBK" w:eastAsia="方正仿宋_GBK" w:cs="方正仿宋_GBK"/>
                <w:bCs/>
                <w:color w:val="000000"/>
                <w:kern w:val="0"/>
                <w:sz w:val="32"/>
                <w:szCs w:val="32"/>
                <w:lang w:val="en-US" w:eastAsia="zh-CN" w:bidi="ar"/>
              </w:rPr>
              <w:t>7.46</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7.92</w:t>
            </w:r>
            <w:r>
              <w:rPr>
                <w:rFonts w:hint="default" w:ascii="方正仿宋_GBK" w:hAnsi="方正仿宋_GBK" w:eastAsia="方正仿宋_GBK" w:cs="方正仿宋_GBK"/>
                <w:bCs/>
                <w:color w:val="000000"/>
                <w:kern w:val="0"/>
                <w:sz w:val="32"/>
                <w:szCs w:val="32"/>
                <w:lang w:val="en-US" w:eastAsia="zh-CN" w:bidi="ar"/>
              </w:rPr>
              <w:t>%。</w:t>
            </w:r>
          </w:p>
          <w:p w14:paraId="4F158704">
            <w:pPr>
              <w:ind w:firstLine="640" w:firstLineChars="200"/>
              <w:rPr>
                <w:rFonts w:hint="default"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基本支出</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万元，占</w:t>
            </w:r>
            <w:r>
              <w:rPr>
                <w:rFonts w:hint="eastAsia" w:ascii="方正仿宋_GBK" w:hAnsi="方正仿宋_GBK" w:eastAsia="方正仿宋_GBK" w:cs="方正仿宋_GBK"/>
                <w:bCs/>
                <w:color w:val="000000"/>
                <w:kern w:val="0"/>
                <w:sz w:val="32"/>
                <w:szCs w:val="32"/>
                <w:lang w:val="en-US" w:eastAsia="zh-CN" w:bidi="ar"/>
              </w:rPr>
              <w:t>100</w:t>
            </w:r>
            <w:r>
              <w:rPr>
                <w:rFonts w:hint="default" w:ascii="方正仿宋_GBK" w:hAnsi="方正仿宋_GBK" w:eastAsia="方正仿宋_GBK" w:cs="方正仿宋_GBK"/>
                <w:bCs/>
                <w:color w:val="000000"/>
                <w:kern w:val="0"/>
                <w:sz w:val="32"/>
                <w:szCs w:val="32"/>
                <w:lang w:val="en-US" w:eastAsia="zh-CN" w:bidi="ar"/>
              </w:rPr>
              <w:t>%。</w:t>
            </w:r>
          </w:p>
          <w:p w14:paraId="62E2ABA3">
            <w:pPr>
              <w:ind w:firstLine="321" w:firstLineChars="100"/>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1A0BF6FF">
            <w:pPr>
              <w:ind w:firstLine="643" w:firstLineChars="200"/>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b/>
                <w:color w:val="000000"/>
                <w:sz w:val="32"/>
                <w:szCs w:val="32"/>
              </w:rPr>
              <w:t>1</w:t>
            </w:r>
            <w:r>
              <w:rPr>
                <w:rFonts w:hint="default" w:ascii="方正仿宋_GBK" w:hAnsi="方正仿宋_GBK" w:eastAsia="方正仿宋_GBK" w:cs="方正仿宋_GBK"/>
                <w:b/>
                <w:color w:val="000000"/>
                <w:sz w:val="32"/>
                <w:szCs w:val="32"/>
              </w:rPr>
              <w:t>．</w:t>
            </w:r>
            <w:r>
              <w:rPr>
                <w:rFonts w:hint="eastAsia" w:ascii="方正仿宋_GBK" w:hAnsi="方正仿宋_GBK" w:eastAsia="方正仿宋_GBK" w:cs="方正仿宋_GBK"/>
                <w:b/>
                <w:color w:val="000000"/>
                <w:sz w:val="32"/>
                <w:szCs w:val="32"/>
              </w:rPr>
              <w:t>一般公共服务支出（类）财政事务（款）行政运行（项）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Cs/>
                <w:color w:val="000000"/>
                <w:kern w:val="0"/>
                <w:sz w:val="32"/>
                <w:szCs w:val="32"/>
                <w:lang w:val="en-US" w:eastAsia="zh-CN" w:bidi="ar"/>
              </w:rPr>
              <w:t>2024年预算数为73.86万元，主要用于：财政事务单位正常运转的基本支出，包括基本工资、津贴补贴等人员经费以及办公费、印刷费、水电费等日常公用经费。</w:t>
            </w:r>
          </w:p>
          <w:p w14:paraId="2CDBD978">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bCs/>
                <w:color w:val="000000"/>
                <w:kern w:val="0"/>
                <w:sz w:val="32"/>
                <w:szCs w:val="32"/>
                <w:lang w:val="en-US" w:eastAsia="zh-CN" w:bidi="ar"/>
              </w:rPr>
            </w:pPr>
            <w:r>
              <w:rPr>
                <w:rFonts w:hint="eastAsia" w:ascii="方正仿宋_GBK" w:hAnsi="方正仿宋_GBK" w:eastAsia="方正仿宋_GBK" w:cs="方正仿宋_GBK"/>
                <w:b/>
                <w:color w:val="000000"/>
                <w:sz w:val="32"/>
                <w:szCs w:val="32"/>
                <w:lang w:val="en-US" w:eastAsia="zh-CN"/>
              </w:rPr>
              <w:t>2</w:t>
            </w:r>
            <w:r>
              <w:rPr>
                <w:rFonts w:hint="eastAsia" w:ascii="方正仿宋_GBK" w:hAnsi="方正仿宋_GBK" w:eastAsia="方正仿宋_GBK" w:cs="方正仿宋_GBK"/>
                <w:b/>
                <w:color w:val="000000"/>
                <w:sz w:val="32"/>
                <w:szCs w:val="32"/>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预算数为</w:t>
            </w:r>
            <w:r>
              <w:rPr>
                <w:rFonts w:hint="eastAsia" w:ascii="方正仿宋_GBK" w:hAnsi="方正仿宋_GBK" w:eastAsia="方正仿宋_GBK" w:cs="方正仿宋_GBK"/>
                <w:bCs/>
                <w:color w:val="000000"/>
                <w:kern w:val="0"/>
                <w:sz w:val="32"/>
                <w:szCs w:val="32"/>
                <w:lang w:val="en-US" w:eastAsia="zh-CN" w:bidi="ar"/>
              </w:rPr>
              <w:t>8.84</w:t>
            </w:r>
            <w:r>
              <w:rPr>
                <w:rFonts w:hint="default" w:ascii="方正仿宋_GBK" w:hAnsi="方正仿宋_GBK" w:eastAsia="方正仿宋_GBK" w:cs="方正仿宋_GBK"/>
                <w:bCs/>
                <w:color w:val="000000"/>
                <w:kern w:val="0"/>
                <w:sz w:val="32"/>
                <w:szCs w:val="32"/>
                <w:lang w:val="en-US" w:eastAsia="zh-CN" w:bidi="ar"/>
              </w:rPr>
              <w:t>万元，主要用于：实施养老保险制度后，部门按规定由单位缴纳的基本养老保险费支出。</w:t>
            </w:r>
          </w:p>
          <w:p w14:paraId="7E2748CC">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3</w:t>
            </w:r>
            <w:r>
              <w:rPr>
                <w:rStyle w:val="8"/>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卫生健康支出（类）行政事业单位医疗（款）行政单位医疗（项）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预算数为</w:t>
            </w:r>
            <w:r>
              <w:rPr>
                <w:rFonts w:hint="eastAsia" w:ascii="方正仿宋_GBK" w:hAnsi="方正仿宋_GBK" w:eastAsia="方正仿宋_GBK" w:cs="方正仿宋_GBK"/>
                <w:bCs/>
                <w:color w:val="000000"/>
                <w:kern w:val="0"/>
                <w:sz w:val="32"/>
                <w:szCs w:val="32"/>
                <w:lang w:val="en-US" w:eastAsia="zh-CN" w:bidi="ar"/>
              </w:rPr>
              <w:t>4.06</w:t>
            </w:r>
            <w:r>
              <w:rPr>
                <w:rFonts w:hint="default" w:ascii="方正仿宋_GBK" w:hAnsi="方正仿宋_GBK" w:eastAsia="方正仿宋_GBK" w:cs="方正仿宋_GBK"/>
                <w:bCs/>
                <w:color w:val="000000"/>
                <w:kern w:val="0"/>
                <w:sz w:val="32"/>
                <w:szCs w:val="32"/>
                <w:lang w:val="en-US" w:eastAsia="zh-CN" w:bidi="ar"/>
              </w:rPr>
              <w:t>万元，主要用于：机关及参公管理事业单位基本医疗保险缴费支出。</w:t>
            </w:r>
          </w:p>
          <w:p w14:paraId="361BD224">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Cs/>
                <w:color w:val="000000"/>
                <w:kern w:val="0"/>
                <w:sz w:val="32"/>
                <w:szCs w:val="32"/>
                <w:lang w:val="en-US" w:eastAsia="zh-CN" w:bidi="ar"/>
              </w:rPr>
            </w:pPr>
            <w:r>
              <w:rPr>
                <w:rStyle w:val="8"/>
                <w:rFonts w:hint="eastAsia" w:ascii="方正仿宋_GBK" w:hAnsi="方正仿宋_GBK" w:eastAsia="方正仿宋_GBK" w:cs="方正仿宋_GBK"/>
                <w:color w:val="000000"/>
                <w:sz w:val="32"/>
                <w:szCs w:val="32"/>
                <w:lang w:val="en-US" w:eastAsia="zh-CN"/>
              </w:rPr>
              <w:t>4</w:t>
            </w:r>
            <w:r>
              <w:rPr>
                <w:rStyle w:val="8"/>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住房保障支出（类）住房改革支出（款）住房公积金（项）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预算数为</w:t>
            </w:r>
            <w:r>
              <w:rPr>
                <w:rFonts w:hint="eastAsia" w:ascii="方正仿宋_GBK" w:hAnsi="方正仿宋_GBK" w:eastAsia="方正仿宋_GBK" w:cs="方正仿宋_GBK"/>
                <w:bCs/>
                <w:color w:val="000000"/>
                <w:kern w:val="0"/>
                <w:sz w:val="32"/>
                <w:szCs w:val="32"/>
                <w:lang w:val="en-US" w:eastAsia="zh-CN" w:bidi="ar"/>
              </w:rPr>
              <w:t>7.46</w:t>
            </w:r>
            <w:r>
              <w:rPr>
                <w:rFonts w:hint="default" w:ascii="方正仿宋_GBK" w:hAnsi="方正仿宋_GBK" w:eastAsia="方正仿宋_GBK" w:cs="方正仿宋_GBK"/>
                <w:bCs/>
                <w:color w:val="000000"/>
                <w:kern w:val="0"/>
                <w:sz w:val="32"/>
                <w:szCs w:val="32"/>
                <w:lang w:val="en-US" w:eastAsia="zh-CN" w:bidi="ar"/>
              </w:rPr>
              <w:t xml:space="preserve">万元，主要用于：部门按人力资源和社会保障部、财政部规定的基本工资和津贴补贴以及规定比例为职工缴纳的住房公积金支出。 </w:t>
            </w:r>
          </w:p>
          <w:p w14:paraId="117A6B67">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4B4F555D">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 xml:space="preserve">一般公共预算基本支出 </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万元，其中：人员经费</w:t>
            </w:r>
            <w:r>
              <w:rPr>
                <w:rFonts w:hint="eastAsia" w:ascii="方正仿宋_GBK" w:hAnsi="方正仿宋_GBK" w:eastAsia="方正仿宋_GBK" w:cs="方正仿宋_GBK"/>
                <w:bCs/>
                <w:color w:val="000000"/>
                <w:kern w:val="0"/>
                <w:sz w:val="32"/>
                <w:szCs w:val="32"/>
                <w:lang w:val="en-US" w:eastAsia="zh-CN" w:bidi="ar"/>
              </w:rPr>
              <w:t>82.99</w:t>
            </w:r>
            <w:r>
              <w:rPr>
                <w:rFonts w:hint="default" w:ascii="方正仿宋_GBK" w:hAnsi="方正仿宋_GBK" w:eastAsia="方正仿宋_GBK" w:cs="方正仿宋_GBK"/>
                <w:bCs/>
                <w:color w:val="000000"/>
                <w:kern w:val="0"/>
                <w:sz w:val="32"/>
                <w:szCs w:val="32"/>
                <w:lang w:val="en-US" w:eastAsia="zh-CN" w:bidi="ar"/>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bCs/>
                <w:color w:val="000000"/>
                <w:kern w:val="0"/>
                <w:sz w:val="32"/>
                <w:szCs w:val="32"/>
                <w:lang w:val="en-US" w:eastAsia="zh-CN" w:bidi="ar"/>
              </w:rPr>
              <w:t>；</w:t>
            </w:r>
            <w:r>
              <w:rPr>
                <w:rFonts w:hint="default" w:ascii="方正仿宋_GBK" w:hAnsi="方正仿宋_GBK" w:eastAsia="方正仿宋_GBK" w:cs="方正仿宋_GBK"/>
                <w:bCs/>
                <w:color w:val="000000"/>
                <w:kern w:val="0"/>
                <w:sz w:val="32"/>
                <w:szCs w:val="32"/>
                <w:lang w:val="en-US" w:eastAsia="zh-CN" w:bidi="ar"/>
              </w:rPr>
              <w:t>公用经费</w:t>
            </w:r>
            <w:r>
              <w:rPr>
                <w:rFonts w:hint="eastAsia" w:ascii="方正仿宋_GBK" w:hAnsi="方正仿宋_GBK" w:eastAsia="方正仿宋_GBK" w:cs="方正仿宋_GBK"/>
                <w:bCs/>
                <w:color w:val="000000"/>
                <w:kern w:val="0"/>
                <w:sz w:val="32"/>
                <w:szCs w:val="32"/>
                <w:lang w:val="en-US" w:eastAsia="zh-CN" w:bidi="ar"/>
              </w:rPr>
              <w:t>11.23</w:t>
            </w:r>
            <w:r>
              <w:rPr>
                <w:rFonts w:hint="default" w:ascii="方正仿宋_GBK" w:hAnsi="方正仿宋_GBK" w:eastAsia="方正仿宋_GBK" w:cs="方正仿宋_GBK"/>
                <w:bCs/>
                <w:color w:val="000000"/>
                <w:kern w:val="0"/>
                <w:sz w:val="32"/>
                <w:szCs w:val="32"/>
                <w:lang w:val="en-US" w:eastAsia="zh-CN" w:bidi="ar"/>
              </w:rPr>
              <w:t>万元，主要包括：办公费、印刷费、手续费、水费、电费、邮电费、差旅费、维修（护）费、会议费、培训费、劳务费、工会经费、福利费、其他交通费、其他商品和服务支出。</w:t>
            </w:r>
          </w:p>
          <w:p w14:paraId="69DC3EA8">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35F09CDD">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000000"/>
                <w:kern w:val="0"/>
                <w:sz w:val="32"/>
                <w:szCs w:val="32"/>
                <w:lang w:val="en-US" w:eastAsia="zh-CN" w:bidi="ar"/>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 xml:space="preserve">“三公”经费财政拨款预算数 </w:t>
            </w:r>
            <w:r>
              <w:rPr>
                <w:rFonts w:hint="eastAsia" w:ascii="方正仿宋_GBK" w:hAnsi="方正仿宋_GBK" w:eastAsia="方正仿宋_GBK" w:cs="方正仿宋_GBK"/>
                <w:bCs/>
                <w:color w:val="000000"/>
                <w:kern w:val="0"/>
                <w:sz w:val="32"/>
                <w:szCs w:val="32"/>
                <w:lang w:val="en-US" w:eastAsia="zh-CN" w:bidi="ar"/>
              </w:rPr>
              <w:t>0</w:t>
            </w:r>
            <w:r>
              <w:rPr>
                <w:rFonts w:hint="default" w:ascii="方正仿宋_GBK" w:hAnsi="方正仿宋_GBK" w:eastAsia="方正仿宋_GBK" w:cs="方正仿宋_GBK"/>
                <w:bCs/>
                <w:color w:val="000000"/>
                <w:kern w:val="0"/>
                <w:sz w:val="32"/>
                <w:szCs w:val="32"/>
                <w:lang w:val="en-US" w:eastAsia="zh-CN" w:bidi="ar"/>
              </w:rPr>
              <w:t>万元，</w:t>
            </w:r>
            <w:r>
              <w:rPr>
                <w:rFonts w:hint="eastAsia" w:ascii="方正仿宋_GBK" w:hAnsi="方正仿宋_GBK" w:eastAsia="方正仿宋_GBK" w:cs="方正仿宋_GBK"/>
                <w:bCs/>
                <w:color w:val="000000"/>
                <w:kern w:val="0"/>
                <w:sz w:val="32"/>
                <w:szCs w:val="32"/>
                <w:lang w:val="en-US" w:eastAsia="zh-CN" w:bidi="ar"/>
              </w:rPr>
              <w:t>本着厉行节约、压减支出的原则，本年没有预算“三公”经费。</w:t>
            </w:r>
          </w:p>
          <w:p w14:paraId="5460E42B">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5B5147F3">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财政所2024年</w:t>
            </w:r>
            <w:r>
              <w:rPr>
                <w:rFonts w:hint="default" w:ascii="方正仿宋_GBK" w:hAnsi="方正仿宋_GBK" w:eastAsia="方正仿宋_GBK" w:cs="方正仿宋_GBK"/>
                <w:bCs/>
                <w:color w:val="000000"/>
                <w:kern w:val="0"/>
                <w:sz w:val="32"/>
                <w:szCs w:val="32"/>
                <w:lang w:val="en-US" w:eastAsia="zh-CN" w:bidi="ar"/>
              </w:rPr>
              <w:t>没有使用政府性基金预算拨款安排的支出。</w:t>
            </w:r>
          </w:p>
          <w:p w14:paraId="6CA6D5E2">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黑体_GBK" w:hAnsi="方正黑体_GBK" w:eastAsia="方正黑体_GBK" w:cs="方正黑体_GBK"/>
                <w:b/>
                <w:bCs/>
                <w:color w:val="000000" w:themeColor="text1"/>
                <w:kern w:val="0"/>
                <w:sz w:val="32"/>
                <w:szCs w:val="32"/>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0DD985DB">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1F65B7A4">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w:t>
            </w:r>
            <w:r>
              <w:rPr>
                <w:rFonts w:hint="default" w:ascii="方正仿宋_GBK" w:hAnsi="方正仿宋_GBK" w:eastAsia="方正仿宋_GBK" w:cs="方正仿宋_GBK"/>
                <w:bCs/>
                <w:color w:val="000000"/>
                <w:kern w:val="0"/>
                <w:sz w:val="32"/>
                <w:szCs w:val="32"/>
                <w:lang w:val="en-US" w:eastAsia="zh-CN" w:bidi="ar"/>
              </w:rPr>
              <w:t>单位运行经费财政拨款预算为</w:t>
            </w:r>
            <w:r>
              <w:rPr>
                <w:rFonts w:hint="eastAsia" w:ascii="方正仿宋_GBK" w:hAnsi="方正仿宋_GBK" w:eastAsia="方正仿宋_GBK" w:cs="方正仿宋_GBK"/>
                <w:bCs/>
                <w:color w:val="000000"/>
                <w:kern w:val="0"/>
                <w:sz w:val="32"/>
                <w:szCs w:val="32"/>
                <w:lang w:val="en-US" w:eastAsia="zh-CN" w:bidi="ar"/>
              </w:rPr>
              <w:t>11.23</w:t>
            </w:r>
            <w:r>
              <w:rPr>
                <w:rFonts w:hint="default" w:ascii="方正仿宋_GBK" w:hAnsi="方正仿宋_GBK" w:eastAsia="方正仿宋_GBK" w:cs="方正仿宋_GBK"/>
                <w:bCs/>
                <w:color w:val="000000"/>
                <w:kern w:val="0"/>
                <w:sz w:val="32"/>
                <w:szCs w:val="32"/>
                <w:lang w:val="en-US" w:eastAsia="zh-CN" w:bidi="ar"/>
              </w:rPr>
              <w:t>万元，比</w:t>
            </w:r>
            <w:r>
              <w:rPr>
                <w:rFonts w:hint="eastAsia" w:ascii="方正仿宋_GBK" w:hAnsi="方正仿宋_GBK" w:eastAsia="方正仿宋_GBK" w:cs="方正仿宋_GBK"/>
                <w:bCs/>
                <w:color w:val="000000"/>
                <w:kern w:val="0"/>
                <w:sz w:val="32"/>
                <w:szCs w:val="32"/>
                <w:lang w:val="en-US" w:eastAsia="zh-CN" w:bidi="ar"/>
              </w:rPr>
              <w:t>2023年</w:t>
            </w:r>
            <w:r>
              <w:rPr>
                <w:rFonts w:hint="default" w:ascii="方正仿宋_GBK" w:hAnsi="方正仿宋_GBK" w:eastAsia="方正仿宋_GBK" w:cs="方正仿宋_GBK"/>
                <w:bCs/>
                <w:color w:val="000000"/>
                <w:kern w:val="0"/>
                <w:sz w:val="32"/>
                <w:szCs w:val="32"/>
                <w:lang w:val="en-US" w:eastAsia="zh-CN" w:bidi="ar"/>
              </w:rPr>
              <w:t>预算</w:t>
            </w:r>
            <w:r>
              <w:rPr>
                <w:rFonts w:hint="eastAsia" w:ascii="方正仿宋_GBK" w:hAnsi="方正仿宋_GBK" w:eastAsia="方正仿宋_GBK" w:cs="方正仿宋_GBK"/>
                <w:bCs/>
                <w:color w:val="000000"/>
                <w:kern w:val="0"/>
                <w:sz w:val="32"/>
                <w:szCs w:val="32"/>
                <w:lang w:val="en-US" w:eastAsia="zh-CN" w:bidi="ar"/>
              </w:rPr>
              <w:t>增加0.09</w:t>
            </w:r>
            <w:r>
              <w:rPr>
                <w:rFonts w:hint="default" w:ascii="方正仿宋_GBK" w:hAnsi="方正仿宋_GBK" w:eastAsia="方正仿宋_GBK" w:cs="方正仿宋_GBK"/>
                <w:bCs/>
                <w:color w:val="000000"/>
                <w:kern w:val="0"/>
                <w:sz w:val="32"/>
                <w:szCs w:val="32"/>
                <w:lang w:val="en-US" w:eastAsia="zh-CN" w:bidi="ar"/>
              </w:rPr>
              <w:t>万元，</w:t>
            </w:r>
            <w:r>
              <w:rPr>
                <w:rFonts w:hint="eastAsia" w:ascii="方正仿宋_GBK" w:hAnsi="方正仿宋_GBK" w:eastAsia="方正仿宋_GBK" w:cs="方正仿宋_GBK"/>
                <w:bCs/>
                <w:color w:val="000000"/>
                <w:kern w:val="0"/>
                <w:sz w:val="32"/>
                <w:szCs w:val="32"/>
                <w:lang w:val="en-US" w:eastAsia="zh-CN" w:bidi="ar"/>
              </w:rPr>
              <w:t>增加0.8</w:t>
            </w:r>
            <w:r>
              <w:rPr>
                <w:rFonts w:hint="default" w:ascii="方正仿宋_GBK" w:hAnsi="方正仿宋_GBK" w:eastAsia="方正仿宋_GBK" w:cs="方正仿宋_GBK"/>
                <w:bCs/>
                <w:color w:val="000000"/>
                <w:kern w:val="0"/>
                <w:sz w:val="32"/>
                <w:szCs w:val="32"/>
                <w:lang w:val="en-US" w:eastAsia="zh-CN" w:bidi="ar"/>
              </w:rPr>
              <w:t>%</w:t>
            </w:r>
            <w:r>
              <w:rPr>
                <w:rFonts w:hint="eastAsia" w:ascii="方正仿宋_GBK" w:hAnsi="方正仿宋_GBK" w:eastAsia="方正仿宋_GBK" w:cs="方正仿宋_GBK"/>
                <w:bCs/>
                <w:color w:val="000000"/>
                <w:kern w:val="0"/>
                <w:sz w:val="32"/>
                <w:szCs w:val="32"/>
                <w:lang w:val="en-US" w:eastAsia="zh-CN" w:bidi="ar"/>
              </w:rPr>
              <w:t>，增加原因是</w:t>
            </w:r>
            <w:bookmarkStart w:id="0" w:name="_GoBack"/>
            <w:bookmarkEnd w:id="0"/>
            <w:r>
              <w:rPr>
                <w:rFonts w:hint="eastAsia" w:ascii="方正仿宋_GBK" w:hAnsi="方正仿宋_GBK" w:eastAsia="方正仿宋_GBK" w:cs="方正仿宋_GBK"/>
                <w:bCs/>
                <w:color w:val="000000"/>
                <w:kern w:val="0"/>
                <w:sz w:val="32"/>
                <w:szCs w:val="32"/>
                <w:lang w:val="en-US" w:eastAsia="zh-CN" w:bidi="ar"/>
              </w:rPr>
              <w:t>人员工资调整工会经费增加</w:t>
            </w:r>
            <w:r>
              <w:rPr>
                <w:rFonts w:hint="default" w:ascii="方正仿宋_GBK" w:hAnsi="方正仿宋_GBK" w:eastAsia="方正仿宋_GBK" w:cs="方正仿宋_GBK"/>
                <w:bCs/>
                <w:color w:val="000000"/>
                <w:kern w:val="0"/>
                <w:sz w:val="32"/>
                <w:szCs w:val="32"/>
                <w:lang w:val="en-US" w:eastAsia="zh-CN" w:bidi="ar"/>
              </w:rPr>
              <w:t>。</w:t>
            </w:r>
          </w:p>
          <w:p w14:paraId="578C31E6">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（二）政府采购情况</w:t>
            </w:r>
          </w:p>
          <w:p w14:paraId="7CC2F3F6">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w:t>
            </w:r>
            <w:r>
              <w:rPr>
                <w:rFonts w:hint="default" w:ascii="方正仿宋_GBK" w:hAnsi="方正仿宋_GBK" w:eastAsia="方正仿宋_GBK" w:cs="方正仿宋_GBK"/>
                <w:bCs/>
                <w:color w:val="000000"/>
                <w:kern w:val="0"/>
                <w:sz w:val="32"/>
                <w:szCs w:val="32"/>
                <w:lang w:val="en-US" w:eastAsia="zh-CN" w:bidi="ar"/>
              </w:rPr>
              <w:t>安排政府采购预算</w:t>
            </w:r>
            <w:r>
              <w:rPr>
                <w:rFonts w:hint="eastAsia" w:ascii="方正仿宋_GBK" w:hAnsi="方正仿宋_GBK" w:eastAsia="方正仿宋_GBK" w:cs="方正仿宋_GBK"/>
                <w:bCs/>
                <w:color w:val="000000"/>
                <w:kern w:val="0"/>
                <w:sz w:val="32"/>
                <w:szCs w:val="32"/>
                <w:lang w:val="en-US" w:eastAsia="zh-CN" w:bidi="ar"/>
              </w:rPr>
              <w:t>0.35</w:t>
            </w:r>
            <w:r>
              <w:rPr>
                <w:rFonts w:hint="default" w:ascii="方正仿宋_GBK" w:hAnsi="方正仿宋_GBK" w:eastAsia="方正仿宋_GBK" w:cs="方正仿宋_GBK"/>
                <w:bCs/>
                <w:color w:val="000000"/>
                <w:kern w:val="0"/>
                <w:sz w:val="32"/>
                <w:szCs w:val="32"/>
                <w:lang w:val="en-US" w:eastAsia="zh-CN" w:bidi="ar"/>
              </w:rPr>
              <w:t>万元，主要用于采购办公设备、信息化建设运行及维护等。</w:t>
            </w:r>
          </w:p>
          <w:p w14:paraId="312B9F40">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（三）国有资产占有使用情况</w:t>
            </w: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：无</w:t>
            </w:r>
          </w:p>
          <w:p w14:paraId="4A04C9D4">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（四）绩效目标设置情况</w:t>
            </w:r>
          </w:p>
          <w:p w14:paraId="425DFA94">
            <w:pPr>
              <w:ind w:firstLine="640" w:firstLineChars="200"/>
              <w:rPr>
                <w:rFonts w:hint="default" w:ascii="方正仿宋_GBK" w:hAnsi="方正仿宋_GBK" w:eastAsia="方正仿宋_GBK" w:cs="方正仿宋_GBK"/>
                <w:bCs/>
                <w:color w:val="000000"/>
                <w:kern w:val="0"/>
                <w:sz w:val="32"/>
                <w:szCs w:val="32"/>
                <w:lang w:val="en-US" w:eastAsia="zh-CN" w:bidi="ar"/>
              </w:rPr>
            </w:pPr>
            <w:r>
              <w:rPr>
                <w:rFonts w:hint="eastAsia" w:ascii="方正仿宋_GBK" w:hAnsi="方正仿宋_GBK" w:eastAsia="方正仿宋_GBK" w:cs="方正仿宋_GBK"/>
                <w:bCs/>
                <w:color w:val="000000"/>
                <w:kern w:val="0"/>
                <w:sz w:val="32"/>
                <w:szCs w:val="32"/>
                <w:lang w:val="en-US" w:eastAsia="zh-CN" w:bidi="ar"/>
              </w:rPr>
              <w:t>2024年</w:t>
            </w:r>
            <w:r>
              <w:rPr>
                <w:rFonts w:hint="default" w:ascii="方正仿宋_GBK" w:hAnsi="方正仿宋_GBK" w:eastAsia="方正仿宋_GBK" w:cs="方正仿宋_GBK"/>
                <w:bCs/>
                <w:color w:val="000000"/>
                <w:kern w:val="0"/>
                <w:sz w:val="32"/>
                <w:szCs w:val="32"/>
                <w:lang w:val="en-US" w:eastAsia="zh-CN" w:bidi="ar"/>
              </w:rPr>
              <w:t>大茅坪镇人民政府</w:t>
            </w:r>
            <w:r>
              <w:rPr>
                <w:rFonts w:hint="eastAsia" w:ascii="方正仿宋_GBK" w:hAnsi="方正仿宋_GBK" w:eastAsia="方正仿宋_GBK" w:cs="方正仿宋_GBK"/>
                <w:bCs/>
                <w:color w:val="000000"/>
                <w:kern w:val="0"/>
                <w:sz w:val="32"/>
                <w:szCs w:val="32"/>
                <w:lang w:val="en-US" w:eastAsia="zh-CN" w:bidi="ar"/>
              </w:rPr>
              <w:t>财政所单位</w:t>
            </w:r>
            <w:r>
              <w:rPr>
                <w:rFonts w:hint="default" w:ascii="方正仿宋_GBK" w:hAnsi="方正仿宋_GBK" w:eastAsia="方正仿宋_GBK" w:cs="方正仿宋_GBK"/>
                <w:bCs/>
                <w:color w:val="000000"/>
                <w:kern w:val="0"/>
                <w:sz w:val="32"/>
                <w:szCs w:val="32"/>
                <w:lang w:val="en-US" w:eastAsia="zh-CN" w:bidi="ar"/>
              </w:rPr>
              <w:t>通用项目和专用项目均按要求实行绩效目标管理，涉及一般公共预算当年拨款</w:t>
            </w:r>
            <w:r>
              <w:rPr>
                <w:rFonts w:hint="eastAsia" w:ascii="方正仿宋_GBK" w:hAnsi="方正仿宋_GBK" w:eastAsia="方正仿宋_GBK" w:cs="方正仿宋_GBK"/>
                <w:bCs/>
                <w:color w:val="000000"/>
                <w:kern w:val="0"/>
                <w:sz w:val="32"/>
                <w:szCs w:val="32"/>
                <w:lang w:val="en-US" w:eastAsia="zh-CN" w:bidi="ar"/>
              </w:rPr>
              <w:t>94.22</w:t>
            </w:r>
            <w:r>
              <w:rPr>
                <w:rFonts w:hint="default" w:ascii="方正仿宋_GBK" w:hAnsi="方正仿宋_GBK" w:eastAsia="方正仿宋_GBK" w:cs="方正仿宋_GBK"/>
                <w:bCs/>
                <w:color w:val="000000"/>
                <w:kern w:val="0"/>
                <w:sz w:val="32"/>
                <w:szCs w:val="32"/>
                <w:lang w:val="en-US" w:eastAsia="zh-CN" w:bidi="ar"/>
              </w:rPr>
              <w:t>万元。</w:t>
            </w:r>
          </w:p>
          <w:p w14:paraId="7BD3BA71">
            <w:pPr>
              <w:ind w:firstLine="640" w:firstLineChars="200"/>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pPr>
          </w:p>
          <w:p w14:paraId="4DEA29FC">
            <w:pPr>
              <w:ind w:firstLine="640" w:firstLineChars="200"/>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Cs/>
                <w:color w:val="000000"/>
                <w:kern w:val="0"/>
                <w:sz w:val="32"/>
                <w:szCs w:val="32"/>
                <w:lang w:val="en-US" w:eastAsia="zh-CN" w:bidi="ar"/>
              </w:rPr>
              <w:t>附件： 2024年部门预算公开报表</w:t>
            </w:r>
          </w:p>
        </w:tc>
      </w:tr>
      <w:tr w14:paraId="56763E31">
        <w:tblPrEx>
          <w:tblCellMar>
            <w:top w:w="0" w:type="dxa"/>
            <w:left w:w="0" w:type="dxa"/>
            <w:bottom w:w="0" w:type="dxa"/>
            <w:right w:w="0" w:type="dxa"/>
          </w:tblCellMar>
        </w:tblPrEx>
        <w:trPr>
          <w:tblCellSpacing w:w="0" w:type="dxa"/>
          <w:jc w:val="center"/>
        </w:trPr>
        <w:tc>
          <w:tcPr>
            <w:tcW w:w="8401" w:type="dxa"/>
            <w:vAlign w:val="center"/>
          </w:tcPr>
          <w:p w14:paraId="411CEBF3">
            <w:pPr>
              <w:widowControl/>
              <w:wordWrap w:val="0"/>
              <w:spacing w:line="360" w:lineRule="auto"/>
              <w:jc w:val="center"/>
              <w:rPr>
                <w:rFonts w:hint="default" w:ascii="Times New Roman" w:hAnsi="Times New Roman" w:eastAsia="宋体" w:cs="Times New Roman"/>
                <w:color w:val="000000" w:themeColor="text1"/>
                <w:kern w:val="0"/>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14:textFill>
                  <w14:solidFill>
                    <w14:schemeClr w14:val="tx1"/>
                  </w14:solidFill>
                </w14:textFill>
              </w:rPr>
              <w:t> </w:t>
            </w:r>
          </w:p>
        </w:tc>
      </w:tr>
    </w:tbl>
    <w:p w14:paraId="37A94313">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2E7C2D"/>
    <w:rsid w:val="01A71CCB"/>
    <w:rsid w:val="03730566"/>
    <w:rsid w:val="044A38C8"/>
    <w:rsid w:val="06E7479A"/>
    <w:rsid w:val="0A0B7997"/>
    <w:rsid w:val="0BEC6360"/>
    <w:rsid w:val="0C4B1EE5"/>
    <w:rsid w:val="0D6B7FC9"/>
    <w:rsid w:val="0D937EAE"/>
    <w:rsid w:val="109A0C9F"/>
    <w:rsid w:val="162135B3"/>
    <w:rsid w:val="16471AE2"/>
    <w:rsid w:val="181952D8"/>
    <w:rsid w:val="1A2F6C98"/>
    <w:rsid w:val="1AED351F"/>
    <w:rsid w:val="1C992935"/>
    <w:rsid w:val="1DB5633B"/>
    <w:rsid w:val="1EB71273"/>
    <w:rsid w:val="1EE7097E"/>
    <w:rsid w:val="1F0F221A"/>
    <w:rsid w:val="1F442918"/>
    <w:rsid w:val="22B82581"/>
    <w:rsid w:val="23EC3E3A"/>
    <w:rsid w:val="24316097"/>
    <w:rsid w:val="24BB5661"/>
    <w:rsid w:val="24C940AC"/>
    <w:rsid w:val="26227F9F"/>
    <w:rsid w:val="29CE3951"/>
    <w:rsid w:val="2AF71F94"/>
    <w:rsid w:val="2B2B7D93"/>
    <w:rsid w:val="2F133777"/>
    <w:rsid w:val="34032BCC"/>
    <w:rsid w:val="368C2498"/>
    <w:rsid w:val="3BF01FAC"/>
    <w:rsid w:val="3CD13C3E"/>
    <w:rsid w:val="3CFA1B4F"/>
    <w:rsid w:val="3F785917"/>
    <w:rsid w:val="40D43059"/>
    <w:rsid w:val="41FA0AFC"/>
    <w:rsid w:val="438C0C8B"/>
    <w:rsid w:val="4A933E16"/>
    <w:rsid w:val="4AB16F8B"/>
    <w:rsid w:val="4B6E6863"/>
    <w:rsid w:val="4C1E27B7"/>
    <w:rsid w:val="4C526D13"/>
    <w:rsid w:val="4C613495"/>
    <w:rsid w:val="4DAE0D41"/>
    <w:rsid w:val="4F250C62"/>
    <w:rsid w:val="4FA23BF4"/>
    <w:rsid w:val="50AE61CF"/>
    <w:rsid w:val="5135326D"/>
    <w:rsid w:val="51953861"/>
    <w:rsid w:val="54471656"/>
    <w:rsid w:val="54A1415F"/>
    <w:rsid w:val="559C56A2"/>
    <w:rsid w:val="59BA0FBE"/>
    <w:rsid w:val="5A2C37EA"/>
    <w:rsid w:val="5B5F3CD8"/>
    <w:rsid w:val="5D515F6E"/>
    <w:rsid w:val="5F811972"/>
    <w:rsid w:val="616D405D"/>
    <w:rsid w:val="61BD712E"/>
    <w:rsid w:val="6530460A"/>
    <w:rsid w:val="66A250FC"/>
    <w:rsid w:val="66F91026"/>
    <w:rsid w:val="67993554"/>
    <w:rsid w:val="67C50242"/>
    <w:rsid w:val="698217D8"/>
    <w:rsid w:val="69995F28"/>
    <w:rsid w:val="6A8B52B8"/>
    <w:rsid w:val="6AB450FB"/>
    <w:rsid w:val="6AEC66AF"/>
    <w:rsid w:val="6AF01151"/>
    <w:rsid w:val="6B197746"/>
    <w:rsid w:val="6B460590"/>
    <w:rsid w:val="6C5F12DC"/>
    <w:rsid w:val="6C6A2F6B"/>
    <w:rsid w:val="6D6D4941"/>
    <w:rsid w:val="6DB6384B"/>
    <w:rsid w:val="6E332206"/>
    <w:rsid w:val="7125089E"/>
    <w:rsid w:val="75D075CA"/>
    <w:rsid w:val="765C62FC"/>
    <w:rsid w:val="76974348"/>
    <w:rsid w:val="798F203C"/>
    <w:rsid w:val="7A7B51A1"/>
    <w:rsid w:val="7E1257AE"/>
    <w:rsid w:val="7E1E6BDF"/>
    <w:rsid w:val="7E4B6AB0"/>
    <w:rsid w:val="7FA660E2"/>
    <w:rsid w:val="7FB05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spacing w:val="0"/>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2188</Words>
  <Characters>2403</Characters>
  <Lines>17</Lines>
  <Paragraphs>4</Paragraphs>
  <TotalTime>0</TotalTime>
  <ScaleCrop>false</ScaleCrop>
  <LinksUpToDate>false</LinksUpToDate>
  <CharactersWithSpaces>2414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2024-08-21T06:44:33Z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D335790B9CB848DA8E1F3B7F454A7B32</vt:lpwstr>
  </property>
</Properties>
</file>